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2E5E4E"/>
          <w:sz w:val="34"/>
          <w:szCs w:val="34"/>
        </w:rPr>
        <w:t xml:space="preserve">Church in Conversation</w:t>
      </w:r>
    </w:p>
    <w:p>
      <w:pPr>
        <w:spacing w:after="40"/>
      </w:pPr>
      <w:r>
        <w:rPr>
          <w:rFonts w:ascii="Calibri" w:cs="Calibri" w:eastAsia="Calibri" w:hAnsi="Calibri"/>
          <w:b/>
          <w:bCs/>
          <w:sz w:val="24"/>
          <w:szCs w:val="24"/>
        </w:rPr>
        <w:t xml:space="preserve">Founding Board — Composition Strategy &amp; Candidate Cultivation</w:t>
      </w:r>
    </w:p>
    <w:p>
      <w:pPr>
        <w:spacing w:after="160"/>
      </w:pPr>
      <w:r>
        <w:rPr>
          <w:rFonts w:ascii="Calibri" w:cs="Calibri" w:eastAsia="Calibri" w:hAnsi="Calibri"/>
          <w:i/>
          <w:iCs/>
          <w:color w:val="595959"/>
          <w:sz w:val="19"/>
          <w:szCs w:val="19"/>
        </w:rPr>
        <w:t xml:space="preserve">DRAFT V0.1 · July 15, 2026 · Exploration, not legal advice — bylaws language ◆ still needs the attorney consult</w:t>
      </w:r>
    </w:p>
    <w:p>
      <w:pPr>
        <w:spacing w:after="120"/>
      </w:pPr>
      <w:r>
        <w:rPr>
          <w:rFonts w:ascii="Calibri" w:cs="Calibri" w:eastAsia="Calibri" w:hAnsi="Calibri"/>
          <w:sz w:val="21"/>
          <w:szCs w:val="21"/>
        </w:rPr>
        <w:t xml:space="preserve">This isn’t a hiring exercise. It’s the first real test of whether "a nonprofit board is an asset, not a threat" survives contact with actual people. You already said yes to that in principle (funding log, 2026-07-13). This page turns it into seats, names, and a way of asking.</w:t>
      </w:r>
    </w:p>
    <w:p>
      <w:pPr>
        <w:pStyle w:val="Heading1"/>
        <w:spacing w:after="120" w:before="200"/>
      </w:pPr>
      <w:r>
        <w:rPr>
          <w:rFonts w:ascii="Calibri" w:cs="Calibri" w:eastAsia="Calibri" w:hAnsi="Calibri"/>
          <w:b/>
          <w:bCs/>
          <w:color w:val="2E5E4E"/>
          <w:sz w:val="26"/>
          <w:szCs w:val="26"/>
        </w:rPr>
        <w:t xml:space="preserve">The tension, named plainly, not smoothed over</w:t>
      </w:r>
    </w:p>
    <w:p>
      <w:pPr>
        <w:spacing w:after="120"/>
      </w:pPr>
      <w:r>
        <w:rPr>
          <w:rFonts w:ascii="Calibri" w:cs="Calibri" w:eastAsia="Calibri" w:hAnsi="Calibri"/>
          <w:sz w:val="21"/>
          <w:szCs w:val="21"/>
        </w:rPr>
        <w:t xml:space="preserve">Constitution Article 36 currently runs this as a sole-builder project. A board is a real, permanent transfer of some of that authority — not paperwork. The fix isn’t pretending the board has no power; it’s drawing the line on purpose:</w:t>
      </w:r>
    </w:p>
    <w:p>
      <w:pPr>
        <w:pStyle w:val="ListParagraph"/>
        <w:numPr>
          <w:ilvl w:val="0"/>
          <w:numId w:val="2"/>
        </w:numPr>
        <w:spacing w:after="80"/>
      </w:pPr>
      <w:r>
        <w:rPr>
          <w:rFonts w:ascii="Calibri" w:cs="Calibri" w:eastAsia="Calibri" w:hAnsi="Calibri"/>
          <w:b/>
          <w:bCs/>
          <w:sz w:val="21"/>
          <w:szCs w:val="21"/>
        </w:rPr>
        <w:t xml:space="preserve">Formation integrity stays yours.</w:t>
      </w:r>
      <w:r>
        <w:rPr>
          <w:rFonts w:ascii="Calibri" w:cs="Calibri" w:eastAsia="Calibri" w:hAnsi="Calibri"/>
          <w:sz w:val="21"/>
          <w:szCs w:val="21"/>
        </w:rPr>
        <w:t xml:space="preserve"> Theological calibration, world-construction methodology, Encounter-Success standards, what a Representative may and may not say — the board doesn’t vote on these any more than it votes on Article 31 scholarly findings. This is already how Article 31 review works: informational to governance, binding on content.</w:t>
      </w:r>
    </w:p>
    <w:p>
      <w:pPr>
        <w:pStyle w:val="ListParagraph"/>
        <w:numPr>
          <w:ilvl w:val="0"/>
          <w:numId w:val="2"/>
        </w:numPr>
        <w:spacing w:after="80"/>
      </w:pPr>
      <w:r>
        <w:rPr>
          <w:rFonts w:ascii="Calibri" w:cs="Calibri" w:eastAsia="Calibri" w:hAnsi="Calibri"/>
          <w:b/>
          <w:bCs/>
          <w:sz w:val="21"/>
          <w:szCs w:val="21"/>
        </w:rPr>
        <w:t xml:space="preserve">Organizational governance is real board authority.</w:t>
      </w:r>
      <w:r>
        <w:rPr>
          <w:rFonts w:ascii="Calibri" w:cs="Calibri" w:eastAsia="Calibri" w:hAnsi="Calibri"/>
          <w:sz w:val="21"/>
          <w:szCs w:val="21"/>
        </w:rPr>
        <w:t xml:space="preserve"> Budget approval, your compensation (the board-approved visible-line rule the packet already commits to), major contracts, legal and financial risk, hiring beyond you, dissolution and asset-distribution terms. This is where you actually want pushback — it’s the muscle you don’t have.</w:t>
      </w:r>
    </w:p>
    <w:p>
      <w:pPr>
        <w:spacing w:after="200"/>
      </w:pPr>
      <w:r>
        <w:rPr>
          <w:rFonts w:ascii="Calibri" w:cs="Calibri" w:eastAsia="Calibri" w:hAnsi="Calibri"/>
          <w:b w:val="false"/>
          <w:bCs w:val="false"/>
          <w:sz w:val="21"/>
          <w:szCs w:val="21"/>
        </w:rPr>
        <w:t xml:space="preserve">Recommended fix: a bylaws clause naming "Formation &amp; Theological Integrity" as a reserved founder domain (deferring to the Constitution and Article 31 review), everything else under normal board authority. </w:t>
      </w:r>
      <w:r>
        <w:rPr>
          <w:rFonts w:ascii="Calibri" w:cs="Calibri" w:eastAsia="Calibri" w:hAnsi="Calibri"/>
          <w:sz w:val="21"/>
          <w:szCs w:val="21"/>
        </w:rPr>
        <w:t xml:space="preserve">This is the exact clause to bring to the attorney consult ◆ — it’s a governance-law question, not a drafting-style one.</w:t>
      </w:r>
    </w:p>
    <w:p>
      <w:pPr>
        <w:pStyle w:val="Heading1"/>
        <w:spacing w:after="120" w:before="200"/>
      </w:pPr>
      <w:r>
        <w:rPr>
          <w:rFonts w:ascii="Calibri" w:cs="Calibri" w:eastAsia="Calibri" w:hAnsi="Calibri"/>
          <w:b/>
          <w:bCs/>
          <w:color w:val="2E5E4E"/>
          <w:sz w:val="26"/>
          <w:szCs w:val="26"/>
        </w:rPr>
        <w:t xml:space="preserve">Recommended board size and seats</w:t>
      </w:r>
    </w:p>
    <w:p>
      <w:pPr>
        <w:spacing w:after="120"/>
      </w:pPr>
      <w:r>
        <w:rPr>
          <w:rFonts w:ascii="Calibri" w:cs="Calibri" w:eastAsia="Calibri" w:hAnsi="Calibri"/>
          <w:sz w:val="21"/>
          <w:szCs w:val="21"/>
        </w:rPr>
        <w:t xml:space="preserve">Colorado law requires only one director, and a nonprofit corporation defaults to needing a president, secretary, and treasurer unless the bylaws say otherwise — the same person can hold more than one office. But the IRS looks favorably on independent boards when reviewing Form 1023, and a one- or two-person board doesn’t actually deliver what you said you wanted (real accountability). Target five seats: you, plus four that cover exactly what you’ve named as missing.</w:t>
      </w:r>
    </w:p>
    <w:tbl>
      <w:tblPr>
        <w:tblW w:type="dxa" w:w="9200"/>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2600"/>
        <w:gridCol w:w="4700"/>
      </w:tblGrid>
      <w:tr>
        <w:tc>
          <w:tcPr>
            <w:tcW w:type="dxa" w:w="1900"/>
            <w:shd w:fill="2E5E4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Seat</w:t>
            </w:r>
          </w:p>
        </w:tc>
        <w:tc>
          <w:tcPr>
            <w:tcW w:type="dxa" w:w="2600"/>
            <w:shd w:fill="2E5E4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Fills the gap</w:t>
            </w:r>
          </w:p>
        </w:tc>
        <w:tc>
          <w:tcPr>
            <w:tcW w:type="dxa" w:w="4700"/>
            <w:shd w:fill="2E5E4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What "good" looks like here</w:t>
            </w:r>
          </w:p>
        </w:tc>
      </w:tr>
      <w:tr>
        <w:tc>
          <w:tcPr>
            <w:tcW w:type="dxa" w:w="1900"/>
            <w:shd w:fill="F7F7F7" w:val="clear"/>
            <w:tcMar>
              <w:top w:type="dxa" w:w="60"/>
              <w:left w:type="dxa" w:w="100"/>
              <w:bottom w:type="dxa" w:w="60"/>
              <w:right w:type="dxa" w:w="100"/>
            </w:tcMar>
          </w:tcPr>
          <w:p>
            <w:pPr>
              <w:spacing w:after="0"/>
            </w:pPr>
            <w:r>
              <w:rPr>
                <w:rFonts w:ascii="Calibri" w:cs="Calibri" w:eastAsia="Calibri" w:hAnsi="Calibri"/>
                <w:b/>
                <w:bCs/>
                <w:sz w:val="19"/>
                <w:szCs w:val="19"/>
              </w:rPr>
              <w:t xml:space="preserve">You (Founder/Executive Director &amp; Board Chair — decided)</w:t>
            </w:r>
          </w:p>
        </w:tc>
        <w:tc>
          <w:tcPr>
            <w:tcW w:type="dxa" w:w="2600"/>
            <w:shd w:fill="F7F7F7"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Mission continuity</w:t>
            </w:r>
          </w:p>
        </w:tc>
        <w:tc>
          <w:tcPr>
            <w:tcW w:type="dxa" w:w="4700"/>
            <w:shd w:fill="F7F7F7"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Voting member and chair, by your decision. The reserved formation-integrity domain holds regardless of who chairs. Recruiting by relationship, not credential-distance, is the intended model (see below) — the disclosures that matter are narrow and specific, not a headcount of who knows you well.</w:t>
            </w:r>
          </w:p>
        </w:tc>
      </w:tr>
      <w:tr>
        <w:tc>
          <w:tcPr>
            <w:tcW w:type="dxa" w:w="1900"/>
            <w:tcMar>
              <w:top w:type="dxa" w:w="60"/>
              <w:left w:type="dxa" w:w="100"/>
              <w:bottom w:type="dxa" w:w="60"/>
              <w:right w:type="dxa" w:w="100"/>
            </w:tcMar>
          </w:tcPr>
          <w:p>
            <w:pPr>
              <w:spacing w:after="0"/>
            </w:pPr>
            <w:r>
              <w:rPr>
                <w:rFonts w:ascii="Calibri" w:cs="Calibri" w:eastAsia="Calibri" w:hAnsi="Calibri"/>
                <w:b/>
                <w:bCs/>
                <w:sz w:val="19"/>
                <w:szCs w:val="19"/>
              </w:rPr>
              <w:t xml:space="preserve">Treasurer / Finance</w:t>
            </w:r>
          </w:p>
        </w:tc>
        <w:tc>
          <w:tcPr>
            <w:tcW w:type="dxa" w:w="2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You have none</w:t>
            </w:r>
          </w:p>
        </w:tc>
        <w:tc>
          <w:tcPr>
            <w:tcW w:type="dxa" w:w="47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Bookkeeping or nonprofit-finance background; comfortable reading a 990 and a cash-flow projection; becomes the natural second signer once a bank account exists.</w:t>
            </w:r>
          </w:p>
        </w:tc>
      </w:tr>
      <w:tr>
        <w:tc>
          <w:tcPr>
            <w:tcW w:type="dxa" w:w="1900"/>
            <w:shd w:fill="F7F7F7" w:val="clear"/>
            <w:tcMar>
              <w:top w:type="dxa" w:w="60"/>
              <w:left w:type="dxa" w:w="100"/>
              <w:bottom w:type="dxa" w:w="60"/>
              <w:right w:type="dxa" w:w="100"/>
            </w:tcMar>
          </w:tcPr>
          <w:p>
            <w:pPr>
              <w:spacing w:after="0"/>
            </w:pPr>
            <w:r>
              <w:rPr>
                <w:rFonts w:ascii="Calibri" w:cs="Calibri" w:eastAsia="Calibri" w:hAnsi="Calibri"/>
                <w:b/>
                <w:bCs/>
                <w:sz w:val="19"/>
                <w:szCs w:val="19"/>
              </w:rPr>
              <w:t xml:space="preserve">Legal / Governance</w:t>
            </w:r>
          </w:p>
        </w:tc>
        <w:tc>
          <w:tcPr>
            <w:tcW w:type="dxa" w:w="2600"/>
            <w:shd w:fill="F7F7F7"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You have none</w:t>
            </w:r>
          </w:p>
        </w:tc>
        <w:tc>
          <w:tcPr>
            <w:tcW w:type="dxa" w:w="4700"/>
            <w:shd w:fill="F7F7F7"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Not necessarily your formation attorney (real conflict if the same person drafts bylaws and then votes on them) — a different lawyer or a paralegal/compliance-minded person who keeps filings and policy current after formation.</w:t>
            </w:r>
          </w:p>
        </w:tc>
      </w:tr>
      <w:tr>
        <w:tc>
          <w:tcPr>
            <w:tcW w:type="dxa" w:w="1900"/>
            <w:tcMar>
              <w:top w:type="dxa" w:w="60"/>
              <w:left w:type="dxa" w:w="100"/>
              <w:bottom w:type="dxa" w:w="60"/>
              <w:right w:type="dxa" w:w="100"/>
            </w:tcMar>
          </w:tcPr>
          <w:p>
            <w:pPr>
              <w:spacing w:after="0"/>
            </w:pPr>
            <w:r>
              <w:rPr>
                <w:rFonts w:ascii="Calibri" w:cs="Calibri" w:eastAsia="Calibri" w:hAnsi="Calibri"/>
                <w:b/>
                <w:bCs/>
                <w:sz w:val="19"/>
                <w:szCs w:val="19"/>
              </w:rPr>
              <w:t xml:space="preserve">Katherine Wilson — role undecided</w:t>
            </w:r>
          </w:p>
        </w:tc>
        <w:tc>
          <w:tcPr>
            <w:tcW w:type="dxa" w:w="2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Governance literacy + research-ethics rigor + AI fluency, IF the shape is right</w:t>
            </w:r>
          </w:p>
        </w:tc>
        <w:tc>
          <w:tcPr>
            <w:tcW w:type="dxa" w:w="47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Highly qualified; you’ve named a real concern about family power dynamics on a vote. See the options below — not yet resolved into a seat.</w:t>
            </w:r>
          </w:p>
        </w:tc>
      </w:tr>
      <w:tr>
        <w:tc>
          <w:tcPr>
            <w:tcW w:type="dxa" w:w="1900"/>
            <w:shd w:fill="F7F7F7" w:val="clear"/>
            <w:tcMar>
              <w:top w:type="dxa" w:w="60"/>
              <w:left w:type="dxa" w:w="100"/>
              <w:bottom w:type="dxa" w:w="60"/>
              <w:right w:type="dxa" w:w="100"/>
            </w:tcMar>
          </w:tcPr>
          <w:p>
            <w:pPr>
              <w:spacing w:after="0"/>
            </w:pPr>
            <w:r>
              <w:rPr>
                <w:rFonts w:ascii="Calibri" w:cs="Calibri" w:eastAsia="Calibri" w:hAnsi="Calibri"/>
                <w:b/>
                <w:bCs/>
                <w:sz w:val="19"/>
                <w:szCs w:val="19"/>
              </w:rPr>
              <w:t xml:space="preserve">Mission-aligned generalist (pastor, ministry leader, or "believer")</w:t>
            </w:r>
          </w:p>
        </w:tc>
        <w:tc>
          <w:tcPr>
            <w:tcW w:type="dxa" w:w="2600"/>
            <w:shd w:fill="F7F7F7"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Breadth + a vote that isn’t a specialist’s</w:t>
            </w:r>
          </w:p>
        </w:tc>
        <w:tc>
          <w:tcPr>
            <w:tcW w:type="dxa" w:w="4700"/>
            <w:shd w:fill="F7F7F7"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Someone who has watched you build this, isn’t a specialist in anything above, and votes as a steward of the mission — the kind of person the Letter to Friends was already written for.</w:t>
            </w:r>
          </w:p>
        </w:tc>
      </w:tr>
    </w:tbl>
    <w:p>
      <w:pPr>
        <w:spacing w:after="200"/>
      </w:pPr>
      <w:r>
        <w:rPr>
          <w:rFonts w:ascii="Calibri" w:cs="Calibri" w:eastAsia="Calibri" w:hAnsi="Calibri"/>
          <w:b/>
          <w:bCs/>
          <w:sz w:val="21"/>
          <w:szCs w:val="21"/>
        </w:rPr>
        <w:t xml:space="preserve">A flag worth catching now: </w:t>
      </w:r>
      <w:r>
        <w:rPr>
          <w:rFonts w:ascii="Calibri" w:cs="Calibri" w:eastAsia="Calibri" w:hAnsi="Calibri"/>
          <w:sz w:val="21"/>
          <w:szCs w:val="21"/>
        </w:rPr>
        <w:t xml:space="preserve">the Article 31 external scholarly reviewer search (funding log, 2026-07-08, still open) is now fully separate from the board — Katherine’s field (genocide studies) isn’t the subject-specific historical/theological standing Article 31 requires, and the family tie would have ruled her out regardless. The open question this leaves: does the board still need a seat that reassures funders on historical/theological credibility specifically (patristics, church history), or does the seminary-partnership conversation already underway (funding log, Ring 2) cover that need without a dedicated sixth seat? Worth Mark’s call, not decided here.</w:t>
      </w:r>
    </w:p>
    <w:p>
      <w:pPr>
        <w:pStyle w:val="Heading2"/>
        <w:spacing w:after="120" w:before="200"/>
      </w:pPr>
      <w:r>
        <w:rPr>
          <w:rFonts w:ascii="Calibri" w:cs="Calibri" w:eastAsia="Calibri" w:hAnsi="Calibri"/>
          <w:b/>
          <w:bCs/>
          <w:color w:val="2E5E4E"/>
          <w:sz w:val="23"/>
          <w:szCs w:val="23"/>
        </w:rPr>
        <w:t xml:space="preserve">Officer requirements (Colorado law)</w:t>
      </w:r>
    </w:p>
    <w:p>
      <w:pPr>
        <w:spacing w:after="120"/>
      </w:pPr>
      <w:r>
        <w:rPr>
          <w:rFonts w:ascii="Calibri" w:cs="Calibri" w:eastAsia="Calibri" w:hAnsi="Calibri"/>
          <w:sz w:val="21"/>
          <w:szCs w:val="21"/>
        </w:rPr>
        <w:t xml:space="preserve">President, Secretary, and Treasurer are required by default; the same person may hold more than one office but you likely won’t need to double up at five seats. Natural mapping: you as President and Board Chair, the legal/governance seat as Secretary (keeper of minutes and records — the role Colorado law explicitly assigns), the finance seat as Treasurer.</w:t>
      </w:r>
    </w:p>
    <w:p>
      <w:pPr>
        <w:pStyle w:val="Heading2"/>
        <w:spacing w:after="120" w:before="200"/>
      </w:pPr>
      <w:r>
        <w:rPr>
          <w:rFonts w:ascii="Calibri" w:cs="Calibri" w:eastAsia="Calibri" w:hAnsi="Calibri"/>
          <w:b/>
          <w:bCs/>
          <w:color w:val="2E5E4E"/>
          <w:sz w:val="23"/>
          <w:szCs w:val="23"/>
        </w:rPr>
        <w:t xml:space="preserve">Conflict-of-interest policy — why it’s not optional</w:t>
      </w:r>
    </w:p>
    <w:p>
      <w:pPr>
        <w:spacing w:after="120"/>
      </w:pPr>
      <w:r>
        <w:rPr>
          <w:rFonts w:ascii="Calibri" w:cs="Calibri" w:eastAsia="Calibri" w:hAnsi="Calibri"/>
          <w:sz w:val="21"/>
          <w:szCs w:val="21"/>
        </w:rPr>
        <w:t xml:space="preserve">Form 1023 asks directly whether the organization has adopted a conflict-of-interest policy and will attach it if so — the IRS publishes a model policy in the 1023 instructions that most small nonprofits adopt close to verbatim. Adopt it at the organizational meeting alongside the bylaws. It does double duty: it’s also the instrument that formally governs the academic-seat/Article-31-reviewer overlap above, and your own compensation review (disinterested directors, comparability data — already flagged for the attorney).</w:t>
      </w:r>
    </w:p>
    <w:p>
      <w:pPr>
        <w:spacing w:after="200"/>
      </w:pPr>
      <w:r>
        <w:rPr>
          <w:rFonts w:ascii="Calibri" w:cs="Calibri" w:eastAsia="Calibri" w:hAnsi="Calibri"/>
          <w:b/>
          <w:bCs/>
          <w:sz w:val="21"/>
          <w:szCs w:val="21"/>
        </w:rPr>
        <w:t xml:space="preserve">Family on the board is common and not a problem by itself — it becomes one only where it’s undisclosed or where it quietly sits on a vote it shouldn’t. </w:t>
      </w:r>
      <w:r>
        <w:rPr>
          <w:rFonts w:ascii="Calibri" w:cs="Calibri" w:eastAsia="Calibri" w:hAnsi="Calibri"/>
          <w:sz w:val="21"/>
          <w:szCs w:val="21"/>
        </w:rPr>
        <w:t xml:space="preserve">With Katherine as your niece (confirmed 2026-07-15), two mechanical fixes handle it cleanly: (1) Form 1023 Part V asks directly about family and business relationships among officers and directors — answer it plainly, it’s a disclosure question, not a disqualifying one. (2) The IRC 4958 rebuttable-presumption safe harbor for your own compensation requires approval by directors with no conflict of interest — Katherine cannot be one of them. Recommended: a compensation committee of the non-family, non-business-tied seats only (Finance, Legal, Generalist once filled) handles your comp vote specifically; Katherine participates normally in every other board matter.</w:t>
      </w:r>
    </w:p>
    <w:p>
      <w:r>
        <w:br w:type="page"/>
      </w:r>
    </w:p>
    <w:p>
      <w:pPr>
        <w:pStyle w:val="Heading1"/>
        <w:spacing w:after="120" w:before="200"/>
      </w:pPr>
      <w:r>
        <w:rPr>
          <w:rFonts w:ascii="Calibri" w:cs="Calibri" w:eastAsia="Calibri" w:hAnsi="Calibri"/>
          <w:b/>
          <w:bCs/>
          <w:color w:val="2E5E4E"/>
          <w:sz w:val="26"/>
          <w:szCs w:val="26"/>
        </w:rPr>
        <w:t xml:space="preserve">Candidate cultivation — sequence and approach</w:t>
      </w:r>
    </w:p>
    <w:p>
      <w:pPr>
        <w:spacing w:after="120"/>
      </w:pPr>
      <w:r>
        <w:rPr>
          <w:rFonts w:ascii="Calibri" w:cs="Calibri" w:eastAsia="Calibri" w:hAnsi="Calibri"/>
          <w:b/>
          <w:bCs/>
          <w:sz w:val="21"/>
          <w:szCs w:val="21"/>
        </w:rPr>
        <w:t xml:space="preserve">Recruiting order: </w:t>
      </w:r>
      <w:r>
        <w:rPr>
          <w:rFonts w:ascii="Calibri" w:cs="Calibri" w:eastAsia="Calibri" w:hAnsi="Calibri"/>
          <w:sz w:val="21"/>
          <w:szCs w:val="21"/>
        </w:rPr>
        <w:t xml:space="preserve">mission-aligned generalist first (lowest bar, warmest network, builds momentum), then finance, then legal, then academic last (often the hardest "yes" and the one most worth being patient for — a seminary-partnership conversation may deliver it alongside the Article 31 reviewer).</w:t>
      </w:r>
    </w:p>
    <w:p>
      <w:pPr>
        <w:pStyle w:val="ListParagraph"/>
        <w:numPr>
          <w:ilvl w:val="0"/>
          <w:numId w:val="2"/>
        </w:numPr>
        <w:spacing w:after="80"/>
      </w:pPr>
      <w:r>
        <w:rPr>
          <w:rFonts w:ascii="Calibri" w:cs="Calibri" w:eastAsia="Calibri" w:hAnsi="Calibri"/>
          <w:b/>
          <w:bCs/>
          <w:sz w:val="21"/>
          <w:szCs w:val="21"/>
        </w:rPr>
        <w:t xml:space="preserve">Start inside the Letter to Friends circle.</w:t>
      </w:r>
      <w:r>
        <w:rPr>
          <w:rFonts w:ascii="Calibri" w:cs="Calibri" w:eastAsia="Calibri" w:hAnsi="Calibri"/>
          <w:sz w:val="21"/>
          <w:szCs w:val="21"/>
        </w:rPr>
        <w:t xml:space="preserve"> People who already trust the vision are the highest-probability yes for the generalist seat, and often know a CPA, an attorney, or an academic personally — ask each "yes" who else they’d suggest, the same relational-sourcing pattern that’s already working for the Article 31 search.</w:t>
      </w:r>
    </w:p>
    <w:p>
      <w:pPr>
        <w:pStyle w:val="ListParagraph"/>
        <w:numPr>
          <w:ilvl w:val="0"/>
          <w:numId w:val="2"/>
        </w:numPr>
        <w:spacing w:after="80"/>
      </w:pPr>
      <w:r>
        <w:rPr>
          <w:rFonts w:ascii="Calibri" w:cs="Calibri" w:eastAsia="Calibri" w:hAnsi="Calibri"/>
          <w:b/>
          <w:bCs/>
          <w:sz w:val="21"/>
          <w:szCs w:val="21"/>
        </w:rPr>
        <w:t xml:space="preserve">What to actually ask for in a first conversation: </w:t>
      </w:r>
      <w:r>
        <w:rPr>
          <w:rFonts w:ascii="Calibri" w:cs="Calibri" w:eastAsia="Calibri" w:hAnsi="Calibri"/>
          <w:sz w:val="21"/>
          <w:szCs w:val="21"/>
        </w:rPr>
        <w:t xml:space="preserve">not "will you join my board" cold. Show them the vision document and the roadmap, be honest about where the project actually is (Prototype 1, not yet funded), and ask what they think before asking what they’d give. A board seat offered before someone has really engaged the material invites a polite, disengaged yes — worse than a slower real one.</w:t>
      </w:r>
    </w:p>
    <w:p>
      <w:pPr>
        <w:pStyle w:val="ListParagraph"/>
        <w:numPr>
          <w:ilvl w:val="0"/>
          <w:numId w:val="2"/>
        </w:numPr>
        <w:spacing w:after="80"/>
      </w:pPr>
      <w:r>
        <w:rPr>
          <w:rFonts w:ascii="Calibri" w:cs="Calibri" w:eastAsia="Calibri" w:hAnsi="Calibri"/>
          <w:b/>
          <w:bCs/>
          <w:sz w:val="21"/>
          <w:szCs w:val="21"/>
        </w:rPr>
        <w:t xml:space="preserve">What a real board member costs you: </w:t>
      </w:r>
      <w:r>
        <w:rPr>
          <w:rFonts w:ascii="Calibri" w:cs="Calibri" w:eastAsia="Calibri" w:hAnsi="Calibri"/>
          <w:sz w:val="21"/>
          <w:szCs w:val="21"/>
        </w:rPr>
        <w:t xml:space="preserve">quarterly meetings minimum, real financial disclosure, and genuine authority over the organizational-governance domain above. Naming this plainly up front is itself a credibility signal — it tells a serious candidate you’re not looking for a rubber stamp.</w:t>
      </w:r>
    </w:p>
    <w:p>
      <w:pPr>
        <w:pStyle w:val="ListParagraph"/>
        <w:numPr>
          <w:ilvl w:val="0"/>
          <w:numId w:val="2"/>
        </w:numPr>
        <w:spacing w:after="80"/>
      </w:pPr>
      <w:r>
        <w:rPr>
          <w:rFonts w:ascii="Calibri" w:cs="Calibri" w:eastAsia="Calibri" w:hAnsi="Calibri"/>
          <w:b/>
          <w:bCs/>
          <w:sz w:val="21"/>
          <w:szCs w:val="21"/>
        </w:rPr>
        <w:t xml:space="preserve">D&amp;O insurance before the first real board vote </w:t>
      </w:r>
      <w:r>
        <w:rPr>
          <w:rFonts w:ascii="Calibri" w:cs="Calibri" w:eastAsia="Calibri" w:hAnsi="Calibri"/>
          <w:sz w:val="21"/>
          <w:szCs w:val="21"/>
        </w:rPr>
        <w:t xml:space="preserve">(quoted in the formation roadmap, ~$600–1,200/yr) — asking someone to accept fiduciary risk with no coverage in place is a legitimate reason for a good candidate to say no.</w:t>
      </w:r>
    </w:p>
    <w:p>
      <w:pPr>
        <w:pStyle w:val="Heading2"/>
        <w:spacing w:after="120" w:before="200"/>
      </w:pPr>
      <w:r>
        <w:rPr>
          <w:rFonts w:ascii="Calibri" w:cs="Calibri" w:eastAsia="Calibri" w:hAnsi="Calibri"/>
          <w:b/>
          <w:bCs/>
          <w:color w:val="2E5E4E"/>
          <w:sz w:val="23"/>
          <w:szCs w:val="23"/>
        </w:rPr>
        <w:t xml:space="preserve">Candidate worksheet — two names surfaced already</w:t>
      </w:r>
    </w:p>
    <w:p>
      <w:pPr>
        <w:spacing w:after="100"/>
      </w:pPr>
      <w:r>
        <w:rPr>
          <w:rFonts w:ascii="Calibri" w:cs="Calibri" w:eastAsia="Calibri" w:hAnsi="Calibri"/>
          <w:sz w:val="21"/>
          <w:szCs w:val="21"/>
        </w:rPr>
        <w:t xml:space="preserve">Two real candidates named (2026-07-15). A read on each follows the table.</w:t>
      </w:r>
    </w:p>
    <w:tbl>
      <w:tblPr>
        <w:tblW w:type="dxa" w:w="920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1900"/>
        <w:gridCol w:w="2600"/>
        <w:gridCol w:w="3200"/>
      </w:tblGrid>
      <w:tr>
        <w:tc>
          <w:tcPr>
            <w:tcW w:type="dxa" w:w="1500"/>
            <w:shd w:fill="2E5E4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Seat</w:t>
            </w:r>
          </w:p>
        </w:tc>
        <w:tc>
          <w:tcPr>
            <w:tcW w:type="dxa" w:w="1900"/>
            <w:shd w:fill="2E5E4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Name</w:t>
            </w:r>
          </w:p>
        </w:tc>
        <w:tc>
          <w:tcPr>
            <w:tcW w:type="dxa" w:w="2600"/>
            <w:shd w:fill="2E5E4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Relationship / how you know them</w:t>
            </w:r>
          </w:p>
        </w:tc>
        <w:tc>
          <w:tcPr>
            <w:tcW w:type="dxa" w:w="3200"/>
            <w:shd w:fill="2E5E4E"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Status</w:t>
            </w:r>
          </w:p>
        </w:tc>
      </w:tr>
      <w:tr>
        <w:tc>
          <w:tcPr>
            <w:tcW w:type="dxa" w:w="1500"/>
            <w:shd w:fill="F7F7F7" w:val="clear"/>
            <w:tcMar>
              <w:top w:type="dxa" w:w="60"/>
              <w:left w:type="dxa" w:w="100"/>
              <w:bottom w:type="dxa" w:w="60"/>
              <w:right w:type="dxa" w:w="100"/>
            </w:tcMar>
          </w:tcPr>
          <w:p>
            <w:pPr>
              <w:spacing w:after="0"/>
            </w:pPr>
            <w:r>
              <w:rPr>
                <w:rFonts w:ascii="Calibri" w:cs="Calibri" w:eastAsia="Calibri" w:hAnsi="Calibri"/>
                <w:b/>
                <w:bCs/>
                <w:sz w:val="19"/>
                <w:szCs w:val="19"/>
              </w:rPr>
              <w:t xml:space="preserve">Undecided — voting vs. advisory</w:t>
            </w:r>
          </w:p>
        </w:tc>
        <w:tc>
          <w:tcPr>
            <w:tcW w:type="dxa" w:w="1900"/>
            <w:shd w:fill="F7F7F7"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Katherine Wilson</w:t>
            </w:r>
          </w:p>
        </w:tc>
        <w:tc>
          <w:tcPr>
            <w:tcW w:type="dxa" w:w="2600"/>
            <w:shd w:fill="F7F7F7"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Your niece; PhD Genocide Studies; ex-nonprofit board president; facilitator; author/ghostwriter; seminary training; AI-forward</w:t>
            </w:r>
          </w:p>
        </w:tc>
        <w:tc>
          <w:tcPr>
            <w:tcW w:type="dxa" w:w="3200"/>
            <w:shd w:fill="F7F7F7"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Paused — power-dynamic concern raised 2026-07-15</w:t>
            </w:r>
          </w:p>
        </w:tc>
      </w:tr>
      <w:tr>
        <w:tc>
          <w:tcPr>
            <w:tcW w:type="dxa" w:w="1500"/>
            <w:tcMar>
              <w:top w:type="dxa" w:w="60"/>
              <w:left w:type="dxa" w:w="100"/>
              <w:bottom w:type="dxa" w:w="60"/>
              <w:right w:type="dxa" w:w="100"/>
            </w:tcMar>
          </w:tcPr>
          <w:p>
            <w:pPr>
              <w:spacing w:after="0"/>
            </w:pPr>
            <w:r>
              <w:rPr>
                <w:rFonts w:ascii="Calibri" w:cs="Calibri" w:eastAsia="Calibri" w:hAnsi="Calibri"/>
                <w:b/>
                <w:bCs/>
                <w:sz w:val="19"/>
                <w:szCs w:val="19"/>
              </w:rPr>
              <w:t xml:space="preserve">Finance — probable fit</w:t>
            </w:r>
          </w:p>
        </w:tc>
        <w:tc>
          <w:tcPr>
            <w:tcW w:type="dxa" w:w="1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Luke Vanso</w:t>
            </w:r>
          </w:p>
        </w:tc>
        <w:tc>
          <w:tcPr>
            <w:tcW w:type="dxa" w:w="2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Ministry, finance, boards, venture-capital background</w:t>
            </w:r>
          </w:p>
        </w:tc>
        <w:tc>
          <w:tcPr>
            <w:tcW w:type="dxa" w:w="32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Cultivating — "maybe," strong personality noted</w:t>
            </w:r>
          </w:p>
        </w:tc>
      </w:tr>
      <w:tr>
        <w:tc>
          <w:tcPr>
            <w:tcW w:type="dxa" w:w="1500"/>
            <w:shd w:fill="F7F7F7" w:val="clear"/>
            <w:tcMar>
              <w:top w:type="dxa" w:w="60"/>
              <w:left w:type="dxa" w:w="100"/>
              <w:bottom w:type="dxa" w:w="60"/>
              <w:right w:type="dxa" w:w="100"/>
            </w:tcMar>
          </w:tcPr>
          <w:p>
            <w:pPr>
              <w:spacing w:after="0"/>
            </w:pPr>
            <w:r>
              <w:rPr>
                <w:rFonts w:ascii="Calibri" w:cs="Calibri" w:eastAsia="Calibri" w:hAnsi="Calibri"/>
                <w:b/>
                <w:bCs/>
                <w:sz w:val="19"/>
                <w:szCs w:val="19"/>
              </w:rPr>
              <w:t xml:space="preserve">Generalist — likely fit</w:t>
            </w:r>
          </w:p>
        </w:tc>
        <w:tc>
          <w:tcPr>
            <w:tcW w:type="dxa" w:w="1900"/>
            <w:shd w:fill="F7F7F7"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Mark’s pastor</w:t>
            </w:r>
          </w:p>
        </w:tc>
        <w:tc>
          <w:tcPr>
            <w:tcW w:type="dxa" w:w="2600"/>
            <w:shd w:fill="F7F7F7"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Their church is the intended interim designated-fund sponsor (2026-07-15)</w:t>
            </w:r>
          </w:p>
        </w:tc>
        <w:tc>
          <w:tcPr>
            <w:tcW w:type="dxa" w:w="3200"/>
            <w:shd w:fill="F7F7F7"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Considering</w:t>
            </w:r>
          </w:p>
        </w:tc>
      </w:tr>
      <w:tr>
        <w:tc>
          <w:tcPr>
            <w:tcW w:type="dxa" w:w="1500"/>
            <w:tcMar>
              <w:top w:type="dxa" w:w="60"/>
              <w:left w:type="dxa" w:w="100"/>
              <w:bottom w:type="dxa" w:w="60"/>
              <w:right w:type="dxa" w:w="100"/>
            </w:tcMar>
          </w:tcPr>
          <w:p>
            <w:pPr>
              <w:spacing w:after="0"/>
            </w:pPr>
            <w:r>
              <w:rPr>
                <w:rFonts w:ascii="Calibri" w:cs="Calibri" w:eastAsia="Calibri" w:hAnsi="Calibri"/>
                <w:b/>
                <w:bCs/>
                <w:sz w:val="19"/>
                <w:szCs w:val="19"/>
              </w:rPr>
              <w:t xml:space="preserve">Legal</w:t>
            </w:r>
          </w:p>
        </w:tc>
        <w:tc>
          <w:tcPr>
            <w:tcW w:type="dxa" w:w="1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2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32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r>
    </w:tbl>
    <w:p>
      <w:pPr>
        <w:pStyle w:val="Heading2"/>
        <w:spacing w:after="120" w:before="200"/>
      </w:pPr>
      <w:r>
        <w:rPr>
          <w:rFonts w:ascii="Calibri" w:cs="Calibri" w:eastAsia="Calibri" w:hAnsi="Calibri"/>
          <w:b/>
          <w:bCs/>
          <w:color w:val="2E5E4E"/>
          <w:sz w:val="23"/>
          <w:szCs w:val="23"/>
        </w:rPr>
        <w:t xml:space="preserve">A read on the two named candidates</w:t>
      </w:r>
    </w:p>
    <w:p>
      <w:pPr>
        <w:pStyle w:val="ListParagraph"/>
        <w:numPr>
          <w:ilvl w:val="0"/>
          <w:numId w:val="2"/>
        </w:numPr>
        <w:spacing w:after="80"/>
      </w:pPr>
      <w:r>
        <w:rPr>
          <w:rFonts w:ascii="Calibri" w:cs="Calibri" w:eastAsia="Calibri" w:hAnsi="Calibri"/>
          <w:b/>
          <w:bCs/>
          <w:sz w:val="21"/>
          <w:szCs w:val="21"/>
        </w:rPr>
        <w:t xml:space="preserve">Katherine Wilson — you answered the heart question directly: seated for who she is, not one narrow function. </w:t>
      </w:r>
      <w:r>
        <w:rPr>
          <w:rFonts w:ascii="Calibri" w:cs="Calibri" w:eastAsia="Calibri" w:hAnsi="Calibri"/>
          <w:sz w:val="21"/>
          <w:szCs w:val="21"/>
        </w:rPr>
        <w:t xml:space="preserve">You want her as a full board member for her wisdom and perspective — her journey and her expertise — not slotted into a single lane. That’s the right call and this doc follows it: no narrow "research ethics seat" label, no attempt to define her contribution down to one credential.</w:t>
      </w:r>
      <w:r>
        <w:rPr>
          <w:rFonts w:ascii="Calibri" w:cs="Calibri" w:eastAsia="Calibri" w:hAnsi="Calibri"/>
          <w:sz w:val="21"/>
          <w:szCs w:val="21"/>
        </w:rPr>
        <w:t xml:space="preserve"> What actually surfaced, taken together, is a genuinely strong profile: she has already served as </w:t>
      </w:r>
      <w:r>
        <w:rPr>
          <w:rFonts w:ascii="Calibri" w:cs="Calibri" w:eastAsia="Calibri" w:hAnsi="Calibri"/>
          <w:b/>
          <w:bCs/>
          <w:sz w:val="21"/>
          <w:szCs w:val="21"/>
        </w:rPr>
        <w:t xml:space="preserve">president of a nonprofit and sat on other boards</w:t>
      </w:r>
      <w:r>
        <w:rPr>
          <w:rFonts w:ascii="Calibri" w:cs="Calibri" w:eastAsia="Calibri" w:hAnsi="Calibri"/>
          <w:sz w:val="21"/>
          <w:szCs w:val="21"/>
        </w:rPr>
        <w:t xml:space="preserve"> — real governance literacy that neither you nor any other candidate named so far brings. That matters practically (she’ll know how a board meeting, a vote, a minutes record, a fiduciary duty actually work, day one) as well as symbolically — someone who has led a board before can help this one become a real one rather than a rubber stamp, which is the whole point of doing this at all. She’s also </w:t>
      </w:r>
      <w:r>
        <w:rPr>
          <w:rFonts w:ascii="Calibri" w:cs="Calibri" w:eastAsia="Calibri" w:hAnsi="Calibri"/>
          <w:b/>
          <w:bCs/>
          <w:sz w:val="21"/>
          <w:szCs w:val="21"/>
        </w:rPr>
        <w:t xml:space="preserve">AI-forward</w:t>
      </w:r>
      <w:r>
        <w:rPr>
          <w:rFonts w:ascii="Calibri" w:cs="Calibri" w:eastAsia="Calibri" w:hAnsi="Calibri"/>
          <w:sz w:val="21"/>
          <w:szCs w:val="21"/>
        </w:rPr>
        <w:t xml:space="preserve"> by your description — genuinely rare paired with seminary training, and directly useful to a project whose fifth conviction ("Technology Should Serve Encounter, Never Replace It") needs a board member who can tell the difference between the technology serving the mission and the technology quietly reshaping it, from real fluency rather than either technophobia or hype. Add the PhD in Genocide Studies (ethics of representing atrocity and marginalized voices without flattening them — close to word-for-word the Historical Responsibility conviction), the facilitator craft (a peer to your own IAF background), the author/ghostwriter skill (useful for the case-for-support work ahead), and her own deconstruction-and-reconstruction journey (she is close to the exact person the project’s Need section describes) — this isn’t a seat filled by proximity. It’s one of the strongest candidates on the whole board.</w:t>
      </w:r>
      <w:r>
        <w:rPr>
          <w:rFonts w:ascii="Calibri" w:cs="Calibri" w:eastAsia="Calibri" w:hAnsi="Calibri"/>
          <w:sz w:val="21"/>
          <w:szCs w:val="21"/>
        </w:rPr>
        <w:t xml:space="preserve"> What stays unchanged regardless: the family disclosure and comp-committee mechanics above (mechanical, not a judgment on her fit), and the Article 31 closure (her field and the family tie both independently rule her out as reviewer — settled, not open).</w:t>
      </w:r>
    </w:p>
    <w:p>
      <w:pPr>
        <w:spacing w:after="120"/>
      </w:pPr>
      <w:r>
        <w:rPr>
          <w:rFonts w:ascii="Calibri" w:cs="Calibri" w:eastAsia="Calibri" w:hAnsi="Calibri"/>
          <w:b/>
          <w:bCs/>
          <w:sz w:val="21"/>
          <w:szCs w:val="21"/>
        </w:rPr>
        <w:t xml:space="preserve">Update, same day: her role is genuinely undecided. </w:t>
      </w:r>
      <w:r>
        <w:rPr>
          <w:rFonts w:ascii="Calibri" w:cs="Calibri" w:eastAsia="Calibri" w:hAnsi="Calibri"/>
          <w:sz w:val="21"/>
          <w:szCs w:val="21"/>
        </w:rPr>
        <w:t xml:space="preserve">Mark raised a real, unresolved concern — a family relationship on the board may set the wrong power dynamic. Not a mechanical problem; not solved by the disclosure/comp-committee fixes above, which address a different risk (self-dealing on Mark’s pay, not the general dynamic of an uncle and niece both at the table). Worth naming precisely: this cuts two ways, not one — she may defer to Mark out of family loyalty on a hard vote (which defeats the reason he wants her there — her honest voice), or the other directors may quietly hold back in front of her, reading her as an extension of Mark rather than an independent peer. Either failure mode shrinks the board’s honesty, not just hers.</w:t>
      </w:r>
    </w:p>
    <w:p>
      <w:pPr>
        <w:spacing w:after="120"/>
      </w:pPr>
      <w:r>
        <w:rPr>
          <w:rFonts w:ascii="Calibri" w:cs="Calibri" w:eastAsia="Calibri" w:hAnsi="Calibri"/>
          <w:b/>
          <w:bCs/>
          <w:sz w:val="21"/>
          <w:szCs w:val="21"/>
        </w:rPr>
        <w:t xml:space="preserve">Three shapes worth weighing, none decided here:</w:t>
      </w:r>
    </w:p>
    <w:p>
      <w:pPr>
        <w:pStyle w:val="ListParagraph"/>
        <w:numPr>
          <w:ilvl w:val="0"/>
          <w:numId w:val="3"/>
        </w:numPr>
        <w:spacing w:after="80"/>
      </w:pPr>
      <w:r>
        <w:rPr>
          <w:rFonts w:ascii="Calibri" w:cs="Calibri" w:eastAsia="Calibri" w:hAnsi="Calibri"/>
          <w:b/>
          <w:bCs/>
          <w:sz w:val="21"/>
          <w:szCs w:val="21"/>
        </w:rPr>
        <w:t xml:space="preserve">Full voting seat (as previously drafted). </w:t>
      </w:r>
      <w:r>
        <w:rPr>
          <w:rFonts w:ascii="Calibri" w:cs="Calibri" w:eastAsia="Calibri" w:hAnsi="Calibri"/>
          <w:sz w:val="21"/>
          <w:szCs w:val="21"/>
        </w:rPr>
        <w:t xml:space="preserve">Everything she brings, full authority, and the power-dynamic risk carried openly rather than engineered away.</w:t>
      </w:r>
    </w:p>
    <w:p>
      <w:pPr>
        <w:pStyle w:val="ListParagraph"/>
        <w:numPr>
          <w:ilvl w:val="0"/>
          <w:numId w:val="3"/>
        </w:numPr>
        <w:spacing w:after="80"/>
      </w:pPr>
      <w:r>
        <w:rPr>
          <w:rFonts w:ascii="Calibri" w:cs="Calibri" w:eastAsia="Calibri" w:hAnsi="Calibri"/>
          <w:b/>
          <w:bCs/>
          <w:sz w:val="21"/>
          <w:szCs w:val="21"/>
        </w:rPr>
        <w:t xml:space="preserve">Advisory / non-voting member. </w:t>
      </w:r>
      <w:r>
        <w:rPr>
          <w:rFonts w:ascii="Calibri" w:cs="Calibri" w:eastAsia="Calibri" w:hAnsi="Calibri"/>
          <w:sz w:val="21"/>
          <w:szCs w:val="21"/>
        </w:rPr>
        <w:t xml:space="preserve">Sits in every meeting, shapes every real discussion, brings the wisdom and perspective Mark said he wants — without a vote attached, so there’s no family vote or bloc to distort. A common, workable structure, not a lesser one.</w:t>
      </w:r>
    </w:p>
    <w:p>
      <w:pPr>
        <w:pStyle w:val="ListParagraph"/>
        <w:numPr>
          <w:ilvl w:val="0"/>
          <w:numId w:val="3"/>
        </w:numPr>
        <w:spacing w:after="80"/>
      </w:pPr>
      <w:r>
        <w:rPr>
          <w:rFonts w:ascii="Calibri" w:cs="Calibri" w:eastAsia="Calibri" w:hAnsi="Calibri"/>
          <w:b/>
          <w:bCs/>
          <w:sz w:val="21"/>
          <w:szCs w:val="21"/>
        </w:rPr>
        <w:t xml:space="preserve">Sequenced. </w:t>
      </w:r>
      <w:r>
        <w:rPr>
          <w:rFonts w:ascii="Calibri" w:cs="Calibri" w:eastAsia="Calibri" w:hAnsi="Calibri"/>
          <w:sz w:val="21"/>
          <w:szCs w:val="21"/>
        </w:rPr>
        <w:t xml:space="preserve">Seat Legal, Finance, and Generalist first; let the board function as independent people for a stretch; decide Katherine’s shape once there’s a working board to fold her into rather than a founder and his niece founding it together on day one. Lowers the optic risk without lowering her value.</w:t>
      </w:r>
    </w:p>
    <w:p>
      <w:pPr>
        <w:spacing w:after="200"/>
      </w:pPr>
      <w:r>
        <w:rPr>
          <w:rFonts w:ascii="Calibri" w:cs="Calibri" w:eastAsia="Calibri" w:hAnsi="Calibri"/>
          <w:b/>
          <w:bCs/>
          <w:sz w:val="21"/>
          <w:szCs w:val="21"/>
        </w:rPr>
        <w:t xml:space="preserve">Recommended before deciding among these: </w:t>
      </w:r>
      <w:r>
        <w:rPr>
          <w:rFonts w:ascii="Calibri" w:cs="Calibri" w:eastAsia="Calibri" w:hAnsi="Calibri"/>
          <w:sz w:val="21"/>
          <w:szCs w:val="21"/>
        </w:rPr>
        <w:t xml:space="preserve">ask Katherine directly how she reads it. She has chaired a nonprofit board herself and has likely seen this exact dynamic from the inside — her own read on her role is real data, not just Mark’s to infer.</w:t>
      </w:r>
    </w:p>
    <w:p>
      <w:pPr>
        <w:pStyle w:val="ListParagraph"/>
        <w:numPr>
          <w:ilvl w:val="0"/>
          <w:numId w:val="2"/>
        </w:numPr>
        <w:spacing w:after="80"/>
      </w:pPr>
      <w:r>
        <w:rPr>
          <w:rFonts w:ascii="Calibri" w:cs="Calibri" w:eastAsia="Calibri" w:hAnsi="Calibri"/>
          <w:b/>
          <w:bCs/>
          <w:sz w:val="21"/>
          <w:szCs w:val="21"/>
        </w:rPr>
        <w:t xml:space="preserve">Luke Vanso — probable Finance-seat fit, with two things worth probing before the ask, not after. </w:t>
      </w:r>
      <w:r>
        <w:rPr>
          <w:rFonts w:ascii="Calibri" w:cs="Calibri" w:eastAsia="Calibri" w:hAnsi="Calibri"/>
          <w:sz w:val="21"/>
          <w:szCs w:val="21"/>
        </w:rPr>
        <w:t xml:space="preserve">Ministry + finance + board experience is close to exactly the gap this seat is meant to fill. Two flags, both explicitly yours already ("maybe," "strong personality"): (1) venture-capital background carries its own instincts — growth, return, scale-fast — and the project has already, deliberately, named the venture path and rejected it (funding log, 2026-07-13: "engagement-maximization pressure collides directly with Encounter Over Persuasion"). Worth a direct conversation, before recruiting him further, about whether he can sit inside a donor/earned-revenue nonprofit without pushing it toward venture logic — not a disqualifier, a fit question. (2) A strong personality on the finance/organizational-governance seat is exactly where real pushback is supposed to live, per the Article 36 split above — that can be the asset you actually need, or it can be friction, and usually it’s knowable from one real conversation about how he handled disagreement on another board he’s served.</w:t>
      </w:r>
    </w:p>
    <w:p>
      <w:pPr>
        <w:pStyle w:val="ListParagraph"/>
        <w:numPr>
          <w:ilvl w:val="0"/>
          <w:numId w:val="2"/>
        </w:numPr>
        <w:spacing w:after="80"/>
      </w:pPr>
      <w:r>
        <w:rPr>
          <w:rFonts w:ascii="Calibri" w:cs="Calibri" w:eastAsia="Calibri" w:hAnsi="Calibri"/>
          <w:b/>
          <w:bCs/>
          <w:sz w:val="21"/>
          <w:szCs w:val="21"/>
        </w:rPr>
        <w:t xml:space="preserve">Mark’s pastor — a real fit for the Generalist seat, with one relationship worth naming, not avoiding. </w:t>
      </w:r>
      <w:r>
        <w:rPr>
          <w:rFonts w:ascii="Calibri" w:cs="Calibri" w:eastAsia="Calibri" w:hAnsi="Calibri"/>
          <w:sz w:val="21"/>
          <w:szCs w:val="21"/>
        </w:rPr>
        <w:t xml:space="preserve">A pastor’s perspective is exactly what this seat was built for — someone who has watched ministries actually operate, votes as a steward of the mission, and isn’t a specialist in any of the other seats. But this pastor leads the church that’s about to become CiC’s interim designated-fund sponsor (2026-07-15) — the same body that will hold discretion over donor money given to CiC before the nonprofit exists. That’s two roles at once: pastor of the fiscal sponsor, and (if seated) a CiC board member with fiduciary duty to CiC. Not disqualifying — this kind of overlap is common and often a sign of real trust — but it belongs in the conflict-of-interest disclosure alongside the family relationship above, and is worth naming to the pastor directly before the ask, the same courtesy given to Katherine and Luke.</w:t>
      </w:r>
    </w:p>
    <w:p>
      <w:pPr>
        <w:spacing w:after="200"/>
      </w:pPr>
      <w:r>
        <w:rPr>
          <w:rFonts w:ascii="Calibri" w:cs="Calibri" w:eastAsia="Calibri" w:hAnsi="Calibri"/>
          <w:b/>
          <w:bCs/>
          <w:sz w:val="21"/>
          <w:szCs w:val="21"/>
        </w:rPr>
        <w:t xml:space="preserve">A correction, same day: recruiting through relationship is the model, not a risk to offset. </w:t>
      </w:r>
      <w:r>
        <w:rPr>
          <w:rFonts w:ascii="Calibri" w:cs="Calibri" w:eastAsia="Calibri" w:hAnsi="Calibri"/>
          <w:sz w:val="21"/>
          <w:szCs w:val="21"/>
        </w:rPr>
        <w:t xml:space="preserve">Mark named this directly: he’s asking people he trusts, not just people with the right skills — and that means real relationship, on purpose. That’s not in tension with board independence; those are two different axes. "Independence" in the governance sense isn’t about how well you know someone — it’s narrow and specific: no undisclosed family tie or financial stake on a given vote. A board built entirely from years-deep relationships is still a clean, independent board once the few real conflicts (family, financial ties) are named and handled procedurally, which is exactly what the Katherine and pastor disclosures above already do. The "how many seats connect to Mark" framing earlier in this document measured the wrong thing and isn’t carried forward — trust-based recruiting is the intended cultivation approach, full stop.</w:t>
      </w:r>
    </w:p>
    <w:p>
      <w:pPr>
        <w:pStyle w:val="Heading2"/>
        <w:spacing w:after="120" w:before="200"/>
      </w:pPr>
      <w:r>
        <w:rPr>
          <w:rFonts w:ascii="Calibri" w:cs="Calibri" w:eastAsia="Calibri" w:hAnsi="Calibri"/>
          <w:b/>
          <w:bCs/>
          <w:color w:val="2E5E4E"/>
          <w:sz w:val="23"/>
          <w:szCs w:val="23"/>
        </w:rPr>
        <w:t xml:space="preserve">Where this stands</w:t>
      </w:r>
    </w:p>
    <w:p>
      <w:pPr>
        <w:spacing w:after="120"/>
      </w:pPr>
      <w:r>
        <w:rPr>
          <w:rFonts w:ascii="Calibri" w:cs="Calibri" w:eastAsia="Calibri" w:hAnsi="Calibri"/>
          <w:sz w:val="21"/>
          <w:szCs w:val="21"/>
        </w:rPr>
        <w:t xml:space="preserve">Katherine’s shape (full voting seat, advisory/non-voting, or sequenced-later) is genuinely open — not a question this doc resolves. The Vice Chair idea from earlier is paused until the shape question settles; there’s nothing to chair-elevate until there’s a decided role.</w:t>
      </w:r>
    </w:p>
    <w:p>
      <w:pPr>
        <w:pStyle w:val="ListParagraph"/>
        <w:numPr>
          <w:ilvl w:val="0"/>
          <w:numId w:val="4"/>
        </w:numPr>
        <w:spacing w:after="80"/>
      </w:pPr>
      <w:r>
        <w:rPr>
          <w:rFonts w:ascii="Calibri" w:cs="Calibri" w:eastAsia="Calibri" w:hAnsi="Calibri"/>
          <w:b/>
          <w:bCs/>
          <w:sz w:val="21"/>
          <w:szCs w:val="21"/>
        </w:rPr>
        <w:t xml:space="preserve">The one recommended next step: </w:t>
      </w:r>
      <w:r>
        <w:rPr>
          <w:rFonts w:ascii="Calibri" w:cs="Calibri" w:eastAsia="Calibri" w:hAnsi="Calibri"/>
          <w:sz w:val="21"/>
          <w:szCs w:val="21"/>
        </w:rPr>
        <w:t xml:space="preserve">the conversation with Katherine herself about how she reads the dynamic — before Mark decides among the three shapes above alone.</w:t>
      </w:r>
    </w:p>
    <w:p>
      <w:pPr>
        <w:pStyle w:val="ListParagraph"/>
        <w:numPr>
          <w:ilvl w:val="0"/>
          <w:numId w:val="4"/>
        </w:numPr>
        <w:spacing w:after="80"/>
      </w:pPr>
      <w:r>
        <w:rPr>
          <w:rFonts w:ascii="Calibri" w:cs="Calibri" w:eastAsia="Calibri" w:hAnsi="Calibri"/>
          <w:b/>
          <w:bCs/>
          <w:sz w:val="21"/>
          <w:szCs w:val="21"/>
        </w:rPr>
        <w:t xml:space="preserve">Worth doing before the pastor ask: </w:t>
      </w:r>
      <w:r>
        <w:rPr>
          <w:rFonts w:ascii="Calibri" w:cs="Calibri" w:eastAsia="Calibri" w:hAnsi="Calibri"/>
          <w:sz w:val="21"/>
          <w:szCs w:val="21"/>
        </w:rPr>
        <w:t xml:space="preserve">naming the fiscal-sponsor overlap to him directly, so it’s his informed yes rather than an unexamined one.</w:t>
      </w:r>
    </w:p>
    <w:p>
      <w:pPr>
        <w:pStyle w:val="ListParagraph"/>
        <w:numPr>
          <w:ilvl w:val="0"/>
          <w:numId w:val="4"/>
        </w:numPr>
        <w:spacing w:after="80"/>
      </w:pPr>
      <w:r>
        <w:rPr>
          <w:rFonts w:ascii="Calibri" w:cs="Calibri" w:eastAsia="Calibri" w:hAnsi="Calibri"/>
          <w:b/>
          <w:bCs/>
          <w:sz w:val="21"/>
          <w:szCs w:val="21"/>
        </w:rPr>
        <w:t xml:space="preserve">Unaffected by this and worth moving on regardless: </w:t>
      </w:r>
      <w:r>
        <w:rPr>
          <w:rFonts w:ascii="Calibri" w:cs="Calibri" w:eastAsia="Calibri" w:hAnsi="Calibri"/>
          <w:sz w:val="21"/>
          <w:szCs w:val="21"/>
        </w:rPr>
        <w:t xml:space="preserve">the Legal seat — still fully open, and worth filling from trust the same way as every other seat on this list.</w:t>
      </w:r>
    </w:p>
    <w:sectPr>
      <w:pgSz w:w="12240" w:h="15840" w:orient="portrait"/>
      <w:pgMar w:top="1008" w:right="1152" w:bottom="1008"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bullet"/>
      <w:lvlText w:val="•"/>
      <w:lvlJc w:val="left"/>
      <w:pPr>
        <w:ind w:left="360" w:hanging="200"/>
      </w:pPr>
    </w:lvl>
  </w:abstractNum>
  <w:abstractNum w:abstractNumId="4"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2026-07-15T21:21:22.404Z</dcterms:created>
  <dcterms:modified xsi:type="dcterms:W3CDTF">2026-07-15T21:21:22.405Z</dcterms:modified>
</cp:coreProperties>
</file>

<file path=docProps/custom.xml><?xml version="1.0" encoding="utf-8"?>
<Properties xmlns="http://schemas.openxmlformats.org/officeDocument/2006/custom-properties" xmlns:vt="http://schemas.openxmlformats.org/officeDocument/2006/docPropsVTypes"/>
</file>