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V7.4</w:t>
      </w:r>
    </w:p>
    <w:p>
      <w:pPr>
        <w:pStyle w:val="Heading2"/>
        <w:spacing w:after="120" w:before="240"/>
      </w:pPr>
      <w:r>
        <w:rPr>
          <w:b/>
          <w:bCs/>
          <w:sz w:val="24"/>
          <w:szCs w:val="24"/>
        </w:rPr>
        <w:t xml:space="preserve">Status</w:t>
      </w:r>
    </w:p>
    <w:p>
      <w:pPr>
        <w:spacing w:after="180"/>
      </w:pPr>
      <w:r>
        <w:t xml:space="preserve">DRAFT — pending Opus deep review and project-lead review; not yet ratified. Built on the main-branch V7.3 baseline, folding forward process-discipline lessons confirmed during the CiC-Fable-Experiment build cycle (all five formation worlds), then substantially reworked on the project lead's own direction to combine source-ecology and source-registry work into a single Step 2 built for a roughly forty-world scale rather than a five-world patch. Most changes are additive; Step 2 itself was restructured (a briefly-added separate "Step 2B" was merged back into Step 2 rather than kept as a distinct later step) — see Step 2's own text for the reasoning.</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2"/>
        <w:spacing w:after="120" w:before="240"/>
      </w:pPr>
      <w:r>
        <w:rPr>
          <w:b/>
          <w:bCs/>
          <w:sz w:val="24"/>
          <w:szCs w:val="24"/>
        </w:rPr>
        <w:t xml:space="preserve">Fix the Mechanism, Not the Symptom Principle</w:t>
      </w:r>
    </w:p>
    <w:p>
      <w:pPr>
        <w:spacing w:after="180"/>
      </w:pPr>
      <w:r>
        <w:t xml:space="preserve">This principle is new in V7.4, generalized from two related findings in the same build cycle that this Framework’s methodology otherwise had no permanent place to record. First: repeatedly banning individual bad phrases as they are found treats a symptom, not the mechanism producing it — each new patch closes one instance and leaves the underlying pattern free to resurface in a new phrase never explicitly named. A fix should name and close the general pattern, not the specific wording an adversarial test happened to surface this time. Second, and sharper: quoting a specific bad phrase as a negative example inside a rule’s own text can make a model more likely to reproduce that exact phrase, not less — the same effect as being told not to think of something. A confirmed regression in this project’s own history was traced directly to this cause.</w:t>
      </w:r>
    </w:p>
    <w:p>
      <w:pPr>
        <w:spacing w:after="180"/>
      </w:pPr>
      <w:r>
        <w:t xml:space="preserve">Accordingly: when a defect is found, describe the underlying pattern in the affected instruction’s own permanent text, using an abstract description or a worked example from a genuinely unrelated domain, rather than a running list of specific banned phrases from this project’s own failed attempts. Never quote an in-register bad example as a negative case within the fix itself.</w:t>
      </w:r>
    </w:p>
    <w:p>
      <w:pPr>
        <w:pStyle w:val="Heading2"/>
        <w:spacing w:after="120" w:before="240"/>
      </w:pPr>
      <w:r>
        <w:rPr>
          <w:b/>
          <w:bCs/>
          <w:sz w:val="24"/>
          <w:szCs w:val="24"/>
        </w:rPr>
        <w:t xml:space="preserve">Record Integrity Principle</w:t>
      </w:r>
    </w:p>
    <w:p>
      <w:pPr>
        <w:spacing w:after="180"/>
      </w:pPr>
      <w:r>
        <w:t xml:space="preserve">This Framework’s own documents are only as trustworthy as their currency. A finding, fix, or open question is not resolved merely because a later document says it was addressed.</w:t>
      </w:r>
    </w:p>
    <w:p>
      <w:pPr>
        <w:spacing w:after="180"/>
      </w:pPr>
      <w:r>
        <w:t xml:space="preserve">This principle is new in V7.4, added after cross-checking a completed build cycle’s own documents against each other and against the deployed artifacts they describe. Two concrete failures were found this way, neither caused by a wrong decision, both caused by a document not being closed out: a Representative’s own Construction Notes still described a defect as open and unresolved after a later validation round had actually found and confirmed a fix — the Construction Notes were simply never updated to say so; and a fix described in Construction Notes as applied, with a specific before/after word count, was verifiably absent from the actual deployed Permanent Prompt file when checked directly.</w:t>
      </w:r>
    </w:p>
    <w:p>
      <w:pPr>
        <w:pStyle w:val="ListParagraph"/>
        <w:numPr>
          <w:ilvl w:val="0"/>
          <w:numId w:val="2"/>
        </w:numPr>
        <w:spacing w:after="60"/>
      </w:pPr>
      <w:r>
        <w:t xml:space="preserve">When a later document (a validation log, a cross-world roundtable, a subsequent Construction Notes revision) resolves a finding recorded in an earlier document, the earlier document must be updated with a closing cross-reference — not left to silently contradict the newer record.</w:t>
      </w:r>
    </w:p>
    <w:p>
      <w:pPr>
        <w:pStyle w:val="ListParagraph"/>
        <w:numPr>
          <w:ilvl w:val="0"/>
          <w:numId w:val="2"/>
        </w:numPr>
        <w:spacing w:after="60"/>
      </w:pPr>
      <w:r>
        <w:t xml:space="preserve">A fix described as applied is not confirmed until the actual deployed artifact is checked directly and found to contain it. Describing an intended edit is not the same act as verifying the edit landed.</w:t>
      </w:r>
    </w:p>
    <w:p>
      <w:pPr>
        <w:pStyle w:val="ListParagraph"/>
        <w:numPr>
          <w:ilvl w:val="0"/>
          <w:numId w:val="2"/>
        </w:numPr>
        <w:spacing w:after="60"/>
      </w:pPr>
      <w:r>
        <w:t xml:space="preserve">Superseded files — prior Representative drafts, earlier document versions — are marked superseded or moved to archive at the moment they are superseded, not left live and unmarked in a working folder where a later builder could mistake one for canonical.</w:t>
      </w:r>
    </w:p>
    <w:p>
      <w:pPr>
        <w:pStyle w:val="ListParagraph"/>
        <w:numPr>
          <w:ilvl w:val="0"/>
          <w:numId w:val="2"/>
        </w:numPr>
        <w:spacing w:after="180"/>
      </w:pPr>
      <w:r>
        <w:t xml:space="preserve">A reviewer’s explicit fix recommendation is tracked to execution or explicitly deferred with a stated reason on the record — it is not allowed to simply sit unexecuted inside test-round prose where it can be lost.</w:t>
      </w:r>
    </w:p>
    <w:p>
      <w:pPr>
        <w:spacing w:after="180"/>
      </w:pPr>
      <w:r>
        <w:t xml:space="preserve">Ownership and checkpoint: the builder who lands a fix, revision, or supersession is responsible for updating any earlier document that fix closes, in the same change set — this obligation travels with the change, not with a separate later cleanup pass. This principle is checked at freeze, not only asserted here: see the added Freeze Criterion below.</w:t>
      </w:r>
    </w:p>
    <w:p>
      <w:r>
        <w:rPr>
          <w:b/>
        </w:rPr>
        <w:t>Step 0 — Movement-Scope Eligibility and Seed Identification</w:t>
      </w:r>
    </w:p>
    <w:p>
      <w:r>
        <w:t>Run once per release phase, before any individual world's Step 1 begins. Screens candidate movements for eligibility against the Constitution's Movement-Scope scoping section (Article 4), operationalized per Section A of the Step 0 Methodology document, and produces the tiered seed list Step 1 draws from (Section B of the same document). Full procedure: CiC_L3B_Step0_Movement_Scope_Methodology_V1.0.docx.</w:t>
      </w:r>
    </w:p>
    <w:p>
      <w:r>
        <w:t>Step 1 begins only once a specific seed has been selected from Step 0's output. Nothing in Step 0 performs Step 1's own boundary-determination work.</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Validation Protocol Rigor (governs every testing category below)</w:t>
      </w:r>
    </w:p>
    <w:p>
      <w:pPr>
        <w:spacing w:after="180"/>
      </w:pPr>
      <w:r>
        <w:t xml:space="preserve">This subsection is new in V7.4. A confirmed defect in this Framework’s own practice motivates it: an early testing round for multiple worlds’ representative voices reported a fabrication and self-narration rule as “fully clean,” based on one generation sample, judged against the same probe questions used to develop the rule, graded by the same session that wrote the fix. A later, more rigorous re-test of the identical rule and the identical worlds found the claim held only for fabrication, and did not hold for a specific self-narration sub-pattern under harder, previously-unseen questioning. The rigor gap, not the rule, was the defect.</w:t>
      </w:r>
    </w:p>
    <w:p>
      <w:pPr>
        <w:spacing w:after="180"/>
      </w:pPr>
      <w:r>
        <w:t xml:space="preserve">Accordingly, a testing round may only be reported as “confirmed,” “clean,” or “closed” for any category in this Part when it meets all of the following:</w:t>
      </w:r>
    </w:p>
    <w:p>
      <w:pPr>
        <w:pStyle w:val="ListParagraph"/>
        <w:numPr>
          <w:ilvl w:val="0"/>
          <w:numId w:val="2"/>
        </w:numPr>
        <w:spacing w:after="60"/>
      </w:pPr>
      <w:r>
        <w:t xml:space="preserve">At least two independent generation trials: one resampled from the probes already used in development, and at least one built from a held-out, novel probe set never used anywhere in that world’s prior development.</w:t>
      </w:r>
    </w:p>
    <w:p>
      <w:pPr>
        <w:pStyle w:val="ListParagraph"/>
        <w:numPr>
          <w:ilvl w:val="0"/>
          <w:numId w:val="2"/>
        </w:numPr>
        <w:spacing w:after="60"/>
      </w:pPr>
      <w:r>
        <w:t xml:space="preserve">Fresh-context generation: produced by an instance with no visibility into the session that authored the fix being tested, not the same session switching from author to grader.</w:t>
      </w:r>
    </w:p>
    <w:p>
      <w:pPr>
        <w:pStyle w:val="ListParagraph"/>
        <w:numPr>
          <w:ilvl w:val="0"/>
          <w:numId w:val="2"/>
        </w:numPr>
        <w:spacing w:after="180"/>
      </w:pPr>
      <w:r>
        <w:t xml:space="preserve">Blind grading: the reviewer is given the transcript and the plainly-stated rule or standard being tested, but not which iteration is under test or what result is expected.</w:t>
      </w:r>
    </w:p>
    <w:p>
      <w:pPr>
        <w:spacing w:after="180"/>
      </w:pPr>
      <w:r>
        <w:t xml:space="preserve">A single-sample, same-session, non-blind check is still useful as a fast first-pass filter during active fix iteration, but its result must be labeled as provisional (e.g., “passes an initial same-session check”) and must not be recorded as confirming a category in this Part, or as satisfying a Freeze Criterion, until the full protocol above has been run.</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World-freeze — a world’s record set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pStyle w:val="ListParagraph"/>
        <w:numPr>
          <w:ilvl w:val="0"/>
          <w:numId w:val="2"/>
        </w:numPr>
        <w:spacing w:after="60"/>
      </w:pPr>
      <w:r>
        <w:t xml:space="preserve">No deployed artifact contradicts its own Construction Notes; superseded drafts are archived or marked, not left live and unmarked in a working folder (Record Integrity Principle — freeze-eligibility gate, new in V7.4)</w:t>
      </w:r>
    </w:p>
    <w:p>
      <w:pPr>
        <w:pStyle w:val="ListParagraph"/>
        <w:numPr>
          <w:ilvl w:val="0"/>
          <w:numId w:val="2"/>
        </w:numPr>
        <w:spacing w:after="180"/>
      </w:pPr>
      <w:r>
        <w:t xml:space="preserve">Source Registry complete (every Doc_02 claim traceable to a Registry row; every Native entry has a Licensed-For target) and the deployed Permanent Prompt’s grounding-anchor paragraph verified to be drawn from it (Source Registry Template — freeze-eligibility gate, new in V7.4). A complete Registry without a verified grounding-anchor paragraph in the deployed prompt does not satisfy this gate — the Registry alone does not constrain generation.</w:t>
      </w:r>
    </w:p>
    <w:p>
      <w:pPr>
        <w:spacing w:after="180"/>
      </w:pPr>
      <w:r>
        <w:t xml:space="preserve">Representative-freeze — after world-freeze, the Representative may freeze when: representative voices are accountable and appropriately grounded (per CO-014), and encounter testing is successful — run as the governing Completion Standard V1.0 section C specifies: RCF Part Eight’s probe categories plus the parroting and pushback categories under the Validation Protocol Rigor discipline above, continuity regression against the prior version where one exists, and the Table Readiness Round passed, with findings routed (a) runtime, (b) records, or (c) framework change, and (b)/(c) closed or explicitly accepted before freeze.</w:t>
      </w:r>
    </w:p>
    <w:p>
      <w:pPr>
        <w:spacing w:after="180"/>
      </w:pPr>
      <w:r>
        <w:t xml:space="preserve">The authoritative requirements tables for both freezes live in the governing Completion Standard V1.0 (Ministry/Technology/CiC_World_Build_Completion_Standard_V1.0.md); this section names the split and defers the detail there.</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 and Source Registry</w:t>
      </w:r>
    </w:p>
    <w:p>
      <w:pPr>
        <w:spacing w:after="180"/>
      </w:pPr>
      <w:r>
        <w:t xml:space="preserve">Output: Doc_02 (Source Ecology) and the Source Registry — two documents, developed together in one pass, from the same evidentiary work.</w:t>
      </w:r>
    </w:p>
    <w:p>
      <w:pPr>
        <w:spacing w:after="180"/>
      </w:pPr>
      <w:r>
        <w:t xml:space="preserve">Purpose: Establish the evidential foundations of the world (Doc_02), and, from that same pass, produce the bounded, tagged, checkable list of exactly which sources this world’s own voice may draw from (the Source Registry).</w:t>
      </w:r>
    </w:p>
    <w:p>
      <w:pPr>
        <w:spacing w:after="180"/>
      </w:pPr>
      <w:r>
        <w:t>Step 2 produces the Source Ecology and the Source Registry together, as two outcomes of one step. Produce both in this step; do not defer the Registry to a later pass.</w:t>
      </w:r>
    </w:p>
    <w:p>
      <w:pPr>
        <w:spacing w:after="180"/>
      </w:pPr>
      <w:r>
        <w:t>The Registry classifies sources a builder has already proposed as candidates. It cannot, by itself, stop generation from reaching for a source nobody proposed in the first place. The mechanism that actually constrains generation is downstream, at Step 10: the grounding-anchor paragraph distilled from this Registry into the Representative’s own Permanent Prompt. This step builds the quarry; Step 10 builds the wall.</w:t>
      </w:r>
    </w:p>
    <w:p>
      <w:pPr>
        <w:spacing w:after="180"/>
      </w:pPr>
      <w:r>
        <w:t xml:space="preserve">Native does not mean exclusive to this world. Real traditions inherit from and cite one another constantly (a later figure may legitimately draw on an earlier one from a different world entirely — Calvin’s own use of Augustine is the standing example), and Scripture is native to every one of these worlds at once. This project is not in the business of manufacturing artificial differentiation. The only question the Boundary Check asks is whether this world’s own evidence actually shows the source was used or inherited here — not whether some other world also, independently and correctly, claims it.</w:t>
      </w:r>
    </w:p>
    <w:p>
      <w:pPr>
        <w:spacing w:after="180"/>
      </w:pPr>
      <w:r>
        <w:t xml:space="preserve">Ecology activities (the evidentiary foundation, Doc_02):</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180"/>
      </w:pPr>
      <w:r>
        <w:t xml:space="preserve">Assess confidence levels using five-level vocabulary</w:t>
      </w:r>
    </w:p>
    <w:p>
      <w:pPr>
        <w:spacing w:after="180"/>
      </w:pPr>
      <w:r>
        <w:t xml:space="preserve">Registry activities (the tagged, usable source list, built in the same pass as the ecology above, not deferred to a later step):</w:t>
      </w:r>
    </w:p>
    <w:p>
      <w:pPr>
        <w:pStyle w:val="ListParagraph"/>
        <w:numPr>
          <w:ilvl w:val="0"/>
          <w:numId w:val="2"/>
        </w:numPr>
        <w:spacing w:after="60"/>
      </w:pPr>
      <w:r>
        <w:t xml:space="preserve">For every source identified in the ecology work above, classify it in the Source Registry on two independent axes: Source Type (Primary / Secondary / Material-External / Period Lexicon) and Citation Reliability (the existing five-tier A–E scale)</w:t>
      </w:r>
    </w:p>
    <w:p>
      <w:pPr>
        <w:pStyle w:val="ListParagraph"/>
        <w:numPr>
          <w:ilvl w:val="0"/>
          <w:numId w:val="2"/>
        </w:numPr>
        <w:spacing w:after="60"/>
      </w:pPr>
      <w:r>
        <w:t xml:space="preserve">Assign a Boundary Status of Native or Excluded to every source, assessed by what the source speaks for — its subject, tradition, or evidentiary target — against Doc_01’s own temporal, geographic, and cultural boundary. This is never assessed by the date a piece of modern scholarship happened to be written: a current monograph about this world is Native; a source whose own subject belongs to a different era or place is not, however recent or well-regarded the scholarship itself is.</w:t>
      </w:r>
    </w:p>
    <w:p>
      <w:pPr>
        <w:pStyle w:val="ListParagraph"/>
        <w:numPr>
          <w:ilvl w:val="0"/>
          <w:numId w:val="2"/>
        </w:numPr>
        <w:spacing w:after="60"/>
      </w:pPr>
      <w:r>
        <w:t xml:space="preserve">For every Excluded source, record an Exclusion Reason: Out-of-Boundary (a straightforward temporal or geographic mismatch against Doc_01 — the source was never a serious candidate) or Named Comparandum (a source easily mistaken for native, most often a neighboring tradition’s more famous treatment of a similar theme, deliberately recorded as a warning so a builder or the Representative itself never reaches for it by mistake). These are not the same finding and must not share an undifferentiated label: an Out-of-Boundary source was a simple miss; a Named Comparandum is a specific, identified temptation worth naming for exactly that reason.</w:t>
      </w:r>
    </w:p>
    <w:p>
      <w:pPr>
        <w:pStyle w:val="ListParagraph"/>
        <w:numPr>
          <w:ilvl w:val="0"/>
          <w:numId w:val="2"/>
        </w:numPr>
        <w:spacing w:after="60"/>
      </w:pPr>
      <w:r>
        <w:t xml:space="preserve">For every Native source, name what it is Licensed For — the specific gravity, force, lexicon term, or Representative trait it justifies. A Native source with nothing named here is not yet usable by later steps or by the Representative.</w:t>
      </w:r>
    </w:p>
    <w:p>
      <w:pPr>
        <w:pStyle w:val="ListParagraph"/>
        <w:numPr>
          <w:ilvl w:val="0"/>
          <w:numId w:val="2"/>
        </w:numPr>
        <w:spacing w:after="60"/>
      </w:pPr>
      <w:r>
        <w:t xml:space="preserve">Flag entries resting at Confidence C or below that are intended to support a vivid, specific claim, rather than tradition-level color, for priority independent second-opinion review</w:t>
      </w:r>
    </w:p>
    <w:p>
      <w:pPr>
        <w:pStyle w:val="ListParagraph"/>
        <w:numPr>
          <w:ilvl w:val="0"/>
          <w:numId w:val="2"/>
        </w:numPr>
        <w:spacing w:after="60"/>
      </w:pPr>
      <w:r>
        <w:t xml:space="preserve">Keep a search_record as the discovery work proceeds: every discovery channel used (databases, field bibliographies, reference works, snowball chains), with instrument and date per search, logged as searches happen — never reconstructed afterward. Every source row carries its own discovery_channel, discovery_instrument, and discovery_date from this record.</w:t>
      </w:r>
    </w:p>
    <w:p>
      <w:pPr>
        <w:pStyle w:val="ListParagraph"/>
        <w:numPr>
          <w:ilvl w:val="0"/>
          <w:numId w:val="2"/>
        </w:numPr>
        <w:spacing w:after="60"/>
      </w:pPr>
      <w:r>
        <w:t xml:space="preserve">Run a field-bibliography sweep before the Registry closes: check the world’s standard bibliographic instruments and reference works for load-bearing sources the ecology work has not yet surfaced, and disposition every find — rowed, or excluded with a reason. Name any instrument the sweep could not reach as a coverage limit.</w:t>
      </w:r>
    </w:p>
    <w:p>
      <w:pPr>
        <w:pStyle w:val="ListParagraph"/>
        <w:numPr>
          <w:ilvl w:val="0"/>
          <w:numId w:val="2"/>
        </w:numPr>
        <w:spacing w:after="60"/>
      </w:pPr>
      <w:r>
        <w:t xml:space="preserve">Close the Registry with a saturation statement naming the last unproductive searches — which queries, against which instruments, returned nothing new. A Registry without a saturation statement is not complete: “we stopped finding new sources” is a claim, and it must name its evidence (Completion Standard V1.0, section A, source row).</w:t>
      </w:r>
    </w:p>
    <w:p>
      <w:pPr>
        <w:pStyle w:val="ListParagraph"/>
        <w:numPr>
          <w:ilvl w:val="0"/>
          <w:numId w:val="2"/>
        </w:numPr>
        <w:spacing w:after="180"/>
      </w:pPr>
      <w:r>
        <w:t xml:space="preserve">The Registry’s structure, and every source currently known to the builder, are developed in this same Step 2 pass — this is not deferred. What may legitimately come later is refinement: as subsequent steps (gravity discovery, lexicon development, story inventory) surface new candidate sources, those are added to the Registry at that time under the same living, append-only discipline, never by treating Step 2’s own work as unfinished. Checkpoint, not just intent: Doc_02 may not name a source in support of a specific claim unless that source has a corresponding Registry row. If a claim in Doc_02 cannot be traced to a Registry entry, Step 2 is not finished, regardless of how complete the narrative reads — this is the one rule that actually catches a builder who writes the ecology narrative first and treats the Registry as an afterthought.</w:t>
      </w:r>
    </w:p>
    <w:p>
      <w:pPr>
        <w:spacing w:after="180"/>
      </w:pPr>
      <w:r>
        <w:t xml:space="preserve">Scope note: this step governs a single world’s own Registry only. Checking a candidate source against what other worlds have already claimed as native is a distinct, harder problem (it must hold up across dozens of worlds, not one) and is intentionally not solved here — it is named as open follow-up work, not folded into this step until it has had its own design pass.</w:t>
      </w:r>
    </w:p>
    <w:p>
      <w:pPr>
        <w:spacing w:after="180"/>
      </w:pPr>
      <w:r>
        <w:t xml:space="preserve">Forces Framework integration: Step 2. Forces lens applied to source ecology.</w:t>
      </w:r>
    </w:p>
    <w:p>
      <w:pPr>
        <w:spacing w:after="180"/>
      </w:pPr>
      <w:r>
        <w:t xml:space="preserve">Doc_02 review requirement: the review round includes the reviewer-side coverage checks — the ten-item relative-recall test (the reviewer names ten works a specialist would expect this world’s bibliography to contain, drawn from an instrument independent of the build; recall = found/10, logged) — and the PRESS question, asked verbatim: “Name up to three sources you would expect a bibliography of this world to contain that this registry does not hold. If you can name none, say so explicitly.” The answer is recorded in the review artifact, and every named work is dispositioned — rowed, or excluded with a reason.</w:t>
      </w:r>
    </w:p>
    <w:p>
      <w:pPr>
        <w:spacing w:after="180"/>
      </w:pPr>
      <w:r>
        <w:t xml:space="preserve">Governed by: Part II of this Framework, the Source Registry Template (L3B-World-Build-Methodology), Constitution Articles 16, 17,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the Source Registry’s Native entries — not from the raw ecology (Doc_02) directly, since Doc_02 may still name material that Step 2’s own Boundary Check excluded</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Ask all of Smart’s seven dimensions as the fixed lens spine — always asked, for every world (M4, adopted 2026-07-27): ritual/practical, experiential/emotional, narrative/mythic, doctrinal/philosophical, ethical/legal, social/institutional, and material. Per-world yield is stated as a finding: a thin dimension is a result, not a coverage failure — the same discipline Gravity Discovery applies to candidates not advanced.</w:t>
      </w:r>
    </w:p>
    <w:p>
      <w:pPr>
        <w:pStyle w:val="ListParagraph"/>
        <w:numPr>
          <w:ilvl w:val="0"/>
          <w:numId w:val="2"/>
        </w:numPr>
        <w:spacing w:after="60"/>
      </w:pPr>
      <w:r>
        <w:t xml:space="preserve">Material Culture is required (promoted from optional); the ethical/legal lens is required (previously the one Smart dimension with no CiC lens). Boundary Structures and Formation Logic remain CiC’s own two additions, named as additions. Apply further lenses where evidence supports: Memory Structures, Interpretive Ecology, Representative Theological Patterns.</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28, Anti-Fabrication Prohibition).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The Representative’s own Approved Source List — a 5–10 entry distillation of the Source Registry’s Native entries, not fresh research — must be drawn from the Registry before Representative Emergence proceeds, per the Source Registry Template. This distillation, and the grounding-anchor paragraph it produces (Permanent Prompt Template Section 2A — Approved Source Anchoring), is the actual mechanism that constrains generation-time borrowing — not the Registry alone. A world should not reach Step 10, and should not be considered freeze-eligible (see the added Freeze Criterion below), without a deployed Permanent Prompt whose grounding-anchor paragraph is verified to be drawn from that world’s own completed Source Registry.</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