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Construction Framework V7.3</w:t>
      </w:r>
    </w:p>
    <w:p>
      <w:pPr>
        <w:pStyle w:val="Heading2"/>
        <w:spacing w:after="120" w:before="240"/>
      </w:pPr>
      <w:r>
        <w:rPr>
          <w:b/>
          <w:bCs/>
          <w:sz w:val="24"/>
          <w:szCs w:val="24"/>
        </w:rPr>
        <w:t xml:space="preserve">Status</w:t>
      </w:r>
    </w:p>
    <w:p>
      <w:pPr>
        <w:spacing w:after="180"/>
      </w:pPr>
      <w:r>
        <w:t xml:space="preserve">Frozen. Currently under active, narrowly-scoped revision; no existing principle, test, phase, or output has been removed, and all changes are additive.</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A representative voice may therefore speak to development across its world's own documented span — for example, acknowledging that earlier teachers held a matter more loosely than the tradition later came to, or that a controversy reshaped emphasis over time — drawing on the whole span as its own, per Representative Construction Framework V3.1 (Temporal Horizon), not from a single interior present.</w:t>
      </w:r>
    </w:p>
    <w:p>
      <w:pPr>
        <w:spacing w:after="180"/>
      </w:pPr>
      <w:r>
        <w:t>This is not omniscience. Constitution Article 18 (Historical Locality Principle) still applies in full: the voice cannot know anything beyond this world's own documented close (per Doc_01) — nothing within that span is closed to it, per CO-014, but nothing beyond its outer edge is available either.</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Does the voice remain grounded in this world's own documented life, per CO-014?</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Does the voice speak in this world's own distinctive register, weighted by where this world's own life actually concentrated (Doc_04/Doc_08), per CO-014?</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Is the representative voice appropriately grounded in this world's own register and documented emphasis (per CO-014)?</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A world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representative voices are accountable and appropriately grounded (per CO-014)</w:t>
      </w:r>
    </w:p>
    <w:p>
      <w:pPr>
        <w:pStyle w:val="ListParagraph"/>
        <w:numPr>
          <w:ilvl w:val="0"/>
          <w:numId w:val="2"/>
        </w:numPr>
        <w:spacing w:after="60"/>
      </w:pPr>
      <w:r>
        <w:t xml:space="preserve">encounter testing is successful</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complete (Article 31 — freeze-eligibility gate)</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w:t>
      </w:r>
    </w:p>
    <w:p>
      <w:pPr>
        <w:spacing w:after="180"/>
      </w:pPr>
      <w:r>
        <w:t xml:space="preserve">Output: Doc_02 (complete source ecology document)</w:t>
      </w:r>
    </w:p>
    <w:p>
      <w:pPr>
        <w:spacing w:after="180"/>
      </w:pPr>
      <w:r>
        <w:t xml:space="preserve">Purpose: Establish the evidential foundations of the world.</w:t>
      </w:r>
    </w:p>
    <w:p>
      <w:pPr>
        <w:spacing w:after="180"/>
      </w:pPr>
      <w:r>
        <w:t xml:space="preserve">Activities:</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60"/>
      </w:pPr>
      <w:r>
        <w:t xml:space="preserve">Assess confidence levels using five-level vocabulary</w:t>
      </w:r>
    </w:p>
    <w:p>
      <w:pPr>
        <w:spacing w:after="180"/>
      </w:pPr>
      <w:r>
        <w:t xml:space="preserve">Forces Framework integration: Step 2. Forces lens applied to source ecology.</w:t>
      </w:r>
    </w:p>
    <w:p>
      <w:pPr>
        <w:spacing w:after="180"/>
      </w:pPr>
      <w:r>
        <w:t xml:space="preserve">Governed by: Part II of this Framework, Forces Framework, Constitution Articles 16,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source ecology</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Ecology.</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Organizational, and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Apply the integration lenses the world's own ecology calls for, proportional to its formation axis rather than as a fixed required set — for example affective and emotional life, intellectual and conceptual structures, authority structures, boundary structures, and formation logic. A world whose formation axis is oral, communal, liturgical, or ascetic may weight these lenses differently or foreground others; the lens set is world-derived, not prescribed.</w:t>
      </w:r>
    </w:p>
    <w:p>
      <w:pPr>
        <w:pStyle w:val="ListParagraph"/>
        <w:numPr>
          <w:ilvl w:val="0"/>
          <w:numId w:val="2"/>
        </w:numPr>
        <w:spacing w:after="60"/>
      </w:pPr>
      <w:r>
        <w:t xml:space="preserve">Apply additional lenses where evidence supports: Memory Structures, Interpretive Ecology, Representative Theological Patterns, Material Culture.</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3, TC-001).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