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Church in Conversation — Step 2 (Comparative): Source Ecology and Source Registry</w:t>
      </w:r>
    </w:p>
    <w:p>
      <w:pPr>
        <w:spacing w:after="160"/>
      </w:pPr>
      <w:r>
        <w:rPr>
          <w:b/>
          <w:bCs/>
        </w:rPr>
        <w:t xml:space="preserve">Status:</w:t>
      </w:r>
      <w:r>
        <w:t xml:space="preserve"> DRAFT, revision 1. Comparative, pre-selection Step 2 work for six of the eight candidates the project lead named, produced against the Step 0 seed list (revision 2) and the Formation World Construction Framework V7.4-DRAFT's own Step 2 text (Part II), governed by the Source Registry Template's mechanics and Constitution Articles 16, 17, 20, and 26. Not sign-off complete; not yet sent to adversarial review. </w:t>
      </w:r>
      <w:r>
        <w:rPr>
          <w:b/>
          <w:bCs/>
        </w:rPr>
        <w:t xml:space="preserve">No world has been selected. Nothing here is a frozen or canonical Doc_02/Source Registry for any world.</w:t>
      </w:r>
      <w:r>
        <w:t xml:space="preserve"> This document does not include Doc_01 for any candidate — every boundary judgment below is provisional, standing in on the candidate's own Step 0 Item 1 (Identification) and Item 4 (open concerns), pending real Step 1 work if a candidate is later selected.</w:t>
      </w:r>
    </w:p>
    <w:p>
      <w:pPr>
        <w:spacing w:after="160"/>
      </w:pPr>
      <w:r>
        <w:rPr>
          <w:b/>
          <w:bCs/>
        </w:rPr>
        <w:t xml:space="preserve">Branch:</w:t>
      </w:r>
      <w:r>
        <w:t xml:space="preserve"> </w:t>
      </w:r>
      <w:r>
        <w:rPr>
          <w:rFonts w:ascii="Consolas" w:cs="Consolas" w:eastAsia="Consolas" w:hAnsi="Consolas"/>
          <w:shd w:fill="F2F2F2" w:val="clear"/>
        </w:rPr>
        <w:t xml:space="preserve">CiC-L1L3-Foundation</w:t>
      </w:r>
      <w:r>
        <w:t xml:space="preserve">.</w:t>
      </w:r>
    </w:p>
    <w:p>
      <w:pPr>
        <w:spacing w:after="160"/>
      </w:pPr>
      <w:r>
        <w:rPr>
          <w:b/>
          <w:bCs/>
        </w:rPr>
        <w:t xml:space="preserve">Candidates covered in this pass (six of eight):</w:t>
      </w:r>
      <w:r>
        <w:t xml:space="preserve"> Egyptian Desert Monasticism; the Donatist Church; the Cappadocian Fathers; the Church of the East; Jerusalem's Liturgical-Pilgrimage Christianity; the Roman Episcopal-Petrine Tradition.</w:t>
      </w:r>
    </w:p>
    <w:p>
      <w:pPr>
        <w:spacing w:after="160"/>
      </w:pPr>
      <w:r>
        <w:rPr>
          <w:b/>
          <w:bCs/>
        </w:rPr>
        <w:t xml:space="preserve">Candidates deliberately held out of this pass:</w:t>
      </w:r>
      <w:r>
        <w:t xml:space="preserve"> the Alexandrian Catechetical/Christian-Platonist Tradition (Clement and Origen) and Post-Apostolic/Sub-Apostolic House-Church Christianity. These two are withheld because of a reported, logged containment exposure to Level 4+ world-build content in this thread (a prior world referred to as "Alexandria"/"Theon" and its own Author Gravity defect history, encountered incidentally while locating the Source Registry Template). Per the project lead's direction, these two candidates are to be handled in a genuinely fresh thread with no such exposure, once one is set up. Nothing about that exposure has been allowed to inform the six candidates below — none of them touch the specific material that was seen.</w:t>
      </w:r>
    </w:p>
    <w:p>
      <w:pPr>
        <w:spacing w:after="160"/>
      </w:pPr>
      <w:r>
        <w:rPr>
          <w:b/>
          <w:bCs/>
        </w:rPr>
        <w:t xml:space="preserve">Registry Confidence axis note (methodological, applies throughout):</w:t>
      </w:r>
      <w:r>
        <w:t xml:space="preserve"> Per the Source Registry Template, the "Confidence" column below is </w:t>
      </w:r>
      <w:r>
        <w:rPr>
          <w:b/>
          <w:bCs/>
        </w:rPr>
        <w:t xml:space="preserve">citation reliability</w:t>
      </w:r>
      <w:r>
        <w:t xml:space="preserve">, not historical confidence — a separate axis from the five-level historical-confidence vocabulary (Documented / Widely Accepted / Dominant Modern Reconstruction / Contested / Inferential-Thin) used in the Source Ecology narrative sections. A representative sample of load-bearing or risk-prone citations across all six candidates was independently verified this session via live search (noted where it happened); everything else rests at the Registry's own Confidence B ("specific work/locus named, not independently re-checked this session") unless otherwise marked. This is stated plainly rather than implied, because overclaiming verification is exactly the kind of error this Registry mechanism exists to prevent.</w:t>
      </w:r>
    </w:p>
    <w:p>
      <w:pPr>
        <w:pBdr>
          <w:bottom w:val="single" w:color="999999" w:sz="6" w:space="4"/>
        </w:pBdr>
      </w:pPr>
    </w:p>
    <w:p>
      <w:pPr>
        <w:pStyle w:val="Heading2"/>
      </w:pPr>
      <w:r>
        <w:t xml:space="preserve">1. Egyptian Desert Monasticism (Antonian-Pachomian Ascetic Movement)</w:t>
      </w:r>
    </w:p>
    <w:p>
      <w:pPr>
        <w:pStyle w:val="Heading3"/>
      </w:pPr>
      <w:r>
        <w:t xml:space="preserve">1.0 Provisional boundary (from Step 0 Item 1 and Item 4, not a Doc_01)</w:t>
      </w:r>
    </w:p>
    <w:p>
      <w:pPr>
        <w:spacing w:after="160"/>
      </w:pPr>
      <w:r>
        <w:t xml:space="preserve">c. 270–451 CE. Egypt: the Nitria/Kellia/Scetis desert region (Lower Egypt, anchoritic) and Tabennesi/Faw Qibli (Upper Egypt, Pachomian coenobitic federation). Step 0 Item 4 flagged the </w:t>
      </w:r>
      <w:r>
        <w:rPr>
          <w:i/>
          <w:iCs/>
        </w:rPr>
        <w:t xml:space="preserve">Apophthegmata Patrum</w:t>
      </w:r>
      <w:r>
        <w:t xml:space="preserve">'s complicated, multi-recension transmission history as a live Author Gravity concern; that flag is carried forward and expanded below rather than re-litigated from scratch.</w:t>
      </w:r>
    </w:p>
    <w:p>
      <w:pPr>
        <w:pStyle w:val="Heading3"/>
      </w:pPr>
      <w:r>
        <w:t xml:space="preserve">1.1 Source Ecology (Doc_02-equivalent)</w:t>
      </w:r>
    </w:p>
    <w:p>
      <w:pPr>
        <w:spacing w:after="160"/>
      </w:pPr>
      <w:r>
        <w:rPr>
          <w:b/>
          <w:bCs/>
        </w:rPr>
        <w:t xml:space="preserve">Primary voices.</w:t>
      </w:r>
      <w:r>
        <w:t xml:space="preserve"> Athanasius of Alexandria, </w:t>
      </w:r>
      <w:r>
        <w:rPr>
          <w:i/>
          <w:iCs/>
        </w:rPr>
        <w:t xml:space="preserve">Vita Antonii</w:t>
      </w:r>
      <w:r>
        <w:t xml:space="preserve"> (c. 356–362). The </w:t>
      </w:r>
      <w:r>
        <w:rPr>
          <w:i/>
          <w:iCs/>
        </w:rPr>
        <w:t xml:space="preserve">Apophthegmata Patrum</w:t>
      </w:r>
      <w:r>
        <w:t xml:space="preserve"> (Sayings of the Desert Fathers), Alphabetical and Systematic collections, compiled c. 5th–6th century from oral material reaching back into the 4th. The Pachomian corpus: the Bohairic and Sahidic </w:t>
      </w:r>
      <w:r>
        <w:rPr>
          <w:i/>
          <w:iCs/>
        </w:rPr>
        <w:t xml:space="preserve">Lives of Pachomius</w:t>
      </w:r>
      <w:r>
        <w:t xml:space="preserve">, the </w:t>
      </w:r>
      <w:r>
        <w:rPr>
          <w:i/>
          <w:iCs/>
        </w:rPr>
        <w:t xml:space="preserve">Praecepta</w:t>
      </w:r>
      <w:r>
        <w:t xml:space="preserve"> and other Pachomian </w:t>
      </w:r>
      <w:r>
        <w:rPr>
          <w:i/>
          <w:iCs/>
        </w:rPr>
        <w:t xml:space="preserve">Rules</w:t>
      </w:r>
      <w:r>
        <w:t xml:space="preserve">, and the letters of Pachomius, Theodore, and Horsiesios. Evagrius Ponticus (Kellia, d. 399): </w:t>
      </w:r>
      <w:r>
        <w:rPr>
          <w:i/>
          <w:iCs/>
        </w:rPr>
        <w:t xml:space="preserve">Praktikos</w:t>
      </w:r>
      <w:r>
        <w:t xml:space="preserve">, </w:t>
      </w:r>
      <w:r>
        <w:rPr>
          <w:i/>
          <w:iCs/>
        </w:rPr>
        <w:t xml:space="preserve">Chapters on Prayer</w:t>
      </w:r>
      <w:r>
        <w:t xml:space="preserve">, </w:t>
      </w:r>
      <w:r>
        <w:rPr>
          <w:i/>
          <w:iCs/>
        </w:rPr>
        <w:t xml:space="preserve">Antirrhetikos</w:t>
      </w:r>
      <w:r>
        <w:t xml:space="preserve">, the </w:t>
      </w:r>
      <w:r>
        <w:rPr>
          <w:i/>
          <w:iCs/>
        </w:rPr>
        <w:t xml:space="preserve">Skemmata</w:t>
      </w:r>
      <w:r>
        <w:t xml:space="preserve">. The seven Coptic/Greek </w:t>
      </w:r>
      <w:r>
        <w:rPr>
          <w:i/>
          <w:iCs/>
        </w:rPr>
        <w:t xml:space="preserve">Letters of Antony</w:t>
      </w:r>
      <w:r>
        <w:t xml:space="preserve"> (authenticity long disputed, now substantially rehabilitated — see Author Gravity below). Palladius, </w:t>
      </w:r>
      <w:r>
        <w:rPr>
          <w:i/>
          <w:iCs/>
        </w:rPr>
        <w:t xml:space="preserve">Historia Lausiaca</w:t>
      </w:r>
      <w:r>
        <w:t xml:space="preserve"> (c. 419–420). John Cassian, </w:t>
      </w:r>
      <w:r>
        <w:rPr>
          <w:i/>
          <w:iCs/>
        </w:rPr>
        <w:t xml:space="preserve">Institutes</w:t>
      </w:r>
      <w:r>
        <w:t xml:space="preserve"> and </w:t>
      </w:r>
      <w:r>
        <w:rPr>
          <w:i/>
          <w:iCs/>
        </w:rPr>
        <w:t xml:space="preserve">Conferences</w:t>
      </w:r>
      <w:r>
        <w:t xml:space="preserve"> (c. 420s). The anonymous </w:t>
      </w:r>
      <w:r>
        <w:rPr>
          <w:i/>
          <w:iCs/>
        </w:rPr>
        <w:t xml:space="preserve">Historia Monachorum in Aegypto</w:t>
      </w:r>
      <w:r>
        <w:t xml:space="preserve"> (Greek, c. 394–395; Latin adaptation by Rufinus).</w:t>
      </w:r>
    </w:p>
    <w:p>
      <w:pPr>
        <w:spacing w:after="160"/>
      </w:pPr>
      <w:r>
        <w:rPr>
          <w:b/>
          <w:bCs/>
        </w:rPr>
        <w:t xml:space="preserve">Secondary (ancient) voices.</w:t>
      </w:r>
      <w:r>
        <w:t xml:space="preserve"> Socrates Scholasticus and Sozomen report on Egyptian monasticism in their </w:t>
      </w:r>
      <w:r>
        <w:rPr>
          <w:i/>
          <w:iCs/>
        </w:rPr>
        <w:t xml:space="preserve">Ecclesiastical Histories</w:t>
      </w:r>
      <w:r>
        <w:t xml:space="preserve">, at one remove. Jerome's Latin </w:t>
      </w:r>
      <w:r>
        <w:rPr>
          <w:i/>
          <w:iCs/>
        </w:rPr>
        <w:t xml:space="preserve">Lives</w:t>
      </w:r>
      <w:r>
        <w:t xml:space="preserve"> (Paul, Malchus, Hilarion) are comparanda from an adjacent, overlapping hagiographic tradition rather than reports of this ecology proper — flagged for the Registry's Named Comparandum category where they risk being mistaken for Egyptian material specifically. Rufinus functions doubly: translator of the </w:t>
      </w:r>
      <w:r>
        <w:rPr>
          <w:i/>
          <w:iCs/>
        </w:rPr>
        <w:t xml:space="preserve">Historia Monachorum</w:t>
      </w:r>
      <w:r>
        <w:t xml:space="preserve"> and, independently, of Origen and of Basil's </w:t>
      </w:r>
      <w:r>
        <w:rPr>
          <w:i/>
          <w:iCs/>
        </w:rPr>
        <w:t xml:space="preserve">Asketikon</w:t>
      </w:r>
      <w:r>
        <w:t xml:space="preserve"> — his own editorial hand recurs across multiple candidates in this survey and is itself a standing Author Gravity risk (see below).</w:t>
      </w:r>
    </w:p>
    <w:p>
      <w:pPr>
        <w:spacing w:after="160"/>
      </w:pPr>
      <w:r>
        <w:rPr>
          <w:b/>
          <w:bCs/>
        </w:rPr>
        <w:t xml:space="preserve">Institutional sources.</w:t>
      </w:r>
      <w:r>
        <w:t xml:space="preserve"> The Pachomian </w:t>
      </w:r>
      <w:r>
        <w:rPr>
          <w:i/>
          <w:iCs/>
        </w:rPr>
        <w:t xml:space="preserve">Rules</w:t>
      </w:r>
      <w:r>
        <w:t xml:space="preserve"> themselves function as institutional/legal texts governing a federated </w:t>
      </w:r>
      <w:r>
        <w:rPr>
          <w:i/>
          <w:iCs/>
        </w:rPr>
        <w:t xml:space="preserve">koinonia</w:t>
      </w:r>
      <w:r>
        <w:t xml:space="preserve">. Council of Chalcedon (451) Canon 4 addresses monks' subordination to episcopal authority — falls at the very close of this candidate's window and is Native as a boundary-adjacent institutional data point, not as evidence of Egyptian practice specifically.</w:t>
      </w:r>
    </w:p>
    <w:p>
      <w:pPr>
        <w:spacing w:after="160"/>
      </w:pPr>
      <w:r>
        <w:rPr>
          <w:b/>
          <w:bCs/>
        </w:rPr>
        <w:t xml:space="preserve">Liturgical sources.</w:t>
      </w:r>
      <w:r>
        <w:t xml:space="preserve"> Comparatively thin as an independent stream: Psalter recitation and memorization structured daily rhythm (attested throughout the </w:t>
      </w:r>
      <w:r>
        <w:rPr>
          <w:i/>
          <w:iCs/>
        </w:rPr>
        <w:t xml:space="preserve">Apophthegmata</w:t>
      </w:r>
      <w:r>
        <w:t xml:space="preserve"> and Cassian); Eucharistic practice is mentioned but not treated as a distinct liturgical-textual tradition the way Jerusalem's material is. This confirms, rather than corrects, Step 0's own Item 7 flag that the Worship/liturgical lens is comparatively thin here relative to the Human and Community lenses.</w:t>
      </w:r>
    </w:p>
    <w:p>
      <w:pPr>
        <w:spacing w:after="160"/>
      </w:pPr>
      <w:r>
        <w:rPr>
          <w:b/>
          <w:bCs/>
        </w:rPr>
        <w:t xml:space="preserve">Material evidence.</w:t>
      </w:r>
      <w:r>
        <w:t xml:space="preserve"> Archaeological excavation at Kellia (French/Swiss missions, following Antoine Guillaumont's identification of the site) documents actual hermitage layout: individual cells, small attached oratories, workspaces for rope- and basket-weaving — materially corroborating the </w:t>
      </w:r>
      <w:r>
        <w:rPr>
          <w:i/>
          <w:iCs/>
        </w:rPr>
        <w:t xml:space="preserve">Apophthegmata</w:t>
      </w:r>
      <w:r>
        <w:t xml:space="preserve">'s emphasis on manual labor paired with prayer. Pachomian coenobitic remains excavated at Faw Qibli (ancient Tabennesi). The physical proximity of the Nag Hammadi codices' discovery site to Pachomian monastic territory is a live, debated data point in the secondary scholarship (James Goehring) about the porousness of the "desert" boundary — noted here as a material-culture question, not as evidence the Pachomian federation itself held or endorsed the Nag Hammadi library's contents, which remain excluded on Section A grounds regardless.</w:t>
      </w:r>
    </w:p>
    <w:p>
      <w:pPr>
        <w:spacing w:after="160"/>
      </w:pPr>
      <w:r>
        <w:rPr>
          <w:b/>
          <w:bCs/>
        </w:rPr>
        <w:t xml:space="preserve">Ordinary-participant evidence.</w:t>
      </w:r>
      <w:r>
        <w:t xml:space="preserve"> Thin independent of the compiling literary voice. The </w:t>
      </w:r>
      <w:r>
        <w:rPr>
          <w:i/>
          <w:iCs/>
        </w:rPr>
        <w:t xml:space="preserve">Apophthegmata</w:t>
      </w:r>
      <w:r>
        <w:t xml:space="preserve"> preserves anonymous visitors, novices, and lay questioners, but always as reported within an elder-centered anecdote form, never as self-testimony.</w:t>
      </w:r>
    </w:p>
    <w:p>
      <w:pPr>
        <w:spacing w:after="160"/>
      </w:pPr>
      <w:r>
        <w:rPr>
          <w:b/>
          <w:bCs/>
        </w:rPr>
        <w:t xml:space="preserve">Author Gravity Assessment (five dimensions: visibility, representativeness, influence, limitations, transmission history).</w:t>
      </w:r>
    </w:p>
    <w:p>
      <w:pPr>
        <w:ind w:left="360"/>
      </w:pPr>
      <w:r>
        <w:t xml:space="preserve">•  </w:t>
      </w:r>
      <w:r>
        <w:rPr>
          <w:i/>
          <w:iCs/>
        </w:rPr>
        <w:t xml:space="preserve">Athanasius, Vita Antonii.</w:t>
      </w:r>
      <w:r>
        <w:t xml:space="preserve"> Visibility: the single most influential text in the entire tradition. Representativeness: an outside episcopal patron with an active anti-Arian polemical use for Antony as an ideal — not a neutral reporter. Influence: shaped how the whole Mediterranean and Latin world understood monastic sanctity from a very early date. Limitations: the historical Antony may be considerably more constructed-ideal than reported; specific dramatic incidents (demonic combat) follow hagiographic convention. Transmission history: survives directly in Greek and in an early, largely reliable Latin translation by Evagrius of Antioch (distinct from Evagrius Ponticus) — a comparatively clean transmission case relative to others in this ecology.</w:t>
      </w:r>
    </w:p>
    <w:p>
      <w:pPr>
        <w:ind w:left="360"/>
      </w:pPr>
      <w:r>
        <w:t xml:space="preserve">•  </w:t>
      </w:r>
      <w:r>
        <w:rPr>
          <w:i/>
          <w:iCs/>
        </w:rPr>
        <w:t xml:space="preserve">Apophthegmata Patrum.</w:t>
      </w:r>
      <w:r>
        <w:t xml:space="preserve"> Visibility: very high. Representativeness: collective — dozens of named and anonymous elders — one of the least single-author-dependent sources in this entire project so far. Influence: foundational for all later monastic literature. Limitations and transmission history: genuinely complicated. Graham Gould and William Harmless both document multiple, only partly overlapping recensions (Greek Alphabetical, Greek Systematic, Latin, Coptic, Syriac, Armenian), compiled and re-edited across roughly two centuries, with sayings sometimes migrating between attributed elders across recensions. This is a real Author Gravity risk specifically at the level of </w:t>
      </w:r>
      <w:r>
        <w:rPr>
          <w:i/>
          <w:iCs/>
        </w:rPr>
        <w:t xml:space="preserve">individual attribution</w:t>
      </w:r>
      <w:r>
        <w:t xml:space="preserve"> (which named elder said which saying), not at the level of the collection's general reliability as a witness to desert practice.</w:t>
      </w:r>
    </w:p>
    <w:p>
      <w:pPr>
        <w:ind w:left="360"/>
      </w:pPr>
      <w:r>
        <w:t xml:space="preserve">•  </w:t>
      </w:r>
      <w:r>
        <w:rPr>
          <w:i/>
          <w:iCs/>
        </w:rPr>
        <w:t xml:space="preserve">Pachomian corpus.</w:t>
      </w:r>
      <w:r>
        <w:t xml:space="preserve"> Visibility: moderate-high. Representativeness: institutional/collective. Influence: the basis of the coenobitic-rule tradition in the West via Jerome. Limitations: hagiographic idealization in the </w:t>
      </w:r>
      <w:r>
        <w:rPr>
          <w:i/>
          <w:iCs/>
        </w:rPr>
        <w:t xml:space="preserve">Lives</w:t>
      </w:r>
      <w:r>
        <w:t xml:space="preserve">. Transmission history: </w:t>
      </w:r>
      <w:r>
        <w:rPr>
          <w:b/>
          <w:bCs/>
        </w:rPr>
        <w:t xml:space="preserve">verified this session</w:t>
      </w:r>
      <w:r>
        <w:t xml:space="preserve"> — Jerome's Latin translation of the Pachomian </w:t>
      </w:r>
      <w:r>
        <w:rPr>
          <w:i/>
          <w:iCs/>
        </w:rPr>
        <w:t xml:space="preserve">Rules</w:t>
      </w:r>
      <w:r>
        <w:t xml:space="preserve"> (404 CE) is the only complete translation to survive; the Coptic original is lost, and Jerome worked through an interpreter rather than reading Coptic himself. This is a first-order transmission dependency worth naming plainly: the West's entire textual access to Pachomius's own rule runs through one bilingual intermediary's mediated translation.</w:t>
      </w:r>
    </w:p>
    <w:p>
      <w:pPr>
        <w:ind w:left="360"/>
      </w:pPr>
      <w:r>
        <w:t xml:space="preserve">•  </w:t>
      </w:r>
      <w:r>
        <w:rPr>
          <w:i/>
          <w:iCs/>
        </w:rPr>
        <w:t xml:space="preserve">Evagrius Ponticus.</w:t>
      </w:r>
      <w:r>
        <w:t xml:space="preserve"> Visibility: high among specialists, historically suppressed among general readers. Representativeness: an intellectual systematizer, arguably atypical of the wider, mostly non-literate Coptic-speaking rank and file. Influence: enormous on later ascetic theology, largely transmitted anonymously (John Cassian draws heavily on Evagrius without naming him). Limitations and transmission history: </w:t>
      </w:r>
      <w:r>
        <w:rPr>
          <w:b/>
          <w:bCs/>
        </w:rPr>
        <w:t xml:space="preserve">verified this session</w:t>
      </w:r>
      <w:r>
        <w:t xml:space="preserve"> — Evagrius's Origenist theology was condemned at the Second Council of Constantinople in 553 (a date outside this candidate's own window, but with a transmission effect that reaches back into how his corpus survives at all): his name does not appear directly in the council's own acts, but the condemnation of Origenist positions he held caused much of his Greek corpus to be lost or deliberately mistransmitted under other names, surviving substantially only in Syriac, Armenian, and Georgian translation — traditions whose reception of Origen and Evagrius was not controversial in the same way. This is a serious transmission-history flag structurally similar to the Origen/Rufinus problem Step 0 flagged for the Alexandrian candidate (held out of this pass), and should be tracked as a recurring cross-candidate pattern rather than treated as unique to either.</w:t>
      </w:r>
    </w:p>
    <w:p>
      <w:pPr>
        <w:ind w:left="360"/>
      </w:pPr>
      <w:r>
        <w:t xml:space="preserve">•  </w:t>
      </w:r>
      <w:r>
        <w:rPr>
          <w:i/>
          <w:iCs/>
        </w:rPr>
        <w:t xml:space="preserve">Palladius.</w:t>
      </w:r>
      <w:r>
        <w:t xml:space="preserve"> Visibility: high, a major transmission channel to the wider Mediterranean and Latin worlds. Representativeness: a bishop-pilgrim's retrospective travelogue, an outside visitor's synthesis rather than an insider's account. Limitations: some legendary elaboration and chronological compression, addressed directly in Cuthbert Butler's critical edition. Transmission history: comparatively well-established manuscript tradition relative to the </w:t>
      </w:r>
      <w:r>
        <w:rPr>
          <w:i/>
          <w:iCs/>
        </w:rPr>
        <w:t xml:space="preserve">Apophthegmata</w:t>
      </w:r>
      <w:r>
        <w:t xml:space="preserve">.</w:t>
      </w:r>
    </w:p>
    <w:p>
      <w:pPr>
        <w:spacing w:after="160"/>
      </w:pPr>
      <w:r>
        <w:rPr>
          <w:b/>
          <w:bCs/>
        </w:rPr>
        <w:t xml:space="preserve">Secondary Scholarship Assessment.</w:t>
      </w:r>
      <w:r>
        <w:t xml:space="preserve"> Peter Brown (</w:t>
      </w:r>
      <w:r>
        <w:rPr>
          <w:i/>
          <w:iCs/>
        </w:rPr>
        <w:t xml:space="preserve">The Body and Society</w:t>
      </w:r>
      <w:r>
        <w:t xml:space="preserve">; </w:t>
      </w:r>
      <w:r>
        <w:rPr>
          <w:i/>
          <w:iCs/>
        </w:rPr>
        <w:t xml:space="preserve">The Making of Late Antiquity</w:t>
      </w:r>
      <w:r>
        <w:t xml:space="preserve">; </w:t>
      </w:r>
      <w:r>
        <w:rPr>
          <w:i/>
          <w:iCs/>
        </w:rPr>
        <w:t xml:space="preserve">Poverty and Leadership in the Later Roman Empire</w:t>
      </w:r>
      <w:r>
        <w:t xml:space="preserve">) for the broad interpretive framework of asceticism and the body. David Brakke (</w:t>
      </w:r>
      <w:r>
        <w:rPr>
          <w:i/>
          <w:iCs/>
        </w:rPr>
        <w:t xml:space="preserve">Athanasius and Asceticism</w:t>
      </w:r>
      <w:r>
        <w:t xml:space="preserve">; </w:t>
      </w:r>
      <w:r>
        <w:rPr>
          <w:i/>
          <w:iCs/>
        </w:rPr>
        <w:t xml:space="preserve">Demons and the Making of the Monk</w:t>
      </w:r>
      <w:r>
        <w:t xml:space="preserve">) on the </w:t>
      </w:r>
      <w:r>
        <w:rPr>
          <w:i/>
          <w:iCs/>
        </w:rPr>
        <w:t xml:space="preserve">Vita Antonii</w:t>
      </w:r>
      <w:r>
        <w:t xml:space="preserve">'s polemical function and the demonological psychology of the </w:t>
      </w:r>
      <w:r>
        <w:rPr>
          <w:i/>
          <w:iCs/>
        </w:rPr>
        <w:t xml:space="preserve">logismoi</w:t>
      </w:r>
      <w:r>
        <w:t xml:space="preserve">. James Goehring (</w:t>
      </w:r>
      <w:r>
        <w:rPr>
          <w:i/>
          <w:iCs/>
        </w:rPr>
        <w:t xml:space="preserve">Ascetics, Society, and the Desert</w:t>
      </w:r>
      <w:r>
        <w:t xml:space="preserve">) for the revisionist "porous desert" geography noted above. Douglas Burton-Christie (</w:t>
      </w:r>
      <w:r>
        <w:rPr>
          <w:i/>
          <w:iCs/>
        </w:rPr>
        <w:t xml:space="preserve">The Word in the Desert</w:t>
      </w:r>
      <w:r>
        <w:t xml:space="preserve">) on scriptural formation practice. William Harmless (</w:t>
      </w:r>
      <w:r>
        <w:rPr>
          <w:i/>
          <w:iCs/>
        </w:rPr>
        <w:t xml:space="preserve">Desert Christians</w:t>
      </w:r>
      <w:r>
        <w:t xml:space="preserve">) as the standard synthetic survey. Samuel Rubenson (</w:t>
      </w:r>
      <w:r>
        <w:rPr>
          <w:i/>
          <w:iCs/>
        </w:rPr>
        <w:t xml:space="preserve">The Letters of St. Antony</w:t>
      </w:r>
      <w:r>
        <w:t xml:space="preserve">) for the reassessment of the Antony letters as substantially authentic against older skepticism — a live and significant scholarly reversal worth naming as a debate, not a settled point, since not every scholar has followed Rubenson fully. Armand Veilleux and Philip Rousseau (</w:t>
      </w:r>
      <w:r>
        <w:rPr>
          <w:i/>
          <w:iCs/>
        </w:rPr>
        <w:t xml:space="preserve">Pachomius: The Making of a Community</w:t>
      </w:r>
      <w:r>
        <w:t xml:space="preserve">) on the Pachomian textual and institutional history.</w:t>
      </w:r>
    </w:p>
    <w:p>
      <w:pPr>
        <w:spacing w:after="160"/>
      </w:pPr>
      <w:r>
        <w:rPr>
          <w:b/>
          <w:bCs/>
        </w:rPr>
        <w:t xml:space="preserve">Formation Narrative Sources.</w:t>
      </w:r>
      <w:r>
        <w:t xml:space="preserve"> </w:t>
      </w:r>
      <w:r>
        <w:rPr>
          <w:i/>
          <w:iCs/>
        </w:rPr>
        <w:t xml:space="preserve">Vita Antonii</w:t>
      </w:r>
      <w:r>
        <w:t xml:space="preserve">: close to Tier 1 (Documented Historical Narrative) for its basic biographical outline given Athanasius's plausible personal knowledge, but individual dramatic incidents fall to Tier 3 (Attributed Tradition, hagiographic convention) per the Construction Framework's own four-tier story classification. The </w:t>
      </w:r>
      <w:r>
        <w:rPr>
          <w:i/>
          <w:iCs/>
        </w:rPr>
        <w:t xml:space="preserve">Apophthegmata</w:t>
      </w:r>
      <w:r>
        <w:t xml:space="preserve"> as a whole sits at Tier 2 (Collected and Traditional Material) — the collection's authenticity as evidence of community memory is not seriously contested even where individual attributions are. </w:t>
      </w:r>
      <w:r>
        <w:rPr>
          <w:i/>
          <w:iCs/>
        </w:rPr>
        <w:t xml:space="preserve">Historia Lausiaca</w:t>
      </w:r>
      <w:r>
        <w:t xml:space="preserve"> similarly Tier 2 with Tier 3 elements in its more vivid anecdotes.</w:t>
      </w:r>
    </w:p>
    <w:p>
      <w:pPr>
        <w:spacing w:after="160"/>
      </w:pPr>
      <w:r>
        <w:rPr>
          <w:b/>
          <w:bCs/>
        </w:rPr>
        <w:t xml:space="preserve">Material Culture and Daily Life Sources.</w:t>
      </w:r>
      <w:r>
        <w:t xml:space="preserve"> Kellia and Nitria excavations (Guillaumont and successor missions) and the Pachomian remains at Faw Qibli, as above. Social-historical background: Rubenson and Goehring both note that a large proportion of the actual rank-and-file monks in this ecology were Coptic-speaking peasants of limited or no Greek literacy, a sharp contrast with the Greek-literate hagiographic voice (Athanasius, Palladius) reporting on them — a genuine, structurally significant asymmetry, addressed under Source Asymmetry below.</w:t>
      </w:r>
    </w:p>
    <w:p>
      <w:pPr>
        <w:spacing w:after="160"/>
      </w:pPr>
      <w:r>
        <w:rPr>
          <w:b/>
          <w:bCs/>
        </w:rPr>
        <w:t xml:space="preserve">Source Asymmetry and Missing Voices — Affirmative Duty (Article 20).</w:t>
      </w:r>
      <w:r>
        <w:t xml:space="preserve"> The surviving literary voice is disproportionately Greek-literate and either episcopally connected (Athanasius) or an elite outside visitor writing for an elite audience (Palladius for a Mediterranean readership; Cassian explicitly for a Gallic aristocratic patron). </w:t>
      </w:r>
      <w:r>
        <w:rPr>
          <w:b/>
          <w:bCs/>
        </w:rPr>
        <w:t xml:space="preserve">Named specifically:</w:t>
      </w:r>
      <w:r>
        <w:t xml:space="preserve"> the everyday, Coptic-speaking, frequently non-literate or semi-literate rank-and-file monk who actually populated Nitria, Scetis, and the Pachomian houses in far greater numbers than the named elders of the </w:t>
      </w:r>
      <w:r>
        <w:rPr>
          <w:i/>
          <w:iCs/>
        </w:rPr>
        <w:t xml:space="preserve">Apophthegmata</w:t>
      </w:r>
      <w:r>
        <w:t xml:space="preserve"> — this voice is structurally suppressed because literacy and language access were themselves stratified by class and metropolitan connection, and the ecclesiastical networks that preserved and copied manuscripts had their own institutional reasons (Athanasian patronage, a Greek-and-Latin readership) to elevate a small number of exemplary, "usable" figures over the broader, undifferentiated mass. Women ascetics (the </w:t>
      </w:r>
      <w:r>
        <w:rPr>
          <w:i/>
          <w:iCs/>
        </w:rPr>
        <w:t xml:space="preserve">ammas</w:t>
      </w:r>
      <w:r>
        <w:t xml:space="preserve"> — Syncletica, Sarah, Theodora) do appear by name in the </w:t>
      </w:r>
      <w:r>
        <w:rPr>
          <w:i/>
          <w:iCs/>
        </w:rPr>
        <w:t xml:space="preserve">Apophthegmata</w:t>
      </w:r>
      <w:r>
        <w:t xml:space="preserve">, a real and specific exception worth naming rather than folding into a generic "thinness" claim, but their number is small relative to the male elders, and their sayings reach us through the same male-compiled collection process as everyone else's — genuine presence, not independent transmission.</w:t>
      </w:r>
    </w:p>
    <w:p>
      <w:pPr>
        <w:spacing w:after="160"/>
      </w:pPr>
      <w:r>
        <w:rPr>
          <w:b/>
          <w:bCs/>
        </w:rPr>
        <w:t xml:space="preserve">Forces lens.</w:t>
      </w:r>
      <w:r>
        <w:t xml:space="preserve"> Sources speak richly to internal/initiating forces (renunciation; ascetic struggle against </w:t>
      </w:r>
      <w:r>
        <w:rPr>
          <w:i/>
          <w:iCs/>
        </w:rPr>
        <w:t xml:space="preserve">logismoi</w:t>
      </w:r>
      <w:r>
        <w:t xml:space="preserve">) and to an external/ongoing force theologized as demonic assault, which likely encodes real environmental and psychological hardship. A genuine external-initiating-force data point: Athanasius himself took refuge among Egyptian monks during his Arian-controversy exiles, meaning the desert's relationship to imperial-ecclesiastical conflict is not merely thematic but literally load-bearing for how the </w:t>
      </w:r>
      <w:r>
        <w:rPr>
          <w:i/>
          <w:iCs/>
        </w:rPr>
        <w:t xml:space="preserve">Vita Antonii</w:t>
      </w:r>
      <w:r>
        <w:t xml:space="preserve"> itself came to be written when it was. Silences: the literary sources say almost nothing directly about the ecology's economic relationship to the surrounding Egyptian agrarian and tax system; Goehring's revisionist geography work is substantially a reconstruction filling this silence rather than a reading of direct testimony, and should be marked accordingly (Dominant Modern Reconstruction, not Documented). Survivorship pattern: the comparative richness of Pachomian </w:t>
      </w:r>
      <w:r>
        <w:rPr>
          <w:i/>
          <w:iCs/>
        </w:rPr>
        <w:t xml:space="preserve">institutional</w:t>
      </w:r>
      <w:r>
        <w:t xml:space="preserve"> records (Rules, correspondence) against the comparative anecdotal looseness of anchoritic material suggests federated organization was itself partly a response to a real fragmentation risk in the looser eremitic network.</w:t>
      </w:r>
    </w:p>
    <w:p>
      <w:pPr>
        <w:spacing w:after="160"/>
      </w:pPr>
      <w:r>
        <w:rPr>
          <w:b/>
          <w:bCs/>
        </w:rPr>
        <w:t xml:space="preserve">Confidence-level summary.</w:t>
      </w:r>
      <w:r>
        <w:t xml:space="preserve"> The general existence, chronology, and rough geography of the movement: Documented. Antony's basic biographical outline: Widely Accepted; specific dramatic incidents: Contested to Inferential-Thin (hagiographic convention). Pachomian institutional structure and its growth into a federation: Widely Accepted to Dominant Modern Reconstruction. Specific </w:t>
      </w:r>
      <w:r>
        <w:rPr>
          <w:i/>
          <w:iCs/>
        </w:rPr>
        <w:t xml:space="preserve">Apophthegmata</w:t>
      </w:r>
      <w:r>
        <w:t xml:space="preserve"> attributions to named elders: Contested to Inferential-Thin, given documented cross-recension attribution drift. The claim that ordinary rank-and-file monks were substantially non-literate Coptic speakers: Dominant Modern Reconstruction (Rubenson, Goehring), not Documented in the sense of direct first-person testimony from those monks themselves — there essentially is none.</w:t>
      </w:r>
    </w:p>
    <w:p>
      <w:pPr>
        <w:spacing w:after="160"/>
      </w:pPr>
      <w:r>
        <w:rPr>
          <w:b/>
          <w:bCs/>
        </w:rPr>
        <w:t xml:space="preserve">Correction against Step 0's own impression:</w:t>
      </w:r>
      <w:r>
        <w:t xml:space="preserve"> richer, not thinner, on the specific point of Voice Breadth once Evagrius, the Antony letters (now substantially rehabilitated), and the </w:t>
      </w:r>
      <w:r>
        <w:rPr>
          <w:i/>
          <w:iCs/>
        </w:rPr>
        <w:t xml:space="preserve">Historia Monachorum</w:t>
      </w:r>
      <w:r>
        <w:t xml:space="preserve"> are drawn fully into the ecology rather than named only in passing — Step 0's Item 6 already listed most of these, but the ecology work here surfaces a real, previously unstated methodological bonus: the Evagrius/Rufinus and Origen/Rufinus transmission problems are structurally the same pattern, which strengthens (rather than merely repeats) Step 0's cross-candidate observation about Rufinus as a recurring mediating hand across multiple candidates in this survey.</w:t>
      </w:r>
    </w:p>
    <w:p>
      <w:pPr>
        <w:pStyle w:val="Heading3"/>
      </w:pPr>
      <w:r>
        <w:t xml:space="preserve">1.2 Source Registry — Egyptian Desert Monasticism</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60"/>
        <w:gridCol w:w="1260"/>
        <w:gridCol w:w="1260"/>
        <w:gridCol w:w="1260"/>
        <w:gridCol w:w="1260"/>
        <w:gridCol w:w="1260"/>
        <w:gridCol w:w="1260"/>
        <w:gridCol w:w="1260"/>
      </w:tblGrid>
      <w:tr>
        <w:trPr>
          <w:tblHeader/>
        </w:trPr>
        <w:tc>
          <w:tcPr>
            <w:tcW w:type="dxa" w:w="1260"/>
            <w:tcBorders>
              <w:top w:val="single" w:color="BFBFBF" w:sz="2"/>
              <w:left w:val="single" w:color="BFBFBF" w:sz="2"/>
              <w:bottom w:val="single" w:color="BFBFBF" w:sz="2"/>
              <w:right w:val="single" w:color="BFBFBF" w:sz="2"/>
            </w:tcBorders>
            <w:shd w:fill="D9E2F3" w:val="clear"/>
            <w:tcMar>
              <w:top w:type="dxa" w:w="60"/>
              <w:left w:type="dxa" w:w="100"/>
              <w:bottom w:type="dxa" w:w="60"/>
              <w:right w:type="dxa" w:w="100"/>
            </w:tcMar>
          </w:tcPr>
          <w:p>
            <w:r>
              <w:rPr>
                <w:b/>
                <w:bCs/>
                <w:sz w:val="18"/>
                <w:szCs w:val="18"/>
              </w:rPr>
              <w:t xml:space="preserve">#</w:t>
            </w:r>
          </w:p>
        </w:tc>
        <w:tc>
          <w:tcPr>
            <w:tcW w:type="dxa" w:w="1260"/>
            <w:tcBorders>
              <w:top w:val="single" w:color="BFBFBF" w:sz="2"/>
              <w:left w:val="single" w:color="BFBFBF" w:sz="2"/>
              <w:bottom w:val="single" w:color="BFBFBF" w:sz="2"/>
              <w:right w:val="single" w:color="BFBFBF" w:sz="2"/>
            </w:tcBorders>
            <w:shd w:fill="D9E2F3" w:val="clear"/>
            <w:tcMar>
              <w:top w:type="dxa" w:w="60"/>
              <w:left w:type="dxa" w:w="100"/>
              <w:bottom w:type="dxa" w:w="60"/>
              <w:right w:type="dxa" w:w="100"/>
            </w:tcMar>
          </w:tcPr>
          <w:p>
            <w:r>
              <w:rPr>
                <w:b/>
                <w:bCs/>
                <w:sz w:val="18"/>
                <w:szCs w:val="18"/>
              </w:rPr>
              <w:t xml:space="preserve">Source</w:t>
            </w:r>
          </w:p>
        </w:tc>
        <w:tc>
          <w:tcPr>
            <w:tcW w:type="dxa" w:w="1260"/>
            <w:tcBorders>
              <w:top w:val="single" w:color="BFBFBF" w:sz="2"/>
              <w:left w:val="single" w:color="BFBFBF" w:sz="2"/>
              <w:bottom w:val="single" w:color="BFBFBF" w:sz="2"/>
              <w:right w:val="single" w:color="BFBFBF" w:sz="2"/>
            </w:tcBorders>
            <w:shd w:fill="D9E2F3" w:val="clear"/>
            <w:tcMar>
              <w:top w:type="dxa" w:w="60"/>
              <w:left w:type="dxa" w:w="100"/>
              <w:bottom w:type="dxa" w:w="60"/>
              <w:right w:type="dxa" w:w="100"/>
            </w:tcMar>
          </w:tcPr>
          <w:p>
            <w:r>
              <w:rPr>
                <w:b/>
                <w:bCs/>
                <w:sz w:val="18"/>
                <w:szCs w:val="18"/>
              </w:rPr>
              <w:t xml:space="preserve">Type</w:t>
            </w:r>
          </w:p>
        </w:tc>
        <w:tc>
          <w:tcPr>
            <w:tcW w:type="dxa" w:w="1260"/>
            <w:tcBorders>
              <w:top w:val="single" w:color="BFBFBF" w:sz="2"/>
              <w:left w:val="single" w:color="BFBFBF" w:sz="2"/>
              <w:bottom w:val="single" w:color="BFBFBF" w:sz="2"/>
              <w:right w:val="single" w:color="BFBFBF" w:sz="2"/>
            </w:tcBorders>
            <w:shd w:fill="D9E2F3" w:val="clear"/>
            <w:tcMar>
              <w:top w:type="dxa" w:w="60"/>
              <w:left w:type="dxa" w:w="100"/>
              <w:bottom w:type="dxa" w:w="60"/>
              <w:right w:type="dxa" w:w="100"/>
            </w:tcMar>
          </w:tcPr>
          <w:p>
            <w:r>
              <w:rPr>
                <w:b/>
                <w:bCs/>
                <w:sz w:val="18"/>
                <w:szCs w:val="18"/>
              </w:rPr>
              <w:t xml:space="preserve">Confidence</w:t>
            </w:r>
          </w:p>
        </w:tc>
        <w:tc>
          <w:tcPr>
            <w:tcW w:type="dxa" w:w="1260"/>
            <w:tcBorders>
              <w:top w:val="single" w:color="BFBFBF" w:sz="2"/>
              <w:left w:val="single" w:color="BFBFBF" w:sz="2"/>
              <w:bottom w:val="single" w:color="BFBFBF" w:sz="2"/>
              <w:right w:val="single" w:color="BFBFBF" w:sz="2"/>
            </w:tcBorders>
            <w:shd w:fill="D9E2F3" w:val="clear"/>
            <w:tcMar>
              <w:top w:type="dxa" w:w="60"/>
              <w:left w:type="dxa" w:w="100"/>
              <w:bottom w:type="dxa" w:w="60"/>
              <w:right w:type="dxa" w:w="100"/>
            </w:tcMar>
          </w:tcPr>
          <w:p>
            <w:r>
              <w:rPr>
                <w:b/>
                <w:bCs/>
                <w:sz w:val="18"/>
                <w:szCs w:val="18"/>
              </w:rPr>
              <w:t xml:space="preserve">Boundary</w:t>
            </w:r>
          </w:p>
        </w:tc>
        <w:tc>
          <w:tcPr>
            <w:tcW w:type="dxa" w:w="1260"/>
            <w:tcBorders>
              <w:top w:val="single" w:color="BFBFBF" w:sz="2"/>
              <w:left w:val="single" w:color="BFBFBF" w:sz="2"/>
              <w:bottom w:val="single" w:color="BFBFBF" w:sz="2"/>
              <w:right w:val="single" w:color="BFBFBF" w:sz="2"/>
            </w:tcBorders>
            <w:shd w:fill="D9E2F3" w:val="clear"/>
            <w:tcMar>
              <w:top w:type="dxa" w:w="60"/>
              <w:left w:type="dxa" w:w="100"/>
              <w:bottom w:type="dxa" w:w="60"/>
              <w:right w:type="dxa" w:w="100"/>
            </w:tcMar>
          </w:tcPr>
          <w:p>
            <w:r>
              <w:rPr>
                <w:b/>
                <w:bCs/>
                <w:sz w:val="18"/>
                <w:szCs w:val="18"/>
              </w:rPr>
              <w:t xml:space="preserve">Exclusion Reason</w:t>
            </w:r>
          </w:p>
        </w:tc>
        <w:tc>
          <w:tcPr>
            <w:tcW w:type="dxa" w:w="1260"/>
            <w:tcBorders>
              <w:top w:val="single" w:color="BFBFBF" w:sz="2"/>
              <w:left w:val="single" w:color="BFBFBF" w:sz="2"/>
              <w:bottom w:val="single" w:color="BFBFBF" w:sz="2"/>
              <w:right w:val="single" w:color="BFBFBF" w:sz="2"/>
            </w:tcBorders>
            <w:shd w:fill="D9E2F3" w:val="clear"/>
            <w:tcMar>
              <w:top w:type="dxa" w:w="60"/>
              <w:left w:type="dxa" w:w="100"/>
              <w:bottom w:type="dxa" w:w="60"/>
              <w:right w:type="dxa" w:w="100"/>
            </w:tcMar>
          </w:tcPr>
          <w:p>
            <w:r>
              <w:rPr>
                <w:b/>
                <w:bCs/>
                <w:sz w:val="18"/>
                <w:szCs w:val="18"/>
              </w:rPr>
              <w:t xml:space="preserve">Licensed For</w:t>
            </w:r>
          </w:p>
        </w:tc>
        <w:tc>
          <w:tcPr>
            <w:tcW w:type="dxa" w:w="1260"/>
            <w:tcBorders>
              <w:top w:val="single" w:color="BFBFBF" w:sz="2"/>
              <w:left w:val="single" w:color="BFBFBF" w:sz="2"/>
              <w:bottom w:val="single" w:color="BFBFBF" w:sz="2"/>
              <w:right w:val="single" w:color="BFBFBF" w:sz="2"/>
            </w:tcBorders>
            <w:shd w:fill="D9E2F3" w:val="clear"/>
            <w:tcMar>
              <w:top w:type="dxa" w:w="60"/>
              <w:left w:type="dxa" w:w="100"/>
              <w:bottom w:type="dxa" w:w="60"/>
              <w:right w:type="dxa" w:w="100"/>
            </w:tcMar>
          </w:tcPr>
          <w:p>
            <w:r>
              <w:rPr>
                <w:b/>
                <w:bCs/>
                <w:sz w:val="18"/>
                <w:szCs w:val="18"/>
              </w:rPr>
              <w:t xml:space="preserve">Verification Note</w:t>
            </w:r>
          </w:p>
        </w:tc>
      </w:tr>
      <w:tr>
        <w:tc>
          <w:tcPr>
            <w:tcW w:type="dxa" w:w="12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sz w:val="18"/>
                <w:szCs w:val="18"/>
              </w:rPr>
              <w:t xml:space="preserve"/>
            </w:r>
          </w:p>
        </w:tc>
        <w:tc>
          <w:tcPr>
            <w:tcW w:type="dxa" w:w="12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sz w:val="18"/>
                <w:szCs w:val="18"/>
              </w:rPr>
              <w:t xml:space="preserve"/>
            </w:r>
            <w:r>
              <w:rPr>
                <w:sz w:val="18"/>
                <w:szCs w:val="18"/>
              </w:rPr>
              <w:t xml:space="preserve"/>
            </w:r>
          </w:p>
        </w:tc>
        <w:tc>
          <w:tcPr>
            <w:tcW w:type="dxa" w:w="12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sz w:val="18"/>
                <w:szCs w:val="18"/>
              </w:rPr>
              <w:t xml:space="preserve"/>
            </w:r>
          </w:p>
        </w:tc>
        <w:tc>
          <w:tcPr>
            <w:tcW w:type="dxa" w:w="12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sz w:val="18"/>
                <w:szCs w:val="18"/>
              </w:rPr>
              <w:t xml:space="preserve"/>
            </w:r>
          </w:p>
        </w:tc>
        <w:tc>
          <w:tcPr>
            <w:tcW w:type="dxa" w:w="12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sz w:val="18"/>
                <w:szCs w:val="18"/>
              </w:rPr>
              <w:t xml:space="preserve"/>
            </w:r>
          </w:p>
        </w:tc>
        <w:tc>
          <w:tcPr>
            <w:tcW w:type="dxa" w:w="12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sz w:val="18"/>
                <w:szCs w:val="18"/>
              </w:rPr>
              <w:t xml:space="preserve"/>
            </w:r>
          </w:p>
        </w:tc>
        <w:tc>
          <w:tcPr>
            <w:tcW w:type="dxa" w:w="12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sz w:val="18"/>
                <w:szCs w:val="18"/>
              </w:rPr>
              <w:t xml:space="preserve"/>
            </w:r>
          </w:p>
        </w:tc>
        <w:tc>
          <w:tcPr>
            <w:tcW w:type="dxa" w:w="12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sz w:val="18"/>
                <w:szCs w:val="18"/>
              </w:rPr>
              <w:t xml:space="preserve"/>
            </w:r>
          </w:p>
        </w:tc>
      </w:tr>
      <w:tr>
        <w:tc>
          <w:tcPr>
            <w:tcW w:type="dxa" w:w="12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sz w:val="18"/>
                <w:szCs w:val="18"/>
              </w:rPr>
              <w:t xml:space="preserve"/>
            </w:r>
          </w:p>
        </w:tc>
        <w:tc>
          <w:tcPr>
            <w:tcW w:type="dxa" w:w="12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sz w:val="18"/>
                <w:szCs w:val="18"/>
              </w:rPr>
              <w:t xml:space="preserve"/>
            </w:r>
            <w:r>
              <w:rPr>
                <w:sz w:val="18"/>
                <w:szCs w:val="18"/>
              </w:rPr>
              <w:t xml:space="preserve"/>
            </w:r>
          </w:p>
        </w:tc>
        <w:tc>
          <w:tcPr>
            <w:tcW w:type="dxa" w:w="12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sz w:val="18"/>
                <w:szCs w:val="18"/>
              </w:rPr>
              <w:t xml:space="preserve"/>
            </w:r>
          </w:p>
        </w:tc>
        <w:tc>
          <w:tcPr>
            <w:tcW w:type="dxa" w:w="12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sz w:val="18"/>
                <w:szCs w:val="18"/>
              </w:rPr>
              <w:t xml:space="preserve"/>
            </w:r>
          </w:p>
        </w:tc>
        <w:tc>
          <w:tcPr>
            <w:tcW w:type="dxa" w:w="12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sz w:val="18"/>
                <w:szCs w:val="18"/>
              </w:rPr>
              <w:t xml:space="preserve"/>
            </w:r>
          </w:p>
        </w:tc>
        <w:tc>
          <w:tcPr>
            <w:tcW w:type="dxa" w:w="12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sz w:val="18"/>
                <w:szCs w:val="18"/>
              </w:rPr>
              <w:t xml:space="preserve"/>
            </w:r>
          </w:p>
        </w:tc>
        <w:tc>
          <w:tcPr>
            <w:tcW w:type="dxa" w:w="12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sz w:val="18"/>
                <w:szCs w:val="18"/>
              </w:rPr>
              <w:t xml:space="preserve"/>
            </w:r>
            <w:r>
              <w:rPr>
                <w:sz w:val="18"/>
                <w:szCs w:val="18"/>
              </w:rPr>
              <w:t xml:space="preserve"/>
            </w:r>
            <w:r>
              <w:rPr>
                <w:sz w:val="18"/>
                <w:szCs w:val="18"/>
              </w:rPr>
              <w:t xml:space="preserve"/>
            </w:r>
          </w:p>
        </w:tc>
        <w:tc>
          <w:tcPr>
            <w:tcW w:type="dxa" w:w="12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sz w:val="18"/>
                <w:szCs w:val="18"/>
              </w:rPr>
              <w:t xml:space="preserve"/>
            </w:r>
          </w:p>
        </w:tc>
      </w:tr>
      <w:tr>
        <w:tc>
          <w:tcPr>
            <w:tcW w:type="dxa" w:w="12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sz w:val="18"/>
                <w:szCs w:val="18"/>
              </w:rPr>
              <w:t xml:space="preserve"/>
            </w:r>
          </w:p>
        </w:tc>
        <w:tc>
          <w:tcPr>
            <w:tcW w:type="dxa" w:w="12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sz w:val="18"/>
                <w:szCs w:val="18"/>
              </w:rPr>
              <w:t xml:space="preserve"/>
            </w:r>
            <w:r>
              <w:rPr>
                <w:sz w:val="18"/>
                <w:szCs w:val="18"/>
              </w:rPr>
              <w:t xml:space="preserve"/>
            </w:r>
            <w:r>
              <w:rPr>
                <w:sz w:val="18"/>
                <w:szCs w:val="18"/>
              </w:rPr>
              <w:t xml:space="preserve"/>
            </w:r>
            <w:r>
              <w:rPr>
                <w:sz w:val="18"/>
                <w:szCs w:val="18"/>
              </w:rPr>
              <w:t xml:space="preserve"/>
            </w:r>
          </w:p>
        </w:tc>
        <w:tc>
          <w:tcPr>
            <w:tcW w:type="dxa" w:w="12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sz w:val="18"/>
                <w:szCs w:val="18"/>
              </w:rPr>
              <w:t xml:space="preserve"/>
            </w:r>
          </w:p>
        </w:tc>
        <w:tc>
          <w:tcPr>
            <w:tcW w:type="dxa" w:w="12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sz w:val="18"/>
                <w:szCs w:val="18"/>
              </w:rPr>
              <w:t xml:space="preserve"/>
            </w:r>
          </w:p>
        </w:tc>
        <w:tc>
          <w:tcPr>
            <w:tcW w:type="dxa" w:w="12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sz w:val="18"/>
                <w:szCs w:val="18"/>
              </w:rPr>
              <w:t xml:space="preserve"/>
            </w:r>
          </w:p>
        </w:tc>
        <w:tc>
          <w:tcPr>
            <w:tcW w:type="dxa" w:w="12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sz w:val="18"/>
                <w:szCs w:val="18"/>
              </w:rPr>
              <w:t xml:space="preserve"/>
            </w:r>
          </w:p>
        </w:tc>
        <w:tc>
          <w:tcPr>
            <w:tcW w:type="dxa" w:w="12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sz w:val="18"/>
                <w:szCs w:val="18"/>
              </w:rPr>
              <w:t xml:space="preserve"/>
            </w:r>
            <w:r>
              <w:rPr>
                <w:sz w:val="18"/>
                <w:szCs w:val="18"/>
              </w:rPr>
              <w:t xml:space="preserve"/>
            </w:r>
            <w:r>
              <w:rPr>
                <w:sz w:val="18"/>
                <w:szCs w:val="18"/>
              </w:rPr>
              <w:t xml:space="preserve"/>
            </w:r>
          </w:p>
        </w:tc>
        <w:tc>
          <w:tcPr>
            <w:tcW w:type="dxa" w:w="12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sz w:val="18"/>
                <w:szCs w:val="18"/>
              </w:rPr>
              <w:t xml:space="preserve"/>
            </w:r>
          </w:p>
        </w:tc>
      </w:tr>
      <w:tr>
        <w:tc>
          <w:tcPr>
            <w:tcW w:type="dxa" w:w="12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sz w:val="18"/>
                <w:szCs w:val="18"/>
              </w:rPr>
              <w:t xml:space="preserve"/>
            </w:r>
          </w:p>
        </w:tc>
        <w:tc>
          <w:tcPr>
            <w:tcW w:type="dxa" w:w="12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sz w:val="18"/>
                <w:szCs w:val="18"/>
              </w:rPr>
              <w:t xml:space="preserve"/>
            </w:r>
            <w:r>
              <w:rPr>
                <w:sz w:val="18"/>
                <w:szCs w:val="18"/>
              </w:rPr>
              <w:t xml:space="preserve"/>
            </w:r>
            <w:r>
              <w:rPr>
                <w:sz w:val="18"/>
                <w:szCs w:val="18"/>
              </w:rPr>
              <w:t xml:space="preserve"/>
            </w:r>
          </w:p>
        </w:tc>
        <w:tc>
          <w:tcPr>
            <w:tcW w:type="dxa" w:w="12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sz w:val="18"/>
                <w:szCs w:val="18"/>
              </w:rPr>
              <w:t xml:space="preserve"/>
            </w:r>
          </w:p>
        </w:tc>
        <w:tc>
          <w:tcPr>
            <w:tcW w:type="dxa" w:w="12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sz w:val="18"/>
                <w:szCs w:val="18"/>
              </w:rPr>
              <w:t xml:space="preserve"/>
            </w:r>
          </w:p>
        </w:tc>
        <w:tc>
          <w:tcPr>
            <w:tcW w:type="dxa" w:w="12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sz w:val="18"/>
                <w:szCs w:val="18"/>
              </w:rPr>
              <w:t xml:space="preserve"/>
            </w:r>
          </w:p>
        </w:tc>
        <w:tc>
          <w:tcPr>
            <w:tcW w:type="dxa" w:w="12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sz w:val="18"/>
                <w:szCs w:val="18"/>
              </w:rPr>
              <w:t xml:space="preserve"/>
            </w:r>
          </w:p>
        </w:tc>
        <w:tc>
          <w:tcPr>
            <w:tcW w:type="dxa" w:w="12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sz w:val="18"/>
                <w:szCs w:val="18"/>
              </w:rPr>
              <w:t xml:space="preserve"/>
            </w:r>
          </w:p>
        </w:tc>
        <w:tc>
          <w:tcPr>
            <w:tcW w:type="dxa" w:w="12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sz w:val="18"/>
                <w:szCs w:val="18"/>
              </w:rPr>
              <w:t xml:space="preserve"/>
            </w:r>
          </w:p>
        </w:tc>
      </w:tr>
      <w:tr>
        <w:tc>
          <w:tcPr>
            <w:tcW w:type="dxa" w:w="12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sz w:val="18"/>
                <w:szCs w:val="18"/>
              </w:rPr>
              <w:t xml:space="preserve"/>
            </w:r>
          </w:p>
        </w:tc>
        <w:tc>
          <w:tcPr>
            <w:tcW w:type="dxa" w:w="12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sz w:val="18"/>
                <w:szCs w:val="18"/>
              </w:rPr>
              <w:t xml:space="preserve"/>
            </w:r>
            <w:r>
              <w:rPr>
                <w:sz w:val="18"/>
                <w:szCs w:val="18"/>
              </w:rPr>
              <w:t xml:space="preserve"/>
            </w:r>
            <w:r>
              <w:rPr>
                <w:sz w:val="18"/>
                <w:szCs w:val="18"/>
              </w:rPr>
              <w:t xml:space="preserve"/>
            </w:r>
            <w:r>
              <w:rPr>
                <w:sz w:val="18"/>
                <w:szCs w:val="18"/>
              </w:rPr>
              <w:t xml:space="preserve"/>
            </w:r>
            <w:r>
              <w:rPr>
                <w:sz w:val="18"/>
                <w:szCs w:val="18"/>
              </w:rPr>
              <w:t xml:space="preserve"/>
            </w:r>
            <w:r>
              <w:rPr>
                <w:sz w:val="18"/>
                <w:szCs w:val="18"/>
              </w:rPr>
              <w:t xml:space="preserve"/>
            </w:r>
            <w:r>
              <w:rPr>
                <w:sz w:val="18"/>
                <w:szCs w:val="18"/>
              </w:rPr>
              <w:t xml:space="preserve"/>
            </w:r>
            <w:r>
              <w:rPr>
                <w:sz w:val="18"/>
                <w:szCs w:val="18"/>
              </w:rPr>
              <w:t xml:space="preserve"/>
            </w:r>
          </w:p>
        </w:tc>
        <w:tc>
          <w:tcPr>
            <w:tcW w:type="dxa" w:w="12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sz w:val="18"/>
                <w:szCs w:val="18"/>
              </w:rPr>
              <w:t xml:space="preserve"/>
            </w:r>
          </w:p>
        </w:tc>
        <w:tc>
          <w:tcPr>
            <w:tcW w:type="dxa" w:w="12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sz w:val="18"/>
                <w:szCs w:val="18"/>
              </w:rPr>
              <w:t xml:space="preserve"/>
            </w:r>
          </w:p>
        </w:tc>
        <w:tc>
          <w:tcPr>
            <w:tcW w:type="dxa" w:w="12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sz w:val="18"/>
                <w:szCs w:val="18"/>
              </w:rPr>
              <w:t xml:space="preserve"/>
            </w:r>
          </w:p>
        </w:tc>
        <w:tc>
          <w:tcPr>
            <w:tcW w:type="dxa" w:w="12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sz w:val="18"/>
                <w:szCs w:val="18"/>
              </w:rPr>
              <w:t xml:space="preserve"/>
            </w:r>
          </w:p>
        </w:tc>
        <w:tc>
          <w:tcPr>
            <w:tcW w:type="dxa" w:w="12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sz w:val="18"/>
                <w:szCs w:val="18"/>
              </w:rPr>
              <w:t xml:space="preserve"/>
            </w:r>
          </w:p>
        </w:tc>
        <w:tc>
          <w:tcPr>
            <w:tcW w:type="dxa" w:w="12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sz w:val="18"/>
                <w:szCs w:val="18"/>
              </w:rPr>
              <w:t xml:space="preserve"/>
            </w:r>
          </w:p>
        </w:tc>
      </w:tr>
      <w:tr>
        <w:tc>
          <w:tcPr>
            <w:tcW w:type="dxa" w:w="12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sz w:val="18"/>
                <w:szCs w:val="18"/>
              </w:rPr>
              <w:t xml:space="preserve"/>
            </w:r>
          </w:p>
        </w:tc>
        <w:tc>
          <w:tcPr>
            <w:tcW w:type="dxa" w:w="12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sz w:val="18"/>
                <w:szCs w:val="18"/>
              </w:rPr>
              <w:t xml:space="preserve"/>
            </w:r>
            <w:r>
              <w:rPr>
                <w:sz w:val="18"/>
                <w:szCs w:val="18"/>
              </w:rPr>
              <w:t xml:space="preserve"/>
            </w:r>
          </w:p>
        </w:tc>
        <w:tc>
          <w:tcPr>
            <w:tcW w:type="dxa" w:w="12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sz w:val="18"/>
                <w:szCs w:val="18"/>
              </w:rPr>
              <w:t xml:space="preserve"/>
            </w:r>
          </w:p>
        </w:tc>
        <w:tc>
          <w:tcPr>
            <w:tcW w:type="dxa" w:w="12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sz w:val="18"/>
                <w:szCs w:val="18"/>
              </w:rPr>
              <w:t xml:space="preserve"/>
            </w:r>
          </w:p>
        </w:tc>
        <w:tc>
          <w:tcPr>
            <w:tcW w:type="dxa" w:w="12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sz w:val="18"/>
                <w:szCs w:val="18"/>
              </w:rPr>
              <w:t xml:space="preserve"/>
            </w:r>
          </w:p>
        </w:tc>
        <w:tc>
          <w:tcPr>
            <w:tcW w:type="dxa" w:w="12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sz w:val="18"/>
                <w:szCs w:val="18"/>
              </w:rPr>
              <w:t xml:space="preserve"/>
            </w:r>
          </w:p>
        </w:tc>
        <w:tc>
          <w:tcPr>
            <w:tcW w:type="dxa" w:w="12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sz w:val="18"/>
                <w:szCs w:val="18"/>
              </w:rPr>
              <w:t xml:space="preserve"/>
            </w:r>
          </w:p>
        </w:tc>
        <w:tc>
          <w:tcPr>
            <w:tcW w:type="dxa" w:w="12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sz w:val="18"/>
                <w:szCs w:val="18"/>
              </w:rPr>
              <w:t xml:space="preserve"/>
            </w:r>
          </w:p>
        </w:tc>
      </w:tr>
      <w:tr>
        <w:tc>
          <w:tcPr>
            <w:tcW w:type="dxa" w:w="12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sz w:val="18"/>
                <w:szCs w:val="18"/>
              </w:rPr>
              <w:t xml:space="preserve"/>
            </w:r>
          </w:p>
        </w:tc>
        <w:tc>
          <w:tcPr>
            <w:tcW w:type="dxa" w:w="12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sz w:val="18"/>
                <w:szCs w:val="18"/>
              </w:rPr>
              <w:t xml:space="preserve"/>
            </w:r>
            <w:r>
              <w:rPr>
                <w:sz w:val="18"/>
                <w:szCs w:val="18"/>
              </w:rPr>
              <w:t xml:space="preserve"/>
            </w:r>
          </w:p>
        </w:tc>
        <w:tc>
          <w:tcPr>
            <w:tcW w:type="dxa" w:w="12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sz w:val="18"/>
                <w:szCs w:val="18"/>
              </w:rPr>
              <w:t xml:space="preserve"/>
            </w:r>
          </w:p>
        </w:tc>
        <w:tc>
          <w:tcPr>
            <w:tcW w:type="dxa" w:w="12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sz w:val="18"/>
                <w:szCs w:val="18"/>
              </w:rPr>
              <w:t xml:space="preserve"/>
            </w:r>
          </w:p>
        </w:tc>
        <w:tc>
          <w:tcPr>
            <w:tcW w:type="dxa" w:w="12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sz w:val="18"/>
                <w:szCs w:val="18"/>
              </w:rPr>
              <w:t xml:space="preserve"/>
            </w:r>
          </w:p>
        </w:tc>
        <w:tc>
          <w:tcPr>
            <w:tcW w:type="dxa" w:w="12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sz w:val="18"/>
                <w:szCs w:val="18"/>
              </w:rPr>
              <w:t xml:space="preserve"/>
            </w:r>
          </w:p>
        </w:tc>
        <w:tc>
          <w:tcPr>
            <w:tcW w:type="dxa" w:w="12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sz w:val="18"/>
                <w:szCs w:val="18"/>
              </w:rPr>
              <w:t xml:space="preserve"/>
            </w:r>
          </w:p>
        </w:tc>
        <w:tc>
          <w:tcPr>
            <w:tcW w:type="dxa" w:w="12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sz w:val="18"/>
                <w:szCs w:val="18"/>
              </w:rPr>
              <w:t xml:space="preserve"/>
            </w:r>
          </w:p>
        </w:tc>
      </w:tr>
      <w:tr>
        <w:tc>
          <w:tcPr>
            <w:tcW w:type="dxa" w:w="12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sz w:val="18"/>
                <w:szCs w:val="18"/>
              </w:rPr>
              <w:t xml:space="preserve"/>
            </w:r>
          </w:p>
        </w:tc>
        <w:tc>
          <w:tcPr>
            <w:tcW w:type="dxa" w:w="12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sz w:val="18"/>
                <w:szCs w:val="18"/>
              </w:rPr>
              <w:t xml:space="preserve"/>
            </w:r>
            <w:r>
              <w:rPr>
                <w:sz w:val="18"/>
                <w:szCs w:val="18"/>
              </w:rPr>
              <w:t xml:space="preserve"/>
            </w:r>
            <w:r>
              <w:rPr>
                <w:sz w:val="18"/>
                <w:szCs w:val="18"/>
              </w:rPr>
              <w:t xml:space="preserve"/>
            </w:r>
            <w:r>
              <w:rPr>
                <w:sz w:val="18"/>
                <w:szCs w:val="18"/>
              </w:rPr>
              <w:t xml:space="preserve"/>
            </w:r>
          </w:p>
        </w:tc>
        <w:tc>
          <w:tcPr>
            <w:tcW w:type="dxa" w:w="12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sz w:val="18"/>
                <w:szCs w:val="18"/>
              </w:rPr>
              <w:t xml:space="preserve"/>
            </w:r>
          </w:p>
        </w:tc>
        <w:tc>
          <w:tcPr>
            <w:tcW w:type="dxa" w:w="12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sz w:val="18"/>
                <w:szCs w:val="18"/>
              </w:rPr>
              <w:t xml:space="preserve"/>
            </w:r>
          </w:p>
        </w:tc>
        <w:tc>
          <w:tcPr>
            <w:tcW w:type="dxa" w:w="12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sz w:val="18"/>
                <w:szCs w:val="18"/>
              </w:rPr>
              <w:t xml:space="preserve"/>
            </w:r>
          </w:p>
        </w:tc>
        <w:tc>
          <w:tcPr>
            <w:tcW w:type="dxa" w:w="12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sz w:val="18"/>
                <w:szCs w:val="18"/>
              </w:rPr>
              <w:t xml:space="preserve"/>
            </w:r>
          </w:p>
        </w:tc>
        <w:tc>
          <w:tcPr>
            <w:tcW w:type="dxa" w:w="12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sz w:val="18"/>
                <w:szCs w:val="18"/>
              </w:rPr>
              <w:t xml:space="preserve"/>
            </w:r>
          </w:p>
        </w:tc>
        <w:tc>
          <w:tcPr>
            <w:tcW w:type="dxa" w:w="12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sz w:val="18"/>
                <w:szCs w:val="18"/>
              </w:rPr>
              <w:t xml:space="preserve"/>
            </w:r>
          </w:p>
        </w:tc>
      </w:tr>
      <w:tr>
        <w:tc>
          <w:tcPr>
            <w:tcW w:type="dxa" w:w="12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sz w:val="18"/>
                <w:szCs w:val="18"/>
              </w:rPr>
              <w:t xml:space="preserve"/>
            </w:r>
          </w:p>
        </w:tc>
        <w:tc>
          <w:tcPr>
            <w:tcW w:type="dxa" w:w="12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sz w:val="18"/>
                <w:szCs w:val="18"/>
              </w:rPr>
              <w:t xml:space="preserve"/>
            </w:r>
            <w:r>
              <w:rPr>
                <w:sz w:val="18"/>
                <w:szCs w:val="18"/>
              </w:rPr>
              <w:t xml:space="preserve"/>
            </w:r>
          </w:p>
        </w:tc>
        <w:tc>
          <w:tcPr>
            <w:tcW w:type="dxa" w:w="12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sz w:val="18"/>
                <w:szCs w:val="18"/>
              </w:rPr>
              <w:t xml:space="preserve"/>
            </w:r>
          </w:p>
        </w:tc>
        <w:tc>
          <w:tcPr>
            <w:tcW w:type="dxa" w:w="12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sz w:val="18"/>
                <w:szCs w:val="18"/>
              </w:rPr>
              <w:t xml:space="preserve"/>
            </w:r>
          </w:p>
        </w:tc>
        <w:tc>
          <w:tcPr>
            <w:tcW w:type="dxa" w:w="12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sz w:val="18"/>
                <w:szCs w:val="18"/>
              </w:rPr>
              <w:t xml:space="preserve"/>
            </w:r>
          </w:p>
        </w:tc>
        <w:tc>
          <w:tcPr>
            <w:tcW w:type="dxa" w:w="12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sz w:val="18"/>
                <w:szCs w:val="18"/>
              </w:rPr>
              <w:t xml:space="preserve"/>
            </w:r>
          </w:p>
        </w:tc>
        <w:tc>
          <w:tcPr>
            <w:tcW w:type="dxa" w:w="12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sz w:val="18"/>
                <w:szCs w:val="18"/>
              </w:rPr>
              <w:t xml:space="preserve"/>
            </w:r>
          </w:p>
        </w:tc>
        <w:tc>
          <w:tcPr>
            <w:tcW w:type="dxa" w:w="12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sz w:val="18"/>
                <w:szCs w:val="18"/>
              </w:rPr>
              <w:t xml:space="preserve"/>
            </w:r>
          </w:p>
        </w:tc>
      </w:tr>
      <w:tr>
        <w:tc>
          <w:tcPr>
            <w:tcW w:type="dxa" w:w="12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sz w:val="18"/>
                <w:szCs w:val="18"/>
              </w:rPr>
              <w:t xml:space="preserve"/>
            </w:r>
          </w:p>
        </w:tc>
        <w:tc>
          <w:tcPr>
            <w:tcW w:type="dxa" w:w="12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sz w:val="18"/>
                <w:szCs w:val="18"/>
              </w:rPr>
              <w:t xml:space="preserve"/>
            </w:r>
            <w:r>
              <w:rPr>
                <w:sz w:val="18"/>
                <w:szCs w:val="18"/>
              </w:rPr>
              <w:t xml:space="preserve"/>
            </w:r>
            <w:r>
              <w:rPr>
                <w:sz w:val="18"/>
                <w:szCs w:val="18"/>
              </w:rPr>
              <w:t xml:space="preserve"/>
            </w:r>
            <w:r>
              <w:rPr>
                <w:sz w:val="18"/>
                <w:szCs w:val="18"/>
              </w:rPr>
              <w:t xml:space="preserve"/>
            </w:r>
            <w:r>
              <w:rPr>
                <w:sz w:val="18"/>
                <w:szCs w:val="18"/>
              </w:rPr>
              <w:t xml:space="preserve"/>
            </w:r>
            <w:r>
              <w:rPr>
                <w:sz w:val="18"/>
                <w:szCs w:val="18"/>
              </w:rPr>
              <w:t xml:space="preserve"/>
            </w:r>
          </w:p>
        </w:tc>
        <w:tc>
          <w:tcPr>
            <w:tcW w:type="dxa" w:w="12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sz w:val="18"/>
                <w:szCs w:val="18"/>
              </w:rPr>
              <w:t xml:space="preserve"/>
            </w:r>
          </w:p>
        </w:tc>
        <w:tc>
          <w:tcPr>
            <w:tcW w:type="dxa" w:w="12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sz w:val="18"/>
                <w:szCs w:val="18"/>
              </w:rPr>
              <w:t xml:space="preserve"/>
            </w:r>
          </w:p>
        </w:tc>
        <w:tc>
          <w:tcPr>
            <w:tcW w:type="dxa" w:w="12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sz w:val="18"/>
                <w:szCs w:val="18"/>
              </w:rPr>
              <w:t xml:space="preserve"/>
            </w:r>
          </w:p>
        </w:tc>
        <w:tc>
          <w:tcPr>
            <w:tcW w:type="dxa" w:w="12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sz w:val="18"/>
                <w:szCs w:val="18"/>
              </w:rPr>
              <w:t xml:space="preserve"/>
            </w:r>
          </w:p>
        </w:tc>
        <w:tc>
          <w:tcPr>
            <w:tcW w:type="dxa" w:w="12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sz w:val="18"/>
                <w:szCs w:val="18"/>
              </w:rPr>
              <w:t xml:space="preserve"/>
            </w:r>
          </w:p>
        </w:tc>
        <w:tc>
          <w:tcPr>
            <w:tcW w:type="dxa" w:w="12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sz w:val="18"/>
                <w:szCs w:val="18"/>
              </w:rPr>
              <w:t xml:space="preserve"/>
            </w:r>
          </w:p>
        </w:tc>
      </w:tr>
      <w:tr>
        <w:tc>
          <w:tcPr>
            <w:tcW w:type="dxa" w:w="12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sz w:val="18"/>
                <w:szCs w:val="18"/>
              </w:rPr>
              <w:t xml:space="preserve"/>
            </w:r>
          </w:p>
        </w:tc>
        <w:tc>
          <w:tcPr>
            <w:tcW w:type="dxa" w:w="12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sz w:val="18"/>
                <w:szCs w:val="18"/>
              </w:rPr>
              <w:t xml:space="preserve"/>
            </w:r>
            <w:r>
              <w:rPr>
                <w:sz w:val="18"/>
                <w:szCs w:val="18"/>
              </w:rPr>
              <w:t xml:space="preserve"/>
            </w:r>
            <w:r>
              <w:rPr>
                <w:sz w:val="18"/>
                <w:szCs w:val="18"/>
              </w:rPr>
              <w:t xml:space="preserve"/>
            </w:r>
          </w:p>
        </w:tc>
        <w:tc>
          <w:tcPr>
            <w:tcW w:type="dxa" w:w="12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sz w:val="18"/>
                <w:szCs w:val="18"/>
              </w:rPr>
              <w:t xml:space="preserve"/>
            </w:r>
          </w:p>
        </w:tc>
        <w:tc>
          <w:tcPr>
            <w:tcW w:type="dxa" w:w="12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sz w:val="18"/>
                <w:szCs w:val="18"/>
              </w:rPr>
              <w:t xml:space="preserve"/>
            </w:r>
          </w:p>
        </w:tc>
        <w:tc>
          <w:tcPr>
            <w:tcW w:type="dxa" w:w="12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sz w:val="18"/>
                <w:szCs w:val="18"/>
              </w:rPr>
              <w:t xml:space="preserve"/>
            </w:r>
          </w:p>
        </w:tc>
        <w:tc>
          <w:tcPr>
            <w:tcW w:type="dxa" w:w="12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sz w:val="18"/>
                <w:szCs w:val="18"/>
              </w:rPr>
              <w:t xml:space="preserve"/>
            </w:r>
          </w:p>
        </w:tc>
        <w:tc>
          <w:tcPr>
            <w:tcW w:type="dxa" w:w="12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sz w:val="18"/>
                <w:szCs w:val="18"/>
              </w:rPr>
              <w:t xml:space="preserve"/>
            </w:r>
          </w:p>
        </w:tc>
        <w:tc>
          <w:tcPr>
            <w:tcW w:type="dxa" w:w="12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sz w:val="18"/>
                <w:szCs w:val="18"/>
              </w:rPr>
              <w:t xml:space="preserve"/>
            </w:r>
          </w:p>
        </w:tc>
      </w:tr>
      <w:tr>
        <w:tc>
          <w:tcPr>
            <w:tcW w:type="dxa" w:w="12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sz w:val="18"/>
                <w:szCs w:val="18"/>
              </w:rPr>
              <w:t xml:space="preserve"/>
            </w:r>
          </w:p>
        </w:tc>
        <w:tc>
          <w:tcPr>
            <w:tcW w:type="dxa" w:w="12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sz w:val="18"/>
                <w:szCs w:val="18"/>
              </w:rPr>
              <w:t xml:space="preserve"/>
            </w:r>
          </w:p>
        </w:tc>
        <w:tc>
          <w:tcPr>
            <w:tcW w:type="dxa" w:w="12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sz w:val="18"/>
                <w:szCs w:val="18"/>
              </w:rPr>
              <w:t xml:space="preserve"/>
            </w:r>
          </w:p>
        </w:tc>
        <w:tc>
          <w:tcPr>
            <w:tcW w:type="dxa" w:w="12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sz w:val="18"/>
                <w:szCs w:val="18"/>
              </w:rPr>
              <w:t xml:space="preserve"/>
            </w:r>
          </w:p>
        </w:tc>
        <w:tc>
          <w:tcPr>
            <w:tcW w:type="dxa" w:w="12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sz w:val="18"/>
                <w:szCs w:val="18"/>
              </w:rPr>
              <w:t xml:space="preserve"/>
            </w:r>
          </w:p>
        </w:tc>
        <w:tc>
          <w:tcPr>
            <w:tcW w:type="dxa" w:w="12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sz w:val="18"/>
                <w:szCs w:val="18"/>
              </w:rPr>
              <w:t xml:space="preserve"/>
            </w:r>
          </w:p>
        </w:tc>
        <w:tc>
          <w:tcPr>
            <w:tcW w:type="dxa" w:w="12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sz w:val="18"/>
                <w:szCs w:val="18"/>
              </w:rPr>
              <w:t xml:space="preserve"/>
            </w:r>
          </w:p>
        </w:tc>
        <w:tc>
          <w:tcPr>
            <w:tcW w:type="dxa" w:w="12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sz w:val="18"/>
                <w:szCs w:val="18"/>
              </w:rPr>
              <w:t xml:space="preserve"/>
            </w:r>
          </w:p>
        </w:tc>
      </w:tr>
      <w:tr>
        <w:tc>
          <w:tcPr>
            <w:tcW w:type="dxa" w:w="12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sz w:val="18"/>
                <w:szCs w:val="18"/>
              </w:rPr>
              <w:t xml:space="preserve"/>
            </w:r>
          </w:p>
        </w:tc>
        <w:tc>
          <w:tcPr>
            <w:tcW w:type="dxa" w:w="12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sz w:val="18"/>
                <w:szCs w:val="18"/>
              </w:rPr>
              <w:t xml:space="preserve"/>
            </w:r>
          </w:p>
        </w:tc>
        <w:tc>
          <w:tcPr>
            <w:tcW w:type="dxa" w:w="12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sz w:val="18"/>
                <w:szCs w:val="18"/>
              </w:rPr>
              <w:t xml:space="preserve"/>
            </w:r>
          </w:p>
        </w:tc>
        <w:tc>
          <w:tcPr>
            <w:tcW w:type="dxa" w:w="12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sz w:val="18"/>
                <w:szCs w:val="18"/>
              </w:rPr>
              <w:t xml:space="preserve"/>
            </w:r>
          </w:p>
        </w:tc>
        <w:tc>
          <w:tcPr>
            <w:tcW w:type="dxa" w:w="12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sz w:val="18"/>
                <w:szCs w:val="18"/>
              </w:rPr>
              <w:t xml:space="preserve"/>
            </w:r>
          </w:p>
        </w:tc>
        <w:tc>
          <w:tcPr>
            <w:tcW w:type="dxa" w:w="12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sz w:val="18"/>
                <w:szCs w:val="18"/>
              </w:rPr>
              <w:t xml:space="preserve"/>
            </w:r>
          </w:p>
        </w:tc>
        <w:tc>
          <w:tcPr>
            <w:tcW w:type="dxa" w:w="12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sz w:val="18"/>
                <w:szCs w:val="18"/>
              </w:rPr>
              <w:t xml:space="preserve"/>
            </w:r>
          </w:p>
        </w:tc>
        <w:tc>
          <w:tcPr>
            <w:tcW w:type="dxa" w:w="12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sz w:val="18"/>
                <w:szCs w:val="18"/>
              </w:rPr>
              <w:t xml:space="preserve"/>
            </w:r>
          </w:p>
        </w:tc>
      </w:tr>
      <w:tr>
        <w:tc>
          <w:tcPr>
            <w:tcW w:type="dxa" w:w="12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sz w:val="18"/>
                <w:szCs w:val="18"/>
              </w:rPr>
              <w:t xml:space="preserve"/>
            </w:r>
          </w:p>
        </w:tc>
        <w:tc>
          <w:tcPr>
            <w:tcW w:type="dxa" w:w="12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sz w:val="18"/>
                <w:szCs w:val="18"/>
              </w:rPr>
              <w:t xml:space="preserve"/>
            </w:r>
          </w:p>
        </w:tc>
        <w:tc>
          <w:tcPr>
            <w:tcW w:type="dxa" w:w="12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sz w:val="18"/>
                <w:szCs w:val="18"/>
              </w:rPr>
              <w:t xml:space="preserve"/>
            </w:r>
          </w:p>
        </w:tc>
        <w:tc>
          <w:tcPr>
            <w:tcW w:type="dxa" w:w="12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sz w:val="18"/>
                <w:szCs w:val="18"/>
              </w:rPr>
              <w:t xml:space="preserve"/>
            </w:r>
          </w:p>
        </w:tc>
        <w:tc>
          <w:tcPr>
            <w:tcW w:type="dxa" w:w="12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sz w:val="18"/>
                <w:szCs w:val="18"/>
              </w:rPr>
              <w:t xml:space="preserve"/>
            </w:r>
          </w:p>
        </w:tc>
        <w:tc>
          <w:tcPr>
            <w:tcW w:type="dxa" w:w="12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sz w:val="18"/>
                <w:szCs w:val="18"/>
              </w:rPr>
              <w:t xml:space="preserve"/>
            </w:r>
          </w:p>
        </w:tc>
        <w:tc>
          <w:tcPr>
            <w:tcW w:type="dxa" w:w="12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sz w:val="18"/>
                <w:szCs w:val="18"/>
              </w:rPr>
              <w:t xml:space="preserve"/>
            </w:r>
          </w:p>
        </w:tc>
        <w:tc>
          <w:tcPr>
            <w:tcW w:type="dxa" w:w="12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sz w:val="18"/>
                <w:szCs w:val="18"/>
              </w:rPr>
              <w:t xml:space="preserve"/>
            </w:r>
          </w:p>
        </w:tc>
      </w:tr>
      <w:tr>
        <w:tc>
          <w:tcPr>
            <w:tcW w:type="dxa" w:w="12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sz w:val="18"/>
                <w:szCs w:val="18"/>
              </w:rPr>
              <w:t xml:space="preserve"/>
            </w:r>
          </w:p>
        </w:tc>
        <w:tc>
          <w:tcPr>
            <w:tcW w:type="dxa" w:w="12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sz w:val="18"/>
                <w:szCs w:val="18"/>
              </w:rPr>
              <w:t xml:space="preserve"/>
            </w:r>
            <w:r>
              <w:rPr>
                <w:sz w:val="18"/>
                <w:szCs w:val="18"/>
              </w:rPr>
              <w:t xml:space="preserve"/>
            </w:r>
          </w:p>
        </w:tc>
        <w:tc>
          <w:tcPr>
            <w:tcW w:type="dxa" w:w="12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sz w:val="18"/>
                <w:szCs w:val="18"/>
              </w:rPr>
              <w:t xml:space="preserve"/>
            </w:r>
          </w:p>
        </w:tc>
        <w:tc>
          <w:tcPr>
            <w:tcW w:type="dxa" w:w="12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sz w:val="18"/>
                <w:szCs w:val="18"/>
              </w:rPr>
              <w:t xml:space="preserve"/>
            </w:r>
          </w:p>
        </w:tc>
        <w:tc>
          <w:tcPr>
            <w:tcW w:type="dxa" w:w="12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sz w:val="18"/>
                <w:szCs w:val="18"/>
              </w:rPr>
              <w:t xml:space="preserve"/>
            </w:r>
          </w:p>
        </w:tc>
        <w:tc>
          <w:tcPr>
            <w:tcW w:type="dxa" w:w="12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sz w:val="18"/>
                <w:szCs w:val="18"/>
              </w:rPr>
              <w:t xml:space="preserve"/>
            </w:r>
          </w:p>
        </w:tc>
        <w:tc>
          <w:tcPr>
            <w:tcW w:type="dxa" w:w="12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sz w:val="18"/>
                <w:szCs w:val="18"/>
              </w:rPr>
              <w:t xml:space="preserve"/>
            </w:r>
          </w:p>
        </w:tc>
        <w:tc>
          <w:tcPr>
            <w:tcW w:type="dxa" w:w="12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sz w:val="18"/>
                <w:szCs w:val="18"/>
              </w:rPr>
              <w:t xml:space="preserve"/>
            </w:r>
          </w:p>
        </w:tc>
      </w:tr>
      <w:tr>
        <w:tc>
          <w:tcPr>
            <w:tcW w:type="dxa" w:w="12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sz w:val="18"/>
                <w:szCs w:val="18"/>
              </w:rPr>
              <w:t xml:space="preserve"/>
            </w:r>
          </w:p>
        </w:tc>
        <w:tc>
          <w:tcPr>
            <w:tcW w:type="dxa" w:w="12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sz w:val="18"/>
                <w:szCs w:val="18"/>
              </w:rPr>
              <w:t xml:space="preserve"/>
            </w:r>
            <w:r>
              <w:rPr>
                <w:sz w:val="18"/>
                <w:szCs w:val="18"/>
              </w:rPr>
              <w:t xml:space="preserve"/>
            </w:r>
            <w:r>
              <w:rPr>
                <w:sz w:val="18"/>
                <w:szCs w:val="18"/>
              </w:rPr>
              <w:t xml:space="preserve"/>
            </w:r>
            <w:r>
              <w:rPr>
                <w:sz w:val="18"/>
                <w:szCs w:val="18"/>
              </w:rPr>
              <w:t xml:space="preserve"/>
            </w:r>
          </w:p>
        </w:tc>
        <w:tc>
          <w:tcPr>
            <w:tcW w:type="dxa" w:w="12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sz w:val="18"/>
                <w:szCs w:val="18"/>
              </w:rPr>
              <w:t xml:space="preserve"/>
            </w:r>
          </w:p>
        </w:tc>
        <w:tc>
          <w:tcPr>
            <w:tcW w:type="dxa" w:w="12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sz w:val="18"/>
                <w:szCs w:val="18"/>
              </w:rPr>
              <w:t xml:space="preserve"/>
            </w:r>
          </w:p>
        </w:tc>
        <w:tc>
          <w:tcPr>
            <w:tcW w:type="dxa" w:w="12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sz w:val="18"/>
                <w:szCs w:val="18"/>
              </w:rPr>
              <w:t xml:space="preserve"/>
            </w:r>
          </w:p>
        </w:tc>
        <w:tc>
          <w:tcPr>
            <w:tcW w:type="dxa" w:w="12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sz w:val="18"/>
                <w:szCs w:val="18"/>
              </w:rPr>
              <w:t xml:space="preserve"/>
            </w:r>
          </w:p>
        </w:tc>
        <w:tc>
          <w:tcPr>
            <w:tcW w:type="dxa" w:w="12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sz w:val="18"/>
                <w:szCs w:val="18"/>
              </w:rPr>
              <w:t xml:space="preserve"/>
            </w:r>
          </w:p>
        </w:tc>
        <w:tc>
          <w:tcPr>
            <w:tcW w:type="dxa" w:w="12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sz w:val="18"/>
                <w:szCs w:val="18"/>
              </w:rPr>
              <w:t xml:space="preserve"/>
            </w:r>
          </w:p>
        </w:tc>
      </w:tr>
      <w:tr>
        <w:tc>
          <w:tcPr>
            <w:tcW w:type="dxa" w:w="12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sz w:val="18"/>
                <w:szCs w:val="18"/>
              </w:rPr>
              <w:t xml:space="preserve"/>
            </w:r>
          </w:p>
        </w:tc>
        <w:tc>
          <w:tcPr>
            <w:tcW w:type="dxa" w:w="12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sz w:val="18"/>
                <w:szCs w:val="18"/>
              </w:rPr>
              <w:t xml:space="preserve"/>
            </w:r>
            <w:r>
              <w:rPr>
                <w:sz w:val="18"/>
                <w:szCs w:val="18"/>
              </w:rPr>
              <w:t xml:space="preserve"/>
            </w:r>
          </w:p>
        </w:tc>
        <w:tc>
          <w:tcPr>
            <w:tcW w:type="dxa" w:w="12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sz w:val="18"/>
                <w:szCs w:val="18"/>
              </w:rPr>
              <w:t xml:space="preserve"/>
            </w:r>
          </w:p>
        </w:tc>
        <w:tc>
          <w:tcPr>
            <w:tcW w:type="dxa" w:w="12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sz w:val="18"/>
                <w:szCs w:val="18"/>
              </w:rPr>
              <w:t xml:space="preserve"/>
            </w:r>
          </w:p>
        </w:tc>
        <w:tc>
          <w:tcPr>
            <w:tcW w:type="dxa" w:w="12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sz w:val="18"/>
                <w:szCs w:val="18"/>
              </w:rPr>
              <w:t xml:space="preserve"/>
            </w:r>
          </w:p>
        </w:tc>
        <w:tc>
          <w:tcPr>
            <w:tcW w:type="dxa" w:w="12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sz w:val="18"/>
                <w:szCs w:val="18"/>
              </w:rPr>
              <w:t xml:space="preserve"/>
            </w:r>
          </w:p>
        </w:tc>
        <w:tc>
          <w:tcPr>
            <w:tcW w:type="dxa" w:w="12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sz w:val="18"/>
                <w:szCs w:val="18"/>
              </w:rPr>
              <w:t xml:space="preserve"/>
            </w:r>
          </w:p>
        </w:tc>
        <w:tc>
          <w:tcPr>
            <w:tcW w:type="dxa" w:w="12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sz w:val="18"/>
                <w:szCs w:val="18"/>
              </w:rPr>
              <w:t xml:space="preserve"/>
            </w:r>
          </w:p>
        </w:tc>
      </w:tr>
      <w:tr>
        <w:tc>
          <w:tcPr>
            <w:tcW w:type="dxa" w:w="12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sz w:val="18"/>
                <w:szCs w:val="18"/>
              </w:rPr>
              <w:t xml:space="preserve"/>
            </w:r>
          </w:p>
        </w:tc>
        <w:tc>
          <w:tcPr>
            <w:tcW w:type="dxa" w:w="12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sz w:val="18"/>
                <w:szCs w:val="18"/>
              </w:rPr>
              <w:t xml:space="preserve"/>
            </w:r>
            <w:r>
              <w:rPr>
                <w:sz w:val="18"/>
                <w:szCs w:val="18"/>
              </w:rPr>
              <w:t xml:space="preserve"/>
            </w:r>
          </w:p>
        </w:tc>
        <w:tc>
          <w:tcPr>
            <w:tcW w:type="dxa" w:w="12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sz w:val="18"/>
                <w:szCs w:val="18"/>
              </w:rPr>
              <w:t xml:space="preserve"/>
            </w:r>
          </w:p>
        </w:tc>
        <w:tc>
          <w:tcPr>
            <w:tcW w:type="dxa" w:w="12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sz w:val="18"/>
                <w:szCs w:val="18"/>
              </w:rPr>
              <w:t xml:space="preserve"/>
            </w:r>
          </w:p>
        </w:tc>
        <w:tc>
          <w:tcPr>
            <w:tcW w:type="dxa" w:w="12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sz w:val="18"/>
                <w:szCs w:val="18"/>
              </w:rPr>
              <w:t xml:space="preserve"/>
            </w:r>
          </w:p>
        </w:tc>
        <w:tc>
          <w:tcPr>
            <w:tcW w:type="dxa" w:w="12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sz w:val="18"/>
                <w:szCs w:val="18"/>
              </w:rPr>
              <w:t xml:space="preserve"/>
            </w:r>
          </w:p>
        </w:tc>
        <w:tc>
          <w:tcPr>
            <w:tcW w:type="dxa" w:w="12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sz w:val="18"/>
                <w:szCs w:val="18"/>
              </w:rPr>
              <w:t xml:space="preserve"/>
            </w:r>
          </w:p>
        </w:tc>
        <w:tc>
          <w:tcPr>
            <w:tcW w:type="dxa" w:w="12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sz w:val="18"/>
                <w:szCs w:val="18"/>
              </w:rPr>
              <w:t xml:space="preserve"/>
            </w:r>
          </w:p>
        </w:tc>
      </w:tr>
      <w:tr>
        <w:tc>
          <w:tcPr>
            <w:tcW w:type="dxa" w:w="12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sz w:val="18"/>
                <w:szCs w:val="18"/>
              </w:rPr>
              <w:t xml:space="preserve"/>
            </w:r>
          </w:p>
        </w:tc>
        <w:tc>
          <w:tcPr>
            <w:tcW w:type="dxa" w:w="12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sz w:val="18"/>
                <w:szCs w:val="18"/>
              </w:rPr>
              <w:t xml:space="preserve"/>
            </w:r>
            <w:r>
              <w:rPr>
                <w:sz w:val="18"/>
                <w:szCs w:val="18"/>
              </w:rPr>
              <w:t xml:space="preserve"/>
            </w:r>
          </w:p>
        </w:tc>
        <w:tc>
          <w:tcPr>
            <w:tcW w:type="dxa" w:w="12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sz w:val="18"/>
                <w:szCs w:val="18"/>
              </w:rPr>
              <w:t xml:space="preserve"/>
            </w:r>
          </w:p>
        </w:tc>
        <w:tc>
          <w:tcPr>
            <w:tcW w:type="dxa" w:w="12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sz w:val="18"/>
                <w:szCs w:val="18"/>
              </w:rPr>
              <w:t xml:space="preserve"/>
            </w:r>
          </w:p>
        </w:tc>
        <w:tc>
          <w:tcPr>
            <w:tcW w:type="dxa" w:w="12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sz w:val="18"/>
                <w:szCs w:val="18"/>
              </w:rPr>
              <w:t xml:space="preserve"/>
            </w:r>
          </w:p>
        </w:tc>
        <w:tc>
          <w:tcPr>
            <w:tcW w:type="dxa" w:w="12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sz w:val="18"/>
                <w:szCs w:val="18"/>
              </w:rPr>
              <w:t xml:space="preserve"/>
            </w:r>
          </w:p>
        </w:tc>
        <w:tc>
          <w:tcPr>
            <w:tcW w:type="dxa" w:w="12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sz w:val="18"/>
                <w:szCs w:val="18"/>
              </w:rPr>
              <w:t xml:space="preserve"/>
            </w:r>
          </w:p>
        </w:tc>
        <w:tc>
          <w:tcPr>
            <w:tcW w:type="dxa" w:w="12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sz w:val="18"/>
                <w:szCs w:val="18"/>
              </w:rPr>
              <w:t xml:space="preserve"/>
            </w:r>
          </w:p>
        </w:tc>
      </w:tr>
      <w:tr>
        <w:tc>
          <w:tcPr>
            <w:tcW w:type="dxa" w:w="12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sz w:val="18"/>
                <w:szCs w:val="18"/>
              </w:rPr>
              <w:t xml:space="preserve"/>
            </w:r>
          </w:p>
        </w:tc>
        <w:tc>
          <w:tcPr>
            <w:tcW w:type="dxa" w:w="12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sz w:val="18"/>
                <w:szCs w:val="18"/>
              </w:rPr>
              <w:t xml:space="preserve"/>
            </w:r>
            <w:r>
              <w:rPr>
                <w:sz w:val="18"/>
                <w:szCs w:val="18"/>
              </w:rPr>
              <w:t xml:space="preserve"/>
            </w:r>
          </w:p>
        </w:tc>
        <w:tc>
          <w:tcPr>
            <w:tcW w:type="dxa" w:w="12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sz w:val="18"/>
                <w:szCs w:val="18"/>
              </w:rPr>
              <w:t xml:space="preserve"/>
            </w:r>
          </w:p>
        </w:tc>
        <w:tc>
          <w:tcPr>
            <w:tcW w:type="dxa" w:w="12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sz w:val="18"/>
                <w:szCs w:val="18"/>
              </w:rPr>
              <w:t xml:space="preserve"/>
            </w:r>
          </w:p>
        </w:tc>
        <w:tc>
          <w:tcPr>
            <w:tcW w:type="dxa" w:w="12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sz w:val="18"/>
                <w:szCs w:val="18"/>
              </w:rPr>
              <w:t xml:space="preserve"/>
            </w:r>
          </w:p>
        </w:tc>
        <w:tc>
          <w:tcPr>
            <w:tcW w:type="dxa" w:w="12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sz w:val="18"/>
                <w:szCs w:val="18"/>
              </w:rPr>
              <w:t xml:space="preserve"/>
            </w:r>
          </w:p>
        </w:tc>
        <w:tc>
          <w:tcPr>
            <w:tcW w:type="dxa" w:w="12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sz w:val="18"/>
                <w:szCs w:val="18"/>
              </w:rPr>
              <w:t xml:space="preserve"/>
            </w:r>
          </w:p>
        </w:tc>
        <w:tc>
          <w:tcPr>
            <w:tcW w:type="dxa" w:w="12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sz w:val="18"/>
                <w:szCs w:val="18"/>
              </w:rPr>
              <w:t xml:space="preserve"/>
            </w:r>
          </w:p>
        </w:tc>
      </w:tr>
    </w:tbl>
    <w:p/>
    <w:p>
      <w:pPr>
        <w:pBdr>
          <w:bottom w:val="single" w:color="999999" w:sz="6" w:space="4"/>
        </w:pBdr>
      </w:pPr>
    </w:p>
    <w:p>
      <w:pPr>
        <w:pStyle w:val="Heading2"/>
      </w:pPr>
      <w:r>
        <w:t xml:space="preserve">2. The Donatist Church of Roman North Africa</w:t>
      </w:r>
    </w:p>
    <w:p>
      <w:pPr>
        <w:pStyle w:val="Heading3"/>
      </w:pPr>
      <w:r>
        <w:t xml:space="preserve">2.0 Provisional boundary</w:t>
      </w:r>
    </w:p>
    <w:p>
      <w:pPr>
        <w:spacing w:after="160"/>
      </w:pPr>
      <w:r>
        <w:t xml:space="preserve">c. 311–early 5th century. Roman North Africa, concentrated in Numidia and Africa Proconsularis. Step 0 Item 4 flagged the near-total dependence on hostile (anti-Donatist) sources for a Donatist self-portrait, with the </w:t>
      </w:r>
      <w:r>
        <w:rPr>
          <w:i/>
          <w:iCs/>
        </w:rPr>
        <w:t xml:space="preserve">Gesta apud Zenophilum</w:t>
      </w:r>
      <w:r>
        <w:t xml:space="preserve"> and the Abitinian </w:t>
      </w:r>
      <w:r>
        <w:rPr>
          <w:i/>
          <w:iCs/>
        </w:rPr>
        <w:t xml:space="preserve">Acts</w:t>
      </w:r>
      <w:r>
        <w:t xml:space="preserve"> as precious, narrow exceptions.</w:t>
      </w:r>
    </w:p>
    <w:p>
      <w:pPr>
        <w:pStyle w:val="Heading3"/>
      </w:pPr>
      <w:r>
        <w:t xml:space="preserve">2.1 Source Ecology</w:t>
      </w:r>
    </w:p>
    <w:p>
      <w:pPr>
        <w:spacing w:after="160"/>
      </w:pPr>
      <w:r>
        <w:rPr>
          <w:b/>
          <w:bCs/>
        </w:rPr>
        <w:t xml:space="preserve">Primary voices.</w:t>
      </w:r>
      <w:r>
        <w:t xml:space="preserve"> On the Catholic/anti-Donatist side, richly attested: Optatus of Milevis, </w:t>
      </w:r>
      <w:r>
        <w:rPr>
          <w:i/>
          <w:iCs/>
        </w:rPr>
        <w:t xml:space="preserve">Contra Parmenianum Donatistam</w:t>
      </w:r>
      <w:r>
        <w:t xml:space="preserve"> (c. 366–367, with a later edition to c. 385); Augustine's extensive anti-Donatist corpus (</w:t>
      </w:r>
      <w:r>
        <w:rPr>
          <w:i/>
          <w:iCs/>
        </w:rPr>
        <w:t xml:space="preserve">Contra epistulam Parmeniani</w:t>
      </w:r>
      <w:r>
        <w:t xml:space="preserve">, </w:t>
      </w:r>
      <w:r>
        <w:rPr>
          <w:i/>
          <w:iCs/>
        </w:rPr>
        <w:t xml:space="preserve">De baptismo</w:t>
      </w:r>
      <w:r>
        <w:t xml:space="preserve">, </w:t>
      </w:r>
      <w:r>
        <w:rPr>
          <w:i/>
          <w:iCs/>
        </w:rPr>
        <w:t xml:space="preserve">Contra Cresconium</w:t>
      </w:r>
      <w:r>
        <w:t xml:space="preserve">, </w:t>
      </w:r>
      <w:r>
        <w:rPr>
          <w:i/>
          <w:iCs/>
        </w:rPr>
        <w:t xml:space="preserve">Contra litteras Petiliani</w:t>
      </w:r>
      <w:r>
        <w:t xml:space="preserve">, sermons, letters). On the Donatist side directly: the </w:t>
      </w:r>
      <w:r>
        <w:rPr>
          <w:i/>
          <w:iCs/>
        </w:rPr>
        <w:t xml:space="preserve">Acta Saturnini</w:t>
      </w:r>
      <w:r>
        <w:t xml:space="preserve"> (Abitinian martyr acts, c. 304, pre-dating the schism proper but foundational to Donatist self-memory); the </w:t>
      </w:r>
      <w:r>
        <w:rPr>
          <w:i/>
          <w:iCs/>
        </w:rPr>
        <w:t xml:space="preserve">Gesta apud Zenophilum</w:t>
      </w:r>
      <w:r>
        <w:t xml:space="preserve"> (320 CE court record, </w:t>
      </w:r>
      <w:r>
        <w:rPr>
          <w:b/>
          <w:bCs/>
        </w:rPr>
        <w:t xml:space="preserve">verified this session</w:t>
      </w:r>
      <w:r>
        <w:t xml:space="preserve">: minutes of the trial before Domitius Zenophilus, consular of Numidia, in which Silvanus, Donatist bishop of Cirta, was condemned as a </w:t>
      </w:r>
      <w:r>
        <w:rPr>
          <w:i/>
          <w:iCs/>
        </w:rPr>
        <w:t xml:space="preserve">traditor</w:t>
      </w:r>
      <w:r>
        <w:t xml:space="preserve"> on 13 December 320 — preserved only because Optatus's own anti-Donatist dossier chose to append it); the </w:t>
      </w:r>
      <w:r>
        <w:rPr>
          <w:i/>
          <w:iCs/>
        </w:rPr>
        <w:t xml:space="preserve">Passio Sanctorum Donati et Advocati</w:t>
      </w:r>
      <w:r>
        <w:t xml:space="preserve">; scattered conciliar acts from Donatist councils. Donatus the Great's own writings survive only in fragments quoted by opponents.</w:t>
      </w:r>
    </w:p>
    <w:p>
      <w:pPr>
        <w:spacing w:after="160"/>
      </w:pPr>
      <w:r>
        <w:rPr>
          <w:b/>
          <w:bCs/>
        </w:rPr>
        <w:t xml:space="preserve">Secondary (ancient) voices.</w:t>
      </w:r>
      <w:r>
        <w:t xml:space="preserve"> Augustine and Optatus function simultaneously as primary theological opponents and as the main narrative-historical witnesses to Donatism's own history — there is no independent ancient Donatist historian. This double role is itself an Author Gravity concern, addressed below.</w:t>
      </w:r>
    </w:p>
    <w:p>
      <w:pPr>
        <w:spacing w:after="160"/>
      </w:pPr>
      <w:r>
        <w:rPr>
          <w:b/>
          <w:bCs/>
        </w:rPr>
        <w:t xml:space="preserve">Institutional sources.</w:t>
      </w:r>
      <w:r>
        <w:t xml:space="preserve"> The proceedings of the Conference of Carthage (411), the large state-sponsored hearing between Catholic and Donatist bishops, survive in substantial transcript form and are a first-order institutional source giving named Donatist bishops (over 280 attended) a documentary presence, even if the transcript itself was compiled under Catholic-imperial auspices.</w:t>
      </w:r>
    </w:p>
    <w:p>
      <w:pPr>
        <w:spacing w:after="160"/>
      </w:pPr>
      <w:r>
        <w:rPr>
          <w:b/>
          <w:bCs/>
        </w:rPr>
        <w:t xml:space="preserve">Liturgical sources.</w:t>
      </w:r>
      <w:r>
        <w:t xml:space="preserve"> Thin as an independently attested Donatist-specific liturgical tradition; the live theological issue is sacramental validity (rebaptism) itself rather than a distinct liturgical text corpus.</w:t>
      </w:r>
    </w:p>
    <w:p>
      <w:pPr>
        <w:spacing w:after="160"/>
      </w:pPr>
      <w:r>
        <w:rPr>
          <w:b/>
          <w:bCs/>
        </w:rPr>
        <w:t xml:space="preserve">Material evidence.</w:t>
      </w:r>
      <w:r>
        <w:t xml:space="preserve"> North African funerary and church-dedication inscriptions, some explicitly identifiable as Donatist by formula (e.g., </w:t>
      </w:r>
      <w:r>
        <w:rPr>
          <w:i/>
          <w:iCs/>
        </w:rPr>
        <w:t xml:space="preserve">Deo Laudes</w:t>
      </w:r>
      <w:r>
        <w:t xml:space="preserve"> acclamations associated with circumcellion practice, and epitaphs naming the deceased as </w:t>
      </w:r>
      <w:r>
        <w:rPr>
          <w:i/>
          <w:iCs/>
        </w:rPr>
        <w:t xml:space="preserve">martyr</w:t>
      </w:r>
      <w:r>
        <w:t xml:space="preserve"> in a specifically Donatist idiom) — a genuinely independent, non-literary witness to Donatist self-identity, valuable precisely because it does not pass through Augustine's or Optatus's hands. W.H.C. Frend's own early career included fieldwork on exactly this epigraphic material.</w:t>
      </w:r>
    </w:p>
    <w:p>
      <w:pPr>
        <w:spacing w:after="160"/>
      </w:pPr>
      <w:r>
        <w:rPr>
          <w:b/>
          <w:bCs/>
        </w:rPr>
        <w:t xml:space="preserve">Ordinary-participant evidence.</w:t>
      </w:r>
      <w:r>
        <w:t xml:space="preserve"> The </w:t>
      </w:r>
      <w:r>
        <w:rPr>
          <w:i/>
          <w:iCs/>
        </w:rPr>
        <w:t xml:space="preserve">circumcellions</w:t>
      </w:r>
      <w:r>
        <w:t xml:space="preserve"> — an itinerant rural lay militant movement associated with, though not straightforwardly identical to, the Donatist church — are as close as this ecology comes to an ordinary/non-episcopal voice, but they are known entirely through hostile reportage (Augustine, Optatus) and inscription, never through their own words.</w:t>
      </w:r>
    </w:p>
    <w:p>
      <w:pPr>
        <w:spacing w:after="160"/>
      </w:pPr>
      <w:r>
        <w:rPr>
          <w:b/>
          <w:bCs/>
        </w:rPr>
        <w:t xml:space="preserve">Author Gravity Assessment.</w:t>
      </w:r>
    </w:p>
    <w:p>
      <w:pPr>
        <w:ind w:left="360"/>
      </w:pPr>
      <w:r>
        <w:t xml:space="preserve">•  </w:t>
      </w:r>
      <w:r>
        <w:rPr>
          <w:i/>
          <w:iCs/>
        </w:rPr>
        <w:t xml:space="preserve">Optatus.</w:t>
      </w:r>
      <w:r>
        <w:t xml:space="preserve"> Visibility: high, the earliest substantial anti-Donatist treatise. Representativeness: a Catholic bishop making a sustained polemical case. Influence: shaped nearly all later characterization of the schism's origins. Limitations: the </w:t>
      </w:r>
      <w:r>
        <w:rPr>
          <w:i/>
          <w:iCs/>
        </w:rPr>
        <w:t xml:space="preserve">traditor</w:t>
      </w:r>
      <w:r>
        <w:t xml:space="preserve"> accusation against the founding Donatist bishops is itself a contested historical claim Optatus is arguing </w:t>
      </w:r>
      <w:r>
        <w:rPr>
          <w:i/>
          <w:iCs/>
        </w:rPr>
        <w:t xml:space="preserve">for</w:t>
      </w:r>
      <w:r>
        <w:t xml:space="preserve">, not a neutral premise. Transmission history: reasonably direct manuscript tradition; the appended </w:t>
      </w:r>
      <w:r>
        <w:rPr>
          <w:i/>
          <w:iCs/>
        </w:rPr>
        <w:t xml:space="preserve">Gesta</w:t>
      </w:r>
      <w:r>
        <w:t xml:space="preserve"> and other documents were preserved specifically because Optatus's dossier chose to include them — meaning the very existence of Donatist-side primary evidence is downstream of an opponent's editorial choice, a striking and specific Author Gravity dependency worth naming plainly.</w:t>
      </w:r>
    </w:p>
    <w:p>
      <w:pPr>
        <w:ind w:left="360"/>
      </w:pPr>
      <w:r>
        <w:t xml:space="preserve">•  </w:t>
      </w:r>
      <w:r>
        <w:rPr>
          <w:i/>
          <w:iCs/>
        </w:rPr>
        <w:t xml:space="preserve">Augustine.</w:t>
      </w:r>
      <w:r>
        <w:t xml:space="preserve"> Visibility: extremely high, overwhelming in volume relative to any Donatist-side writing. Representativeness: the most powerful, most theologically sophisticated Catholic opponent, writing across roughly three decades against a moving target. Influence: effectively defines "Donatism" for most of subsequent Christian historiography. Limitations: consistently characterizes Donatist theology in terms suited to his own doctrine of the Church's mixed nature (the </w:t>
      </w:r>
      <w:r>
        <w:rPr>
          <w:i/>
          <w:iCs/>
        </w:rPr>
        <w:t xml:space="preserve">corpus permixtum</w:t>
      </w:r>
      <w:r>
        <w:t xml:space="preserve">), a framing Donatists themselves would have rejected. Transmission history: excellent — Augustine's corpus is among the best-preserved of any ancient Christian author, which paradoxically deepens rather than resolves the asymmetry problem, since abundance of the hostile voice makes the absence of the native one more conspicuous, not less.</w:t>
      </w:r>
    </w:p>
    <w:p>
      <w:pPr>
        <w:ind w:left="360"/>
      </w:pPr>
      <w:r>
        <w:t xml:space="preserve">•  </w:t>
      </w:r>
      <w:r>
        <w:rPr>
          <w:i/>
          <w:iCs/>
        </w:rPr>
        <w:t xml:space="preserve">Gesta apud Zenophilum.</w:t>
      </w:r>
      <w:r>
        <w:t xml:space="preserve"> Visibility: low relative to Optatus/Augustine, but uniquely valuable. Representativeness: an actual court transcript rather than theological argument, giving a rare glimpse of named Donatist and Catholic figures speaking in their own recorded words within a real legal proceeding. Limitations: fragmentary; concerns one specific local dispute (Cirta) rather than the movement broadly. Transmission history: </w:t>
      </w:r>
      <w:r>
        <w:rPr>
          <w:b/>
          <w:bCs/>
        </w:rPr>
        <w:t xml:space="preserve">verified this session</w:t>
      </w:r>
      <w:r>
        <w:t xml:space="preserve"> — survives only as an appendix to Optatus's own dossier; there is no independent manuscript tradition for this document apart from its use by an opponent, which is a severe and specific transmission dependency.</w:t>
      </w:r>
    </w:p>
    <w:p>
      <w:pPr>
        <w:spacing w:after="160"/>
      </w:pPr>
      <w:r>
        <w:rPr>
          <w:b/>
          <w:bCs/>
        </w:rPr>
        <w:t xml:space="preserve">Secondary Scholarship Assessment.</w:t>
      </w:r>
      <w:r>
        <w:t xml:space="preserve"> W.H.C. Frend, </w:t>
      </w:r>
      <w:r>
        <w:rPr>
          <w:i/>
          <w:iCs/>
        </w:rPr>
        <w:t xml:space="preserve">The Donatist Church</w:t>
      </w:r>
      <w:r>
        <w:t xml:space="preserve"> (the founding modern synthesis, drawing partly on his own epigraphic fieldwork). Maureen Tilley, </w:t>
      </w:r>
      <w:r>
        <w:rPr>
          <w:i/>
          <w:iCs/>
        </w:rPr>
        <w:t xml:space="preserve">The Bible in Christian North Africa</w:t>
      </w:r>
      <w:r>
        <w:t xml:space="preserve"> and </w:t>
      </w:r>
      <w:r>
        <w:rPr>
          <w:i/>
          <w:iCs/>
        </w:rPr>
        <w:t xml:space="preserve">Donatist Martyr Stories</w:t>
      </w:r>
      <w:r>
        <w:t xml:space="preserve"> (a significant scholarly correction to Frend, arguing for reading Donatist self-understanding through its own biblical hermeneutic rather than primarily through Augustine's categories — a live, substantive historiographical debate, not a settled consensus, and worth naming as such rather than treating Frend's synthesis as the last word). Brent Shaw, </w:t>
      </w:r>
      <w:r>
        <w:rPr>
          <w:i/>
          <w:iCs/>
        </w:rPr>
        <w:t xml:space="preserve">Sacred Violence</w:t>
      </w:r>
      <w:r>
        <w:t xml:space="preserve"> (a major reassessment of the </w:t>
      </w:r>
      <w:r>
        <w:rPr>
          <w:i/>
          <w:iCs/>
        </w:rPr>
        <w:t xml:space="preserve">circumcellions</w:t>
      </w:r>
      <w:r>
        <w:t xml:space="preserve"> specifically, cautioning against treating them as simply "the Donatist militia").</w:t>
      </w:r>
    </w:p>
    <w:p>
      <w:pPr>
        <w:spacing w:after="160"/>
      </w:pPr>
      <w:r>
        <w:rPr>
          <w:b/>
          <w:bCs/>
        </w:rPr>
        <w:t xml:space="preserve">Formation Narrative Sources.</w:t>
      </w:r>
      <w:r>
        <w:t xml:space="preserve"> The Abitinian </w:t>
      </w:r>
      <w:r>
        <w:rPr>
          <w:i/>
          <w:iCs/>
        </w:rPr>
        <w:t xml:space="preserve">Acta Saturnini</w:t>
      </w:r>
      <w:r>
        <w:t xml:space="preserve"> and the </w:t>
      </w:r>
      <w:r>
        <w:rPr>
          <w:i/>
          <w:iCs/>
        </w:rPr>
        <w:t xml:space="preserve">Passio Donati et Advocati</w:t>
      </w:r>
      <w:r>
        <w:t xml:space="preserve"> are martyrological/passion narratives functioning as Tier 1–2 formation-narrative evidence for what the community believed faithful resistance under pressure looked like — genre-shaped (martyrdom-account conventions) but historically anchored in real, dated persecution episodes (304 and later). These are formation-narrative-central texts for a schism organized substantially around the memory of martyrdom.</w:t>
      </w:r>
    </w:p>
    <w:p>
      <w:pPr>
        <w:spacing w:after="160"/>
      </w:pPr>
      <w:r>
        <w:rPr>
          <w:b/>
          <w:bCs/>
        </w:rPr>
        <w:t xml:space="preserve">Material Culture and Daily Life Sources.</w:t>
      </w:r>
      <w:r>
        <w:t xml:space="preserve"> The epigraphic material above is the single most independently valuable non-literary stream in this ecology, precisely because it is not mediated by Augustine or Optatus. Social-historical background: Numidia and Africa Proconsularis's rural/urban divide maps imperfectly but suggestively onto the Donatist/Catholic split in some scholarship (rural Numidia skewing more Donatist), though Shaw's work cautions this should not be overstated into a clean sociological rule.</w:t>
      </w:r>
    </w:p>
    <w:p>
      <w:pPr>
        <w:spacing w:after="160"/>
      </w:pPr>
      <w:r>
        <w:rPr>
          <w:b/>
          <w:bCs/>
        </w:rPr>
        <w:t xml:space="preserve">Source Asymmetry and Missing Voices — Affirmative Duty (Article 20).</w:t>
      </w:r>
      <w:r>
        <w:t xml:space="preserve"> The sources structurally suppress the Donatist community's own theological self-articulation in anything like the volume or sophistication Augustine's corpus preserves for the Catholic side. </w:t>
      </w:r>
      <w:r>
        <w:rPr>
          <w:b/>
          <w:bCs/>
        </w:rPr>
        <w:t xml:space="preserve">Named specifically:</w:t>
      </w:r>
      <w:r>
        <w:t xml:space="preserve"> Donatus the Great's own theological writing (lost except in hostile quotation); the </w:t>
      </w:r>
      <w:r>
        <w:rPr>
          <w:i/>
          <w:iCs/>
        </w:rPr>
        <w:t xml:space="preserve">circumcellions</w:t>
      </w:r>
      <w:r>
        <w:t xml:space="preserve">' own self-understanding, known only through opponents' hostile ethnographic-style description; ordinary Donatist lay believers generally, whose faith is attested mainly through the epigraphic record's brief, formulaic acclamations rather than any developed voice. This suppression is structural rather than incidental: the schism's "losing" side (in terms of eventual imperial and ecclesiastical outcome) had its texts actively destroyed or simply not copied forward by the institutions that controlled later manuscript transmission, a survivorship mechanism distinct from, and more severe than, ordinary source asymmetry.</w:t>
      </w:r>
    </w:p>
    <w:p>
      <w:pPr>
        <w:spacing w:after="160"/>
      </w:pPr>
      <w:r>
        <w:rPr>
          <w:b/>
          <w:bCs/>
        </w:rPr>
        <w:t xml:space="preserve">Forces lens.</w:t>
      </w:r>
      <w:r>
        <w:t xml:space="preserve"> The sources speak richly to an external/ongoing force — imperial religious policy, shifting from Constantine's early ambivalent involvement through active Catholic-imperial suppression by the early 5th century (the 405 </w:t>
      </w:r>
      <w:r>
        <w:rPr>
          <w:i/>
          <w:iCs/>
        </w:rPr>
        <w:t xml:space="preserve">Edict of Unity</w:t>
      </w:r>
      <w:r>
        <w:t xml:space="preserve"> and the 411 Conference's aftermath). Silences: the </w:t>
      </w:r>
      <w:r>
        <w:rPr>
          <w:i/>
          <w:iCs/>
        </w:rPr>
        <w:t xml:space="preserve">Gesta</w:t>
      </w:r>
      <w:r>
        <w:t xml:space="preserve">'s existence at all reveals a survivorship pattern — Donatist-side documentary evidence survives essentially only where an opponent found it rhetorically useful to preserve, meaning what evidence does survive is systematically the material least favorable to the Donatist side's own self-presentation, not a representative sample of what once existed.</w:t>
      </w:r>
    </w:p>
    <w:p>
      <w:pPr>
        <w:spacing w:after="160"/>
      </w:pPr>
      <w:r>
        <w:rPr>
          <w:b/>
          <w:bCs/>
        </w:rPr>
        <w:t xml:space="preserve">Confidence-level summary.</w:t>
      </w:r>
      <w:r>
        <w:t xml:space="preserve"> The schism's basic chronology, the </w:t>
      </w:r>
      <w:r>
        <w:rPr>
          <w:i/>
          <w:iCs/>
        </w:rPr>
        <w:t xml:space="preserve">traditor</w:t>
      </w:r>
      <w:r>
        <w:t xml:space="preserve"> controversy's centrality, and the North African geography: Documented. The specific characterization of Donatist theology (rigorist ecclesiology, the church as the pure society of martyrs): Widely Accepted, though Tilley's revisionist reading is a live, named Contested alternative to the Frend-derived synthesis specifically on how that theology should be characterized. The </w:t>
      </w:r>
      <w:r>
        <w:rPr>
          <w:i/>
          <w:iCs/>
        </w:rPr>
        <w:t xml:space="preserve">circumcellions</w:t>
      </w:r>
      <w:r>
        <w:t xml:space="preserve">' precise relationship to the institutional Donatist church: Contested (Shaw). Ordinary lay Donatist religious experience beyond the epigraphic formula level: Inferential-Thin.</w:t>
      </w:r>
    </w:p>
    <w:p>
      <w:pPr>
        <w:spacing w:after="160"/>
      </w:pPr>
      <w:r>
        <w:rPr>
          <w:b/>
          <w:bCs/>
        </w:rPr>
        <w:t xml:space="preserve">Correction against Step 0's own impression:</w:t>
      </w:r>
      <w:r>
        <w:t xml:space="preserve"> confirmed, not corrected — Step 0's Item 4 assessment of severe source asymmetry holds up and, if anything, is sharpened here by the specific finding that the </w:t>
      </w:r>
      <w:r>
        <w:rPr>
          <w:i/>
          <w:iCs/>
        </w:rPr>
        <w:t xml:space="preserve">Gesta</w:t>
      </w:r>
      <w:r>
        <w:t xml:space="preserve">'s survival is itself downstream of Optatus's editorial choice, meaning even this "precious exception" is not independent of the hostile tradition in the way Step 0's phrasing might have implied.</w:t>
      </w:r>
    </w:p>
    <w:p>
      <w:pPr>
        <w:pStyle w:val="Heading3"/>
      </w:pPr>
      <w:r>
        <w:t xml:space="preserve">2.2 Source Registry — The Donatist Church</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60"/>
        <w:gridCol w:w="1260"/>
        <w:gridCol w:w="1260"/>
        <w:gridCol w:w="1260"/>
        <w:gridCol w:w="1260"/>
        <w:gridCol w:w="1260"/>
        <w:gridCol w:w="1260"/>
        <w:gridCol w:w="1260"/>
      </w:tblGrid>
      <w:tr>
        <w:trPr>
          <w:tblHeader/>
        </w:trPr>
        <w:tc>
          <w:tcPr>
            <w:tcW w:type="dxa" w:w="1260"/>
            <w:tcBorders>
              <w:top w:val="single" w:color="BFBFBF" w:sz="2"/>
              <w:left w:val="single" w:color="BFBFBF" w:sz="2"/>
              <w:bottom w:val="single" w:color="BFBFBF" w:sz="2"/>
              <w:right w:val="single" w:color="BFBFBF" w:sz="2"/>
            </w:tcBorders>
            <w:shd w:fill="D9E2F3" w:val="clear"/>
            <w:tcMar>
              <w:top w:type="dxa" w:w="60"/>
              <w:left w:type="dxa" w:w="100"/>
              <w:bottom w:type="dxa" w:w="60"/>
              <w:right w:type="dxa" w:w="100"/>
            </w:tcMar>
          </w:tcPr>
          <w:p>
            <w:r>
              <w:rPr>
                <w:b/>
                <w:bCs/>
                <w:sz w:val="18"/>
                <w:szCs w:val="18"/>
              </w:rPr>
              <w:t xml:space="preserve">#</w:t>
            </w:r>
          </w:p>
        </w:tc>
        <w:tc>
          <w:tcPr>
            <w:tcW w:type="dxa" w:w="1260"/>
            <w:tcBorders>
              <w:top w:val="single" w:color="BFBFBF" w:sz="2"/>
              <w:left w:val="single" w:color="BFBFBF" w:sz="2"/>
              <w:bottom w:val="single" w:color="BFBFBF" w:sz="2"/>
              <w:right w:val="single" w:color="BFBFBF" w:sz="2"/>
            </w:tcBorders>
            <w:shd w:fill="D9E2F3" w:val="clear"/>
            <w:tcMar>
              <w:top w:type="dxa" w:w="60"/>
              <w:left w:type="dxa" w:w="100"/>
              <w:bottom w:type="dxa" w:w="60"/>
              <w:right w:type="dxa" w:w="100"/>
            </w:tcMar>
          </w:tcPr>
          <w:p>
            <w:r>
              <w:rPr>
                <w:b/>
                <w:bCs/>
                <w:sz w:val="18"/>
                <w:szCs w:val="18"/>
              </w:rPr>
              <w:t xml:space="preserve">Source</w:t>
            </w:r>
          </w:p>
        </w:tc>
        <w:tc>
          <w:tcPr>
            <w:tcW w:type="dxa" w:w="1260"/>
            <w:tcBorders>
              <w:top w:val="single" w:color="BFBFBF" w:sz="2"/>
              <w:left w:val="single" w:color="BFBFBF" w:sz="2"/>
              <w:bottom w:val="single" w:color="BFBFBF" w:sz="2"/>
              <w:right w:val="single" w:color="BFBFBF" w:sz="2"/>
            </w:tcBorders>
            <w:shd w:fill="D9E2F3" w:val="clear"/>
            <w:tcMar>
              <w:top w:type="dxa" w:w="60"/>
              <w:left w:type="dxa" w:w="100"/>
              <w:bottom w:type="dxa" w:w="60"/>
              <w:right w:type="dxa" w:w="100"/>
            </w:tcMar>
          </w:tcPr>
          <w:p>
            <w:r>
              <w:rPr>
                <w:b/>
                <w:bCs/>
                <w:sz w:val="18"/>
                <w:szCs w:val="18"/>
              </w:rPr>
              <w:t xml:space="preserve">Type</w:t>
            </w:r>
          </w:p>
        </w:tc>
        <w:tc>
          <w:tcPr>
            <w:tcW w:type="dxa" w:w="1260"/>
            <w:tcBorders>
              <w:top w:val="single" w:color="BFBFBF" w:sz="2"/>
              <w:left w:val="single" w:color="BFBFBF" w:sz="2"/>
              <w:bottom w:val="single" w:color="BFBFBF" w:sz="2"/>
              <w:right w:val="single" w:color="BFBFBF" w:sz="2"/>
            </w:tcBorders>
            <w:shd w:fill="D9E2F3" w:val="clear"/>
            <w:tcMar>
              <w:top w:type="dxa" w:w="60"/>
              <w:left w:type="dxa" w:w="100"/>
              <w:bottom w:type="dxa" w:w="60"/>
              <w:right w:type="dxa" w:w="100"/>
            </w:tcMar>
          </w:tcPr>
          <w:p>
            <w:r>
              <w:rPr>
                <w:b/>
                <w:bCs/>
                <w:sz w:val="18"/>
                <w:szCs w:val="18"/>
              </w:rPr>
              <w:t xml:space="preserve">Confidence</w:t>
            </w:r>
          </w:p>
        </w:tc>
        <w:tc>
          <w:tcPr>
            <w:tcW w:type="dxa" w:w="1260"/>
            <w:tcBorders>
              <w:top w:val="single" w:color="BFBFBF" w:sz="2"/>
              <w:left w:val="single" w:color="BFBFBF" w:sz="2"/>
              <w:bottom w:val="single" w:color="BFBFBF" w:sz="2"/>
              <w:right w:val="single" w:color="BFBFBF" w:sz="2"/>
            </w:tcBorders>
            <w:shd w:fill="D9E2F3" w:val="clear"/>
            <w:tcMar>
              <w:top w:type="dxa" w:w="60"/>
              <w:left w:type="dxa" w:w="100"/>
              <w:bottom w:type="dxa" w:w="60"/>
              <w:right w:type="dxa" w:w="100"/>
            </w:tcMar>
          </w:tcPr>
          <w:p>
            <w:r>
              <w:rPr>
                <w:b/>
                <w:bCs/>
                <w:sz w:val="18"/>
                <w:szCs w:val="18"/>
              </w:rPr>
              <w:t xml:space="preserve">Boundary</w:t>
            </w:r>
          </w:p>
        </w:tc>
        <w:tc>
          <w:tcPr>
            <w:tcW w:type="dxa" w:w="1260"/>
            <w:tcBorders>
              <w:top w:val="single" w:color="BFBFBF" w:sz="2"/>
              <w:left w:val="single" w:color="BFBFBF" w:sz="2"/>
              <w:bottom w:val="single" w:color="BFBFBF" w:sz="2"/>
              <w:right w:val="single" w:color="BFBFBF" w:sz="2"/>
            </w:tcBorders>
            <w:shd w:fill="D9E2F3" w:val="clear"/>
            <w:tcMar>
              <w:top w:type="dxa" w:w="60"/>
              <w:left w:type="dxa" w:w="100"/>
              <w:bottom w:type="dxa" w:w="60"/>
              <w:right w:type="dxa" w:w="100"/>
            </w:tcMar>
          </w:tcPr>
          <w:p>
            <w:r>
              <w:rPr>
                <w:b/>
                <w:bCs/>
                <w:sz w:val="18"/>
                <w:szCs w:val="18"/>
              </w:rPr>
              <w:t xml:space="preserve">Exclusion Reason</w:t>
            </w:r>
          </w:p>
        </w:tc>
        <w:tc>
          <w:tcPr>
            <w:tcW w:type="dxa" w:w="1260"/>
            <w:tcBorders>
              <w:top w:val="single" w:color="BFBFBF" w:sz="2"/>
              <w:left w:val="single" w:color="BFBFBF" w:sz="2"/>
              <w:bottom w:val="single" w:color="BFBFBF" w:sz="2"/>
              <w:right w:val="single" w:color="BFBFBF" w:sz="2"/>
            </w:tcBorders>
            <w:shd w:fill="D9E2F3" w:val="clear"/>
            <w:tcMar>
              <w:top w:type="dxa" w:w="60"/>
              <w:left w:type="dxa" w:w="100"/>
              <w:bottom w:type="dxa" w:w="60"/>
              <w:right w:type="dxa" w:w="100"/>
            </w:tcMar>
          </w:tcPr>
          <w:p>
            <w:r>
              <w:rPr>
                <w:b/>
                <w:bCs/>
                <w:sz w:val="18"/>
                <w:szCs w:val="18"/>
              </w:rPr>
              <w:t xml:space="preserve">Licensed For</w:t>
            </w:r>
          </w:p>
        </w:tc>
        <w:tc>
          <w:tcPr>
            <w:tcW w:type="dxa" w:w="1260"/>
            <w:tcBorders>
              <w:top w:val="single" w:color="BFBFBF" w:sz="2"/>
              <w:left w:val="single" w:color="BFBFBF" w:sz="2"/>
              <w:bottom w:val="single" w:color="BFBFBF" w:sz="2"/>
              <w:right w:val="single" w:color="BFBFBF" w:sz="2"/>
            </w:tcBorders>
            <w:shd w:fill="D9E2F3" w:val="clear"/>
            <w:tcMar>
              <w:top w:type="dxa" w:w="60"/>
              <w:left w:type="dxa" w:w="100"/>
              <w:bottom w:type="dxa" w:w="60"/>
              <w:right w:type="dxa" w:w="100"/>
            </w:tcMar>
          </w:tcPr>
          <w:p>
            <w:r>
              <w:rPr>
                <w:b/>
                <w:bCs/>
                <w:sz w:val="18"/>
                <w:szCs w:val="18"/>
              </w:rPr>
              <w:t xml:space="preserve">Verification Note</w:t>
            </w:r>
          </w:p>
        </w:tc>
      </w:tr>
      <w:tr>
        <w:tc>
          <w:tcPr>
            <w:tcW w:type="dxa" w:w="12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sz w:val="18"/>
                <w:szCs w:val="18"/>
              </w:rPr>
              <w:t xml:space="preserve"/>
            </w:r>
          </w:p>
        </w:tc>
        <w:tc>
          <w:tcPr>
            <w:tcW w:type="dxa" w:w="12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sz w:val="18"/>
                <w:szCs w:val="18"/>
              </w:rPr>
              <w:t xml:space="preserve"/>
            </w:r>
            <w:r>
              <w:rPr>
                <w:sz w:val="18"/>
                <w:szCs w:val="18"/>
              </w:rPr>
              <w:t xml:space="preserve"/>
            </w:r>
          </w:p>
        </w:tc>
        <w:tc>
          <w:tcPr>
            <w:tcW w:type="dxa" w:w="12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sz w:val="18"/>
                <w:szCs w:val="18"/>
              </w:rPr>
              <w:t xml:space="preserve"/>
            </w:r>
          </w:p>
        </w:tc>
        <w:tc>
          <w:tcPr>
            <w:tcW w:type="dxa" w:w="12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sz w:val="18"/>
                <w:szCs w:val="18"/>
              </w:rPr>
              <w:t xml:space="preserve"/>
            </w:r>
          </w:p>
        </w:tc>
        <w:tc>
          <w:tcPr>
            <w:tcW w:type="dxa" w:w="12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sz w:val="18"/>
                <w:szCs w:val="18"/>
              </w:rPr>
              <w:t xml:space="preserve"/>
            </w:r>
          </w:p>
        </w:tc>
        <w:tc>
          <w:tcPr>
            <w:tcW w:type="dxa" w:w="12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sz w:val="18"/>
                <w:szCs w:val="18"/>
              </w:rPr>
              <w:t xml:space="preserve"/>
            </w:r>
          </w:p>
        </w:tc>
        <w:tc>
          <w:tcPr>
            <w:tcW w:type="dxa" w:w="12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sz w:val="18"/>
                <w:szCs w:val="18"/>
              </w:rPr>
              <w:t xml:space="preserve"/>
            </w:r>
          </w:p>
        </w:tc>
        <w:tc>
          <w:tcPr>
            <w:tcW w:type="dxa" w:w="12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sz w:val="18"/>
                <w:szCs w:val="18"/>
              </w:rPr>
              <w:t xml:space="preserve"/>
            </w:r>
          </w:p>
        </w:tc>
      </w:tr>
      <w:tr>
        <w:tc>
          <w:tcPr>
            <w:tcW w:type="dxa" w:w="12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sz w:val="18"/>
                <w:szCs w:val="18"/>
              </w:rPr>
              <w:t xml:space="preserve"/>
            </w:r>
          </w:p>
        </w:tc>
        <w:tc>
          <w:tcPr>
            <w:tcW w:type="dxa" w:w="12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sz w:val="18"/>
                <w:szCs w:val="18"/>
              </w:rPr>
              <w:t xml:space="preserve"/>
            </w:r>
          </w:p>
        </w:tc>
        <w:tc>
          <w:tcPr>
            <w:tcW w:type="dxa" w:w="12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sz w:val="18"/>
                <w:szCs w:val="18"/>
              </w:rPr>
              <w:t xml:space="preserve"/>
            </w:r>
          </w:p>
        </w:tc>
        <w:tc>
          <w:tcPr>
            <w:tcW w:type="dxa" w:w="12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sz w:val="18"/>
                <w:szCs w:val="18"/>
              </w:rPr>
              <w:t xml:space="preserve"/>
            </w:r>
          </w:p>
        </w:tc>
        <w:tc>
          <w:tcPr>
            <w:tcW w:type="dxa" w:w="12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sz w:val="18"/>
                <w:szCs w:val="18"/>
              </w:rPr>
              <w:t xml:space="preserve"/>
            </w:r>
          </w:p>
        </w:tc>
        <w:tc>
          <w:tcPr>
            <w:tcW w:type="dxa" w:w="12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sz w:val="18"/>
                <w:szCs w:val="18"/>
              </w:rPr>
              <w:t xml:space="preserve"/>
            </w:r>
          </w:p>
        </w:tc>
        <w:tc>
          <w:tcPr>
            <w:tcW w:type="dxa" w:w="12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sz w:val="18"/>
                <w:szCs w:val="18"/>
              </w:rPr>
              <w:t xml:space="preserve"/>
            </w:r>
            <w:r>
              <w:rPr>
                <w:sz w:val="18"/>
                <w:szCs w:val="18"/>
              </w:rPr>
              <w:t xml:space="preserve"/>
            </w:r>
            <w:r>
              <w:rPr>
                <w:sz w:val="18"/>
                <w:szCs w:val="18"/>
              </w:rPr>
              <w:t xml:space="preserve"/>
            </w:r>
          </w:p>
        </w:tc>
        <w:tc>
          <w:tcPr>
            <w:tcW w:type="dxa" w:w="12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sz w:val="18"/>
                <w:szCs w:val="18"/>
              </w:rPr>
              <w:t xml:space="preserve"/>
            </w:r>
          </w:p>
        </w:tc>
      </w:tr>
      <w:tr>
        <w:tc>
          <w:tcPr>
            <w:tcW w:type="dxa" w:w="12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sz w:val="18"/>
                <w:szCs w:val="18"/>
              </w:rPr>
              <w:t xml:space="preserve"/>
            </w:r>
          </w:p>
        </w:tc>
        <w:tc>
          <w:tcPr>
            <w:tcW w:type="dxa" w:w="12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sz w:val="18"/>
                <w:szCs w:val="18"/>
              </w:rPr>
              <w:t xml:space="preserve"/>
            </w:r>
          </w:p>
        </w:tc>
        <w:tc>
          <w:tcPr>
            <w:tcW w:type="dxa" w:w="12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sz w:val="18"/>
                <w:szCs w:val="18"/>
              </w:rPr>
              <w:t xml:space="preserve"/>
            </w:r>
          </w:p>
        </w:tc>
        <w:tc>
          <w:tcPr>
            <w:tcW w:type="dxa" w:w="12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sz w:val="18"/>
                <w:szCs w:val="18"/>
              </w:rPr>
              <w:t xml:space="preserve"/>
            </w:r>
          </w:p>
        </w:tc>
        <w:tc>
          <w:tcPr>
            <w:tcW w:type="dxa" w:w="12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sz w:val="18"/>
                <w:szCs w:val="18"/>
              </w:rPr>
              <w:t xml:space="preserve"/>
            </w:r>
          </w:p>
        </w:tc>
        <w:tc>
          <w:tcPr>
            <w:tcW w:type="dxa" w:w="12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sz w:val="18"/>
                <w:szCs w:val="18"/>
              </w:rPr>
              <w:t xml:space="preserve"/>
            </w:r>
          </w:p>
        </w:tc>
        <w:tc>
          <w:tcPr>
            <w:tcW w:type="dxa" w:w="12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sz w:val="18"/>
                <w:szCs w:val="18"/>
              </w:rPr>
              <w:t xml:space="preserve"/>
            </w:r>
          </w:p>
        </w:tc>
        <w:tc>
          <w:tcPr>
            <w:tcW w:type="dxa" w:w="12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sz w:val="18"/>
                <w:szCs w:val="18"/>
              </w:rPr>
              <w:t xml:space="preserve"/>
            </w:r>
          </w:p>
        </w:tc>
      </w:tr>
      <w:tr>
        <w:tc>
          <w:tcPr>
            <w:tcW w:type="dxa" w:w="12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sz w:val="18"/>
                <w:szCs w:val="18"/>
              </w:rPr>
              <w:t xml:space="preserve"/>
            </w:r>
          </w:p>
        </w:tc>
        <w:tc>
          <w:tcPr>
            <w:tcW w:type="dxa" w:w="12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sz w:val="18"/>
                <w:szCs w:val="18"/>
              </w:rPr>
              <w:t xml:space="preserve"/>
            </w:r>
            <w:r>
              <w:rPr>
                <w:sz w:val="18"/>
                <w:szCs w:val="18"/>
              </w:rPr>
              <w:t xml:space="preserve"/>
            </w:r>
          </w:p>
        </w:tc>
        <w:tc>
          <w:tcPr>
            <w:tcW w:type="dxa" w:w="12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sz w:val="18"/>
                <w:szCs w:val="18"/>
              </w:rPr>
              <w:t xml:space="preserve"/>
            </w:r>
          </w:p>
        </w:tc>
        <w:tc>
          <w:tcPr>
            <w:tcW w:type="dxa" w:w="12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sz w:val="18"/>
                <w:szCs w:val="18"/>
              </w:rPr>
              <w:t xml:space="preserve"/>
            </w:r>
          </w:p>
        </w:tc>
        <w:tc>
          <w:tcPr>
            <w:tcW w:type="dxa" w:w="12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sz w:val="18"/>
                <w:szCs w:val="18"/>
              </w:rPr>
              <w:t xml:space="preserve"/>
            </w:r>
          </w:p>
        </w:tc>
        <w:tc>
          <w:tcPr>
            <w:tcW w:type="dxa" w:w="12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sz w:val="18"/>
                <w:szCs w:val="18"/>
              </w:rPr>
              <w:t xml:space="preserve"/>
            </w:r>
          </w:p>
        </w:tc>
        <w:tc>
          <w:tcPr>
            <w:tcW w:type="dxa" w:w="12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sz w:val="18"/>
                <w:szCs w:val="18"/>
              </w:rPr>
              <w:t xml:space="preserve"/>
            </w:r>
          </w:p>
        </w:tc>
        <w:tc>
          <w:tcPr>
            <w:tcW w:type="dxa" w:w="12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sz w:val="18"/>
                <w:szCs w:val="18"/>
              </w:rPr>
              <w:t xml:space="preserve"/>
            </w:r>
          </w:p>
        </w:tc>
      </w:tr>
      <w:tr>
        <w:tc>
          <w:tcPr>
            <w:tcW w:type="dxa" w:w="12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sz w:val="18"/>
                <w:szCs w:val="18"/>
              </w:rPr>
              <w:t xml:space="preserve"/>
            </w:r>
          </w:p>
        </w:tc>
        <w:tc>
          <w:tcPr>
            <w:tcW w:type="dxa" w:w="12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sz w:val="18"/>
                <w:szCs w:val="18"/>
              </w:rPr>
              <w:t xml:space="preserve"/>
            </w:r>
          </w:p>
        </w:tc>
        <w:tc>
          <w:tcPr>
            <w:tcW w:type="dxa" w:w="12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sz w:val="18"/>
                <w:szCs w:val="18"/>
              </w:rPr>
              <w:t xml:space="preserve"/>
            </w:r>
          </w:p>
        </w:tc>
        <w:tc>
          <w:tcPr>
            <w:tcW w:type="dxa" w:w="12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sz w:val="18"/>
                <w:szCs w:val="18"/>
              </w:rPr>
              <w:t xml:space="preserve"/>
            </w:r>
          </w:p>
        </w:tc>
        <w:tc>
          <w:tcPr>
            <w:tcW w:type="dxa" w:w="12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sz w:val="18"/>
                <w:szCs w:val="18"/>
              </w:rPr>
              <w:t xml:space="preserve"/>
            </w:r>
          </w:p>
        </w:tc>
        <w:tc>
          <w:tcPr>
            <w:tcW w:type="dxa" w:w="12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sz w:val="18"/>
                <w:szCs w:val="18"/>
              </w:rPr>
              <w:t xml:space="preserve"/>
            </w:r>
          </w:p>
        </w:tc>
        <w:tc>
          <w:tcPr>
            <w:tcW w:type="dxa" w:w="12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sz w:val="18"/>
                <w:szCs w:val="18"/>
              </w:rPr>
              <w:t xml:space="preserve"/>
            </w:r>
          </w:p>
        </w:tc>
        <w:tc>
          <w:tcPr>
            <w:tcW w:type="dxa" w:w="12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sz w:val="18"/>
                <w:szCs w:val="18"/>
              </w:rPr>
              <w:t xml:space="preserve"/>
            </w:r>
          </w:p>
        </w:tc>
      </w:tr>
      <w:tr>
        <w:tc>
          <w:tcPr>
            <w:tcW w:type="dxa" w:w="12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sz w:val="18"/>
                <w:szCs w:val="18"/>
              </w:rPr>
              <w:t xml:space="preserve"/>
            </w:r>
          </w:p>
        </w:tc>
        <w:tc>
          <w:tcPr>
            <w:tcW w:type="dxa" w:w="12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sz w:val="18"/>
                <w:szCs w:val="18"/>
              </w:rPr>
              <w:t xml:space="preserve"/>
            </w:r>
          </w:p>
        </w:tc>
        <w:tc>
          <w:tcPr>
            <w:tcW w:type="dxa" w:w="12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sz w:val="18"/>
                <w:szCs w:val="18"/>
              </w:rPr>
              <w:t xml:space="preserve"/>
            </w:r>
          </w:p>
        </w:tc>
        <w:tc>
          <w:tcPr>
            <w:tcW w:type="dxa" w:w="12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sz w:val="18"/>
                <w:szCs w:val="18"/>
              </w:rPr>
              <w:t xml:space="preserve"/>
            </w:r>
          </w:p>
        </w:tc>
        <w:tc>
          <w:tcPr>
            <w:tcW w:type="dxa" w:w="12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sz w:val="18"/>
                <w:szCs w:val="18"/>
              </w:rPr>
              <w:t xml:space="preserve"/>
            </w:r>
          </w:p>
        </w:tc>
        <w:tc>
          <w:tcPr>
            <w:tcW w:type="dxa" w:w="12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sz w:val="18"/>
                <w:szCs w:val="18"/>
              </w:rPr>
              <w:t xml:space="preserve"/>
            </w:r>
          </w:p>
        </w:tc>
        <w:tc>
          <w:tcPr>
            <w:tcW w:type="dxa" w:w="12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sz w:val="18"/>
                <w:szCs w:val="18"/>
              </w:rPr>
              <w:t xml:space="preserve"/>
            </w:r>
          </w:p>
        </w:tc>
        <w:tc>
          <w:tcPr>
            <w:tcW w:type="dxa" w:w="12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sz w:val="18"/>
                <w:szCs w:val="18"/>
              </w:rPr>
              <w:t xml:space="preserve"/>
            </w:r>
          </w:p>
        </w:tc>
      </w:tr>
      <w:tr>
        <w:tc>
          <w:tcPr>
            <w:tcW w:type="dxa" w:w="12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sz w:val="18"/>
                <w:szCs w:val="18"/>
              </w:rPr>
              <w:t xml:space="preserve"/>
            </w:r>
          </w:p>
        </w:tc>
        <w:tc>
          <w:tcPr>
            <w:tcW w:type="dxa" w:w="12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sz w:val="18"/>
                <w:szCs w:val="18"/>
              </w:rPr>
              <w:t xml:space="preserve"/>
            </w:r>
          </w:p>
        </w:tc>
        <w:tc>
          <w:tcPr>
            <w:tcW w:type="dxa" w:w="12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sz w:val="18"/>
                <w:szCs w:val="18"/>
              </w:rPr>
              <w:t xml:space="preserve"/>
            </w:r>
          </w:p>
        </w:tc>
        <w:tc>
          <w:tcPr>
            <w:tcW w:type="dxa" w:w="12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sz w:val="18"/>
                <w:szCs w:val="18"/>
              </w:rPr>
              <w:t xml:space="preserve"/>
            </w:r>
          </w:p>
        </w:tc>
        <w:tc>
          <w:tcPr>
            <w:tcW w:type="dxa" w:w="12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sz w:val="18"/>
                <w:szCs w:val="18"/>
              </w:rPr>
              <w:t xml:space="preserve"/>
            </w:r>
          </w:p>
        </w:tc>
        <w:tc>
          <w:tcPr>
            <w:tcW w:type="dxa" w:w="12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sz w:val="18"/>
                <w:szCs w:val="18"/>
              </w:rPr>
              <w:t xml:space="preserve"/>
            </w:r>
          </w:p>
        </w:tc>
        <w:tc>
          <w:tcPr>
            <w:tcW w:type="dxa" w:w="12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sz w:val="18"/>
                <w:szCs w:val="18"/>
              </w:rPr>
              <w:t xml:space="preserve"/>
            </w:r>
          </w:p>
        </w:tc>
        <w:tc>
          <w:tcPr>
            <w:tcW w:type="dxa" w:w="12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sz w:val="18"/>
                <w:szCs w:val="18"/>
              </w:rPr>
              <w:t xml:space="preserve"/>
            </w:r>
          </w:p>
        </w:tc>
      </w:tr>
      <w:tr>
        <w:tc>
          <w:tcPr>
            <w:tcW w:type="dxa" w:w="12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sz w:val="18"/>
                <w:szCs w:val="18"/>
              </w:rPr>
              <w:t xml:space="preserve"/>
            </w:r>
          </w:p>
        </w:tc>
        <w:tc>
          <w:tcPr>
            <w:tcW w:type="dxa" w:w="12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sz w:val="18"/>
                <w:szCs w:val="18"/>
              </w:rPr>
              <w:t xml:space="preserve"/>
            </w:r>
            <w:r>
              <w:rPr>
                <w:sz w:val="18"/>
                <w:szCs w:val="18"/>
              </w:rPr>
              <w:t xml:space="preserve"/>
            </w:r>
          </w:p>
        </w:tc>
        <w:tc>
          <w:tcPr>
            <w:tcW w:type="dxa" w:w="12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sz w:val="18"/>
                <w:szCs w:val="18"/>
              </w:rPr>
              <w:t xml:space="preserve"/>
            </w:r>
          </w:p>
        </w:tc>
        <w:tc>
          <w:tcPr>
            <w:tcW w:type="dxa" w:w="12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sz w:val="18"/>
                <w:szCs w:val="18"/>
              </w:rPr>
              <w:t xml:space="preserve"/>
            </w:r>
          </w:p>
        </w:tc>
        <w:tc>
          <w:tcPr>
            <w:tcW w:type="dxa" w:w="12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sz w:val="18"/>
                <w:szCs w:val="18"/>
              </w:rPr>
              <w:t xml:space="preserve"/>
            </w:r>
          </w:p>
        </w:tc>
        <w:tc>
          <w:tcPr>
            <w:tcW w:type="dxa" w:w="12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sz w:val="18"/>
                <w:szCs w:val="18"/>
              </w:rPr>
              <w:t xml:space="preserve"/>
            </w:r>
          </w:p>
        </w:tc>
        <w:tc>
          <w:tcPr>
            <w:tcW w:type="dxa" w:w="12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sz w:val="18"/>
                <w:szCs w:val="18"/>
              </w:rPr>
              <w:t xml:space="preserve"/>
            </w:r>
          </w:p>
        </w:tc>
        <w:tc>
          <w:tcPr>
            <w:tcW w:type="dxa" w:w="12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sz w:val="18"/>
                <w:szCs w:val="18"/>
              </w:rPr>
              <w:t xml:space="preserve"/>
            </w:r>
          </w:p>
        </w:tc>
      </w:tr>
      <w:tr>
        <w:tc>
          <w:tcPr>
            <w:tcW w:type="dxa" w:w="12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sz w:val="18"/>
                <w:szCs w:val="18"/>
              </w:rPr>
              <w:t xml:space="preserve"/>
            </w:r>
          </w:p>
        </w:tc>
        <w:tc>
          <w:tcPr>
            <w:tcW w:type="dxa" w:w="12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sz w:val="18"/>
                <w:szCs w:val="18"/>
              </w:rPr>
              <w:t xml:space="preserve"/>
            </w:r>
            <w:r>
              <w:rPr>
                <w:sz w:val="18"/>
                <w:szCs w:val="18"/>
              </w:rPr>
              <w:t xml:space="preserve"/>
            </w:r>
            <w:r>
              <w:rPr>
                <w:sz w:val="18"/>
                <w:szCs w:val="18"/>
              </w:rPr>
              <w:t xml:space="preserve"/>
            </w:r>
            <w:r>
              <w:rPr>
                <w:sz w:val="18"/>
                <w:szCs w:val="18"/>
              </w:rPr>
              <w:t xml:space="preserve"/>
            </w:r>
          </w:p>
        </w:tc>
        <w:tc>
          <w:tcPr>
            <w:tcW w:type="dxa" w:w="12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sz w:val="18"/>
                <w:szCs w:val="18"/>
              </w:rPr>
              <w:t xml:space="preserve"/>
            </w:r>
          </w:p>
        </w:tc>
        <w:tc>
          <w:tcPr>
            <w:tcW w:type="dxa" w:w="12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sz w:val="18"/>
                <w:szCs w:val="18"/>
              </w:rPr>
              <w:t xml:space="preserve"/>
            </w:r>
          </w:p>
        </w:tc>
        <w:tc>
          <w:tcPr>
            <w:tcW w:type="dxa" w:w="12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sz w:val="18"/>
                <w:szCs w:val="18"/>
              </w:rPr>
              <w:t xml:space="preserve"/>
            </w:r>
          </w:p>
        </w:tc>
        <w:tc>
          <w:tcPr>
            <w:tcW w:type="dxa" w:w="12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sz w:val="18"/>
                <w:szCs w:val="18"/>
              </w:rPr>
              <w:t xml:space="preserve"/>
            </w:r>
          </w:p>
        </w:tc>
        <w:tc>
          <w:tcPr>
            <w:tcW w:type="dxa" w:w="12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sz w:val="18"/>
                <w:szCs w:val="18"/>
              </w:rPr>
              <w:t xml:space="preserve"/>
            </w:r>
          </w:p>
        </w:tc>
        <w:tc>
          <w:tcPr>
            <w:tcW w:type="dxa" w:w="12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sz w:val="18"/>
                <w:szCs w:val="18"/>
              </w:rPr>
              <w:t xml:space="preserve"/>
            </w:r>
          </w:p>
        </w:tc>
      </w:tr>
      <w:tr>
        <w:tc>
          <w:tcPr>
            <w:tcW w:type="dxa" w:w="12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sz w:val="18"/>
                <w:szCs w:val="18"/>
              </w:rPr>
              <w:t xml:space="preserve"/>
            </w:r>
          </w:p>
        </w:tc>
        <w:tc>
          <w:tcPr>
            <w:tcW w:type="dxa" w:w="12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sz w:val="18"/>
                <w:szCs w:val="18"/>
              </w:rPr>
              <w:t xml:space="preserve"/>
            </w:r>
            <w:r>
              <w:rPr>
                <w:sz w:val="18"/>
                <w:szCs w:val="18"/>
              </w:rPr>
              <w:t xml:space="preserve"/>
            </w:r>
          </w:p>
        </w:tc>
        <w:tc>
          <w:tcPr>
            <w:tcW w:type="dxa" w:w="12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sz w:val="18"/>
                <w:szCs w:val="18"/>
              </w:rPr>
              <w:t xml:space="preserve"/>
            </w:r>
          </w:p>
        </w:tc>
        <w:tc>
          <w:tcPr>
            <w:tcW w:type="dxa" w:w="12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sz w:val="18"/>
                <w:szCs w:val="18"/>
              </w:rPr>
              <w:t xml:space="preserve"/>
            </w:r>
          </w:p>
        </w:tc>
        <w:tc>
          <w:tcPr>
            <w:tcW w:type="dxa" w:w="12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sz w:val="18"/>
                <w:szCs w:val="18"/>
              </w:rPr>
              <w:t xml:space="preserve"/>
            </w:r>
          </w:p>
        </w:tc>
        <w:tc>
          <w:tcPr>
            <w:tcW w:type="dxa" w:w="12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sz w:val="18"/>
                <w:szCs w:val="18"/>
              </w:rPr>
              <w:t xml:space="preserve"/>
            </w:r>
          </w:p>
        </w:tc>
        <w:tc>
          <w:tcPr>
            <w:tcW w:type="dxa" w:w="12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sz w:val="18"/>
                <w:szCs w:val="18"/>
              </w:rPr>
              <w:t xml:space="preserve"/>
            </w:r>
            <w:r>
              <w:rPr>
                <w:sz w:val="18"/>
                <w:szCs w:val="18"/>
              </w:rPr>
              <w:t xml:space="preserve"/>
            </w:r>
          </w:p>
        </w:tc>
        <w:tc>
          <w:tcPr>
            <w:tcW w:type="dxa" w:w="12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sz w:val="18"/>
                <w:szCs w:val="18"/>
              </w:rPr>
              <w:t xml:space="preserve"/>
            </w:r>
          </w:p>
        </w:tc>
      </w:tr>
      <w:tr>
        <w:tc>
          <w:tcPr>
            <w:tcW w:type="dxa" w:w="12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sz w:val="18"/>
                <w:szCs w:val="18"/>
              </w:rPr>
              <w:t xml:space="preserve"/>
            </w:r>
          </w:p>
        </w:tc>
        <w:tc>
          <w:tcPr>
            <w:tcW w:type="dxa" w:w="12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sz w:val="18"/>
                <w:szCs w:val="18"/>
              </w:rPr>
              <w:t xml:space="preserve"/>
            </w:r>
            <w:r>
              <w:rPr>
                <w:sz w:val="18"/>
                <w:szCs w:val="18"/>
              </w:rPr>
              <w:t xml:space="preserve"/>
            </w:r>
            <w:r>
              <w:rPr>
                <w:sz w:val="18"/>
                <w:szCs w:val="18"/>
              </w:rPr>
              <w:t xml:space="preserve"/>
            </w:r>
          </w:p>
        </w:tc>
        <w:tc>
          <w:tcPr>
            <w:tcW w:type="dxa" w:w="12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sz w:val="18"/>
                <w:szCs w:val="18"/>
              </w:rPr>
              <w:t xml:space="preserve"/>
            </w:r>
          </w:p>
        </w:tc>
        <w:tc>
          <w:tcPr>
            <w:tcW w:type="dxa" w:w="12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sz w:val="18"/>
                <w:szCs w:val="18"/>
              </w:rPr>
              <w:t xml:space="preserve"/>
            </w:r>
          </w:p>
        </w:tc>
        <w:tc>
          <w:tcPr>
            <w:tcW w:type="dxa" w:w="12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sz w:val="18"/>
                <w:szCs w:val="18"/>
              </w:rPr>
              <w:t xml:space="preserve"/>
            </w:r>
          </w:p>
        </w:tc>
        <w:tc>
          <w:tcPr>
            <w:tcW w:type="dxa" w:w="12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sz w:val="18"/>
                <w:szCs w:val="18"/>
              </w:rPr>
              <w:t xml:space="preserve"/>
            </w:r>
          </w:p>
        </w:tc>
        <w:tc>
          <w:tcPr>
            <w:tcW w:type="dxa" w:w="12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sz w:val="18"/>
                <w:szCs w:val="18"/>
              </w:rPr>
              <w:t xml:space="preserve"/>
            </w:r>
          </w:p>
        </w:tc>
        <w:tc>
          <w:tcPr>
            <w:tcW w:type="dxa" w:w="12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sz w:val="18"/>
                <w:szCs w:val="18"/>
              </w:rPr>
              <w:t xml:space="preserve"/>
            </w:r>
          </w:p>
        </w:tc>
      </w:tr>
    </w:tbl>
    <w:p/>
    <w:p>
      <w:pPr>
        <w:pBdr>
          <w:bottom w:val="single" w:color="999999" w:sz="6" w:space="4"/>
        </w:pBdr>
      </w:pPr>
    </w:p>
    <w:p>
      <w:pPr>
        <w:pStyle w:val="Heading2"/>
      </w:pPr>
      <w:r>
        <w:t xml:space="preserve">3. The Cappadocian Fathers' Trinitarian-Ascetic Synthesis</w:t>
      </w:r>
    </w:p>
    <w:p>
      <w:pPr>
        <w:pStyle w:val="Heading3"/>
      </w:pPr>
      <w:r>
        <w:t xml:space="preserve">3.0 Provisional boundary</w:t>
      </w:r>
    </w:p>
    <w:p>
      <w:pPr>
        <w:spacing w:after="160"/>
      </w:pPr>
      <w:r>
        <w:t xml:space="preserve">c. 330–395 CE. Cappadocia, with Gregory of Nazianzus's Constantinople tenure as a geographic extension. Step 0 Item 4 named a genuine internal-coherence question (three or four individuals across two generations and several cities) and a "Voice Breadth" of three, arguably four with Macrina.</w:t>
      </w:r>
    </w:p>
    <w:p>
      <w:pPr>
        <w:pStyle w:val="Heading3"/>
      </w:pPr>
      <w:r>
        <w:t xml:space="preserve">3.1 Source Ecology</w:t>
      </w:r>
    </w:p>
    <w:p>
      <w:pPr>
        <w:spacing w:after="160"/>
      </w:pPr>
      <w:r>
        <w:rPr>
          <w:b/>
          <w:bCs/>
        </w:rPr>
        <w:t xml:space="preserve">Primary voices.</w:t>
      </w:r>
      <w:r>
        <w:t xml:space="preserve"> Basil of Caesarea: </w:t>
      </w:r>
      <w:r>
        <w:rPr>
          <w:i/>
          <w:iCs/>
        </w:rPr>
        <w:t xml:space="preserve">Hexaemeron</w:t>
      </w:r>
      <w:r>
        <w:t xml:space="preserve">, </w:t>
      </w:r>
      <w:r>
        <w:rPr>
          <w:i/>
          <w:iCs/>
        </w:rPr>
        <w:t xml:space="preserve">On the Holy Spirit</w:t>
      </w:r>
      <w:r>
        <w:t xml:space="preserve">, the </w:t>
      </w:r>
      <w:r>
        <w:rPr>
          <w:i/>
          <w:iCs/>
        </w:rPr>
        <w:t xml:space="preserve">Asketikon</w:t>
      </w:r>
      <w:r>
        <w:t xml:space="preserve"> (Longer and Shorter Rules), and his Letters. Gregory of Nazianzus: the Five Theological Orations, </w:t>
      </w:r>
      <w:r>
        <w:rPr>
          <w:i/>
          <w:iCs/>
        </w:rPr>
        <w:t xml:space="preserve">De Vita Sua</w:t>
      </w:r>
      <w:r>
        <w:t xml:space="preserve">, other orations and poems. Gregory of Nyssa: </w:t>
      </w:r>
      <w:r>
        <w:rPr>
          <w:i/>
          <w:iCs/>
        </w:rPr>
        <w:t xml:space="preserve">Life of Moses</w:t>
      </w:r>
      <w:r>
        <w:t xml:space="preserve">, </w:t>
      </w:r>
      <w:r>
        <w:rPr>
          <w:i/>
          <w:iCs/>
        </w:rPr>
        <w:t xml:space="preserve">On the Making of Man</w:t>
      </w:r>
      <w:r>
        <w:t xml:space="preserve">, the </w:t>
      </w:r>
      <w:r>
        <w:rPr>
          <w:i/>
          <w:iCs/>
        </w:rPr>
        <w:t xml:space="preserve">Catechetical Oration</w:t>
      </w:r>
      <w:r>
        <w:t xml:space="preserve">, and — crucially for Voice Breadth — the </w:t>
      </w:r>
      <w:r>
        <w:rPr>
          <w:i/>
          <w:iCs/>
        </w:rPr>
        <w:t xml:space="preserve">Life of Macrina</w:t>
      </w:r>
      <w:r>
        <w:t xml:space="preserve">, which is simultaneously a primary source for Macrina's own formation-world role and a source authored </w:t>
      </w:r>
      <w:r>
        <w:rPr>
          <w:i/>
          <w:iCs/>
        </w:rPr>
        <w:t xml:space="preserve">about</w:t>
      </w:r>
      <w:r>
        <w:t xml:space="preserve"> her by her brother rather than by her directly.</w:t>
      </w:r>
    </w:p>
    <w:p>
      <w:pPr>
        <w:spacing w:after="160"/>
      </w:pPr>
      <w:r>
        <w:rPr>
          <w:b/>
          <w:bCs/>
        </w:rPr>
        <w:t xml:space="preserve">Secondary (ancient) voices.</w:t>
      </w:r>
      <w:r>
        <w:t xml:space="preserve"> Gregory of Nazianzus's own funeral oration for Basil (</w:t>
      </w:r>
      <w:r>
        <w:rPr>
          <w:i/>
          <w:iCs/>
        </w:rPr>
        <w:t xml:space="preserve">Oration 43</w:t>
      </w:r>
      <w:r>
        <w:t xml:space="preserve">) functions as an early secondary/narrative source on Basil specifically. Rufinus's Latin translation and continuation of Eusebius's </w:t>
      </w:r>
      <w:r>
        <w:rPr>
          <w:i/>
          <w:iCs/>
        </w:rPr>
        <w:t xml:space="preserve">Ecclesiastical History</w:t>
      </w:r>
      <w:r>
        <w:t xml:space="preserve">, and his separate translation of Basil's </w:t>
      </w:r>
      <w:r>
        <w:rPr>
          <w:i/>
          <w:iCs/>
        </w:rPr>
        <w:t xml:space="preserve">Asketikon</w:t>
      </w:r>
      <w:r>
        <w:t xml:space="preserve"> into Latin (</w:t>
      </w:r>
      <w:r>
        <w:rPr>
          <w:b/>
          <w:bCs/>
        </w:rPr>
        <w:t xml:space="preserve">verified this session</w:t>
      </w:r>
      <w:r>
        <w:t xml:space="preserve">: transmitted to the West via Rufinus in the late 4th century), recur here as the same mediating hand already flagged for Origen and the </w:t>
      </w:r>
      <w:r>
        <w:rPr>
          <w:i/>
          <w:iCs/>
        </w:rPr>
        <w:t xml:space="preserve">Historia Monachorum</w:t>
      </w:r>
      <w:r>
        <w:t xml:space="preserve"> elsewhere in this survey — a third independent confirmation of Rufinus as a structurally significant, recurring Author Gravity node across this project's ancient-church candidates.</w:t>
      </w:r>
    </w:p>
    <w:p>
      <w:pPr>
        <w:spacing w:after="160"/>
      </w:pPr>
      <w:r>
        <w:rPr>
          <w:b/>
          <w:bCs/>
        </w:rPr>
        <w:t xml:space="preserve">Institutional sources.</w:t>
      </w:r>
      <w:r>
        <w:t xml:space="preserve"> The Council of Constantinople (381) itself, at which Gregory of Nazianzus briefly presided, is a first-order institutional touchpoint, though the council's own acts are thin; its outcome (the expanded Creed) is the primary institutional trace.</w:t>
      </w:r>
    </w:p>
    <w:p>
      <w:pPr>
        <w:spacing w:after="160"/>
      </w:pPr>
      <w:r>
        <w:rPr>
          <w:b/>
          <w:bCs/>
        </w:rPr>
        <w:t xml:space="preserve">Liturgical sources.</w:t>
      </w:r>
      <w:r>
        <w:t xml:space="preserve"> The Byzantine "Liturgy of St. Basil" attributed to Basil exists but in its full developed form is a later liturgical tradition building on an authentic nucleus rather than a document straightforwardly datable whole to Basil's own lifetime — a genuine Author Gravity/dating caution, not previously flagged in Step 0's liturgical-lens note.</w:t>
      </w:r>
    </w:p>
    <w:p>
      <w:pPr>
        <w:spacing w:after="160"/>
      </w:pPr>
      <w:r>
        <w:rPr>
          <w:b/>
          <w:bCs/>
        </w:rPr>
        <w:t xml:space="preserve">Material evidence.</w:t>
      </w:r>
      <w:r>
        <w:t xml:space="preserve"> Archaeological remains of Basil's Basiliad complex outside Caesarea are not richly excavated relative to Egyptian desert sites; </w:t>
      </w:r>
      <w:r>
        <w:rPr>
          <w:b/>
          <w:bCs/>
        </w:rPr>
        <w:t xml:space="preserve">verified this session</w:t>
      </w:r>
      <w:r>
        <w:t xml:space="preserve">: the Basiliad is well-attested textually (contemporary and near-contemporary description of it as a poorhouse, hospice, and hospital complex) but the physical site itself is comparatively under-excavated in the modern literature relative to its textual fame — a thinner material stream than Step 0's Item 7 Ministry-lens note might imply.</w:t>
      </w:r>
    </w:p>
    <w:p>
      <w:pPr>
        <w:spacing w:after="160"/>
      </w:pPr>
      <w:r>
        <w:rPr>
          <w:b/>
          <w:bCs/>
        </w:rPr>
        <w:t xml:space="preserve">Ordinary-participant evidence.</w:t>
      </w:r>
      <w:r>
        <w:t xml:space="preserve"> Essentially absent independent of the four principal authors' own reporting — this candidate has no equivalent of the Donatist epigraphic record or the </w:t>
      </w:r>
      <w:r>
        <w:rPr>
          <w:i/>
          <w:iCs/>
        </w:rPr>
        <w:t xml:space="preserve">Apophthegmata</w:t>
      </w:r>
      <w:r>
        <w:t xml:space="preserve">'s anonymous visitors.</w:t>
      </w:r>
    </w:p>
    <w:p>
      <w:pPr>
        <w:spacing w:after="160"/>
      </w:pPr>
      <w:r>
        <w:rPr>
          <w:b/>
          <w:bCs/>
        </w:rPr>
        <w:t xml:space="preserve">Author Gravity Assessment.</w:t>
      </w:r>
    </w:p>
    <w:p>
      <w:pPr>
        <w:ind w:left="360"/>
      </w:pPr>
      <w:r>
        <w:t xml:space="preserve">•  </w:t>
      </w:r>
      <w:r>
        <w:rPr>
          <w:i/>
          <w:iCs/>
        </w:rPr>
        <w:t xml:space="preserve">Basil.</w:t>
      </w:r>
      <w:r>
        <w:t xml:space="preserve"> Visibility: very high. Representativeness: a bishop and monastic legislator writing prescriptively, not merely descriptively — the </w:t>
      </w:r>
      <w:r>
        <w:rPr>
          <w:i/>
          <w:iCs/>
        </w:rPr>
        <w:t xml:space="preserve">Asketikon</w:t>
      </w:r>
      <w:r>
        <w:t xml:space="preserve">'s Q&amp;A form shapes an ideal as much as it reports one. Influence: foundational for both Eastern and (via Rufinus) Western monastic rule traditions. Limitations: the </w:t>
      </w:r>
      <w:r>
        <w:rPr>
          <w:i/>
          <w:iCs/>
        </w:rPr>
        <w:t xml:space="preserve">Hexaemeron</w:t>
      </w:r>
      <w:r>
        <w:t xml:space="preserve">'s cosmology reflects contemporary Greek natural philosophy as much as it does distinctively Christian content. Transmission history: the </w:t>
      </w:r>
      <w:r>
        <w:rPr>
          <w:i/>
          <w:iCs/>
        </w:rPr>
        <w:t xml:space="preserve">Asketikon</w:t>
      </w:r>
      <w:r>
        <w:t xml:space="preserve"> exists in a "Small" and expanded form, and reached the Latin world specifically through Rufinus's translation — the same recurring mediating-hand pattern.</w:t>
      </w:r>
    </w:p>
    <w:p>
      <w:pPr>
        <w:ind w:left="360"/>
      </w:pPr>
      <w:r>
        <w:t xml:space="preserve">•  </w:t>
      </w:r>
      <w:r>
        <w:rPr>
          <w:i/>
          <w:iCs/>
        </w:rPr>
        <w:t xml:space="preserve">Gregory of Nazianzus.</w:t>
      </w:r>
      <w:r>
        <w:t xml:space="preserve"> Visibility: very high, especially the Theological Orations. Representativeness: writes at his most vivid and personal precisely when embattled or in retreat (</w:t>
      </w:r>
      <w:r>
        <w:rPr>
          <w:i/>
          <w:iCs/>
        </w:rPr>
        <w:t xml:space="preserve">De Vita Sua</w:t>
      </w:r>
      <w:r>
        <w:t xml:space="preserve"> is composed after a bruising, short-lived Constantinople tenure) — a real self-presentation bias worth naming. Influence: the "Theologian" epithet in Eastern tradition. Limitations: autobiographical material is shaped by self-justification. Transmission history: comparatively direct manuscript tradition relative to Basil or Nyssa.</w:t>
      </w:r>
    </w:p>
    <w:p>
      <w:pPr>
        <w:ind w:left="360"/>
      </w:pPr>
      <w:r>
        <w:t xml:space="preserve">•  </w:t>
      </w:r>
      <w:r>
        <w:rPr>
          <w:i/>
          <w:iCs/>
        </w:rPr>
        <w:t xml:space="preserve">Gregory of Nyssa.</w:t>
      </w:r>
      <w:r>
        <w:t xml:space="preserve"> Visibility: high among specialists, historically somewhat less prominent than Basil or Nazianzus in general reception. Representativeness: the most philosophically exploratory of the three, engaging apophatic and mystical themes (</w:t>
      </w:r>
      <w:r>
        <w:rPr>
          <w:i/>
          <w:iCs/>
        </w:rPr>
        <w:t xml:space="preserve">Life of Moses</w:t>
      </w:r>
      <w:r>
        <w:t xml:space="preserve">) beyond strict doctrinal polemic. Influence: significant for later mystical theology (via Pseudo-Dionysius and beyond, outside this window). Limitations and transmission history: the </w:t>
      </w:r>
      <w:r>
        <w:rPr>
          <w:i/>
          <w:iCs/>
        </w:rPr>
        <w:t xml:space="preserve">Life of Macrina</w:t>
      </w:r>
      <w:r>
        <w:t xml:space="preserve"> is the sole substantial witness to Macrina's own formation-world role, meaning her presence in this ecology is entirely mediated through her brother's authorial and hagiographic choices — she has, in the strictest sense, no independent primary voice in this ecology at all, a sharper and more specific statement of the "arguably a fourth figure" caveat than Step 0's Item 4 gave it.</w:t>
      </w:r>
    </w:p>
    <w:p>
      <w:pPr>
        <w:spacing w:after="160"/>
      </w:pPr>
      <w:r>
        <w:rPr>
          <w:b/>
          <w:bCs/>
        </w:rPr>
        <w:t xml:space="preserve">Secondary Scholarship Assessment.</w:t>
      </w:r>
      <w:r>
        <w:t xml:space="preserve"> Anthony Meredith, </w:t>
      </w:r>
      <w:r>
        <w:rPr>
          <w:i/>
          <w:iCs/>
        </w:rPr>
        <w:t xml:space="preserve">The Cappadocians</w:t>
      </w:r>
      <w:r>
        <w:t xml:space="preserve">, as the standard synthetic introduction. Andrew Radde-Gallwitz on the technical Trinitarian argumentation. John Behr, </w:t>
      </w:r>
      <w:r>
        <w:rPr>
          <w:i/>
          <w:iCs/>
        </w:rPr>
        <w:t xml:space="preserve">The Nicene Faith</w:t>
      </w:r>
      <w:r>
        <w:t xml:space="preserve">, situating the Cappadocian synthesis within the broader post-Nicene doctrinal development. Susanna Elm, </w:t>
      </w:r>
      <w:r>
        <w:rPr>
          <w:i/>
          <w:iCs/>
        </w:rPr>
        <w:t xml:space="preserve">Sons of Hellenism, Fathers of the Church</w:t>
      </w:r>
      <w:r>
        <w:t xml:space="preserve">, specifically important for reading the Cappadocians' ascetic-social project (including Macrina's household) against the wider late-antique culture of paideia — a genuinely load-bearing secondary work for exactly the Human/Community lens Step 0 flagged as thin. Susan Wessel's comparative work on patristic authority-construction.</w:t>
      </w:r>
    </w:p>
    <w:p>
      <w:pPr>
        <w:spacing w:after="160"/>
      </w:pPr>
      <w:r>
        <w:rPr>
          <w:b/>
          <w:bCs/>
        </w:rPr>
        <w:t xml:space="preserve">Formation Narrative Sources.</w:t>
      </w:r>
      <w:r>
        <w:t xml:space="preserve"> The </w:t>
      </w:r>
      <w:r>
        <w:rPr>
          <w:i/>
          <w:iCs/>
        </w:rPr>
        <w:t xml:space="preserve">Life of Macrina</w:t>
      </w:r>
      <w:r>
        <w:t xml:space="preserve"> is Tier 2–3 formation-narrative material: a hagiographic biography by an immediate family member, generically shaped (the idealized death-as-completion scene) but historically anchored in a real, named household. Gregory of Nazianzus's </w:t>
      </w:r>
      <w:r>
        <w:rPr>
          <w:i/>
          <w:iCs/>
        </w:rPr>
        <w:t xml:space="preserve">Oration 43</w:t>
      </w:r>
      <w:r>
        <w:t xml:space="preserve"> on Basil functions similarly for Basil specifically.</w:t>
      </w:r>
    </w:p>
    <w:p>
      <w:pPr>
        <w:spacing w:after="160"/>
      </w:pPr>
      <w:r>
        <w:rPr>
          <w:b/>
          <w:bCs/>
        </w:rPr>
        <w:t xml:space="preserve">Material Culture and Daily Life Sources.</w:t>
      </w:r>
      <w:r>
        <w:t xml:space="preserve"> As above — thinner than the textual fame of the Basiliad would suggest; this is a genuine correction against an implicit assumption in Step 0's Item 7 Ministry-lens note ("the Basiliad, exceptionally well documented"), which is true of the </w:t>
      </w:r>
      <w:r>
        <w:rPr>
          <w:i/>
          <w:iCs/>
        </w:rPr>
        <w:t xml:space="preserve">textual</w:t>
      </w:r>
      <w:r>
        <w:t xml:space="preserve"> record but should not be read as implying equally rich </w:t>
      </w:r>
      <w:r>
        <w:rPr>
          <w:i/>
          <w:iCs/>
        </w:rPr>
        <w:t xml:space="preserve">material</w:t>
      </w:r>
      <w:r>
        <w:t xml:space="preserve"> documentation.</w:t>
      </w:r>
    </w:p>
    <w:p>
      <w:pPr>
        <w:spacing w:after="160"/>
      </w:pPr>
      <w:r>
        <w:rPr>
          <w:b/>
          <w:bCs/>
        </w:rPr>
        <w:t xml:space="preserve">Source Asymmetry and Missing Voices — Affirmative Duty (Article 20).</w:t>
      </w:r>
      <w:r>
        <w:t xml:space="preserve"> Step 0 already named that "ordinary lay Cappadocian Christian experience is barely attested independently of what these few authors report" — the Affirmative Duty question this raises, named specifically: whose voices are structurally absent, and why? The answer is not merely "ordinary believers" in the abstract but, more precisely, the actual monastic and lay households under Basil's and Macrina's direct authority, whose own account of formation under that authority does not survive independently of the very authority figures' own writing about them. This is a sharper, more specific Affirmative Duty naming than a generic "elite sources" observation — it is a case where the formation </w:t>
      </w:r>
      <w:r>
        <w:rPr>
          <w:i/>
          <w:iCs/>
        </w:rPr>
        <w:t xml:space="preserve">subjects</w:t>
      </w:r>
      <w:r>
        <w:t xml:space="preserve"> and the formation </w:t>
      </w:r>
      <w:r>
        <w:rPr>
          <w:i/>
          <w:iCs/>
        </w:rPr>
        <w:t xml:space="preserve">authors</w:t>
      </w:r>
      <w:r>
        <w:t xml:space="preserve"> are asymmetrically the same small family/circle, with no independent check from those formed.</w:t>
      </w:r>
    </w:p>
    <w:p>
      <w:pPr>
        <w:spacing w:after="160"/>
      </w:pPr>
      <w:r>
        <w:rPr>
          <w:b/>
          <w:bCs/>
        </w:rPr>
        <w:t xml:space="preserve">Forces lens.</w:t>
      </w:r>
      <w:r>
        <w:t xml:space="preserve"> The sources speak richly to an external/ongoing force in the form of the post-Nicene, pre-Constantinople-381 doctrinal contest itself (the Cappadocians' entire textual production is substantially organized around defending and refining pro-Nicene language against Homoian and Pneumatomachian opposition). Silences: virtually nothing on how non-elite Cappadocian villagers experienced this doctrinal contest, if at all — the contest may have been considerably more a concern of the literate clerical and ascetic elite than of the wider population, a possibility the sources cannot themselves confirm or rule out.</w:t>
      </w:r>
    </w:p>
    <w:p>
      <w:pPr>
        <w:spacing w:after="160"/>
      </w:pPr>
      <w:r>
        <w:rPr>
          <w:b/>
          <w:bCs/>
        </w:rPr>
        <w:t xml:space="preserve">Confidence-level summary.</w:t>
      </w:r>
      <w:r>
        <w:t xml:space="preserve"> The three principal figures' basic biography and authorship: Documented. The Trinitarian-theological content and its historical significance: Documented to Widely Accepted. Macrina's specific formation-world role and household practices: Contested to Inferential-Thin, given total dependence on one brother's hagiographic portrait. The Basiliad's physical scale and operation: Widely Accepted at the textual level, Inferential-Thin at the material/archaeological level given thin excavation.</w:t>
      </w:r>
    </w:p>
    <w:p>
      <w:pPr>
        <w:spacing w:after="160"/>
      </w:pPr>
      <w:r>
        <w:rPr>
          <w:b/>
          <w:bCs/>
        </w:rPr>
        <w:t xml:space="preserve">Correction against Step 0's own impression:</w:t>
      </w:r>
      <w:r>
        <w:t xml:space="preserve"> thinner than Step 0's own framing suggested on two specific points — the liturgy attributed to Basil (developed later, not straightforwardly datable whole to his lifetime) and the Basiliad's material/archaeological record (textually famous, physically under-documented). Both corrections narrow rather than widen this candidate's evidentiary base relative to the prior draft's implicit assumption.</w:t>
      </w:r>
    </w:p>
    <w:p>
      <w:pPr>
        <w:pStyle w:val="Heading3"/>
      </w:pPr>
      <w:r>
        <w:t xml:space="preserve">3.2 Source Registry — The Cappadocian Fathers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60"/>
        <w:gridCol w:w="1260"/>
        <w:gridCol w:w="1260"/>
        <w:gridCol w:w="1260"/>
        <w:gridCol w:w="1260"/>
        <w:gridCol w:w="1260"/>
        <w:gridCol w:w="1260"/>
        <w:gridCol w:w="1260"/>
      </w:tblGrid>
      <w:tr>
        <w:trPr>
          <w:tblHeader/>
        </w:trPr>
        <w:tc>
          <w:tcPr>
            <w:tcW w:type="dxa" w:w="1260"/>
            <w:tcBorders>
              <w:top w:val="single" w:color="BFBFBF" w:sz="2"/>
              <w:left w:val="single" w:color="BFBFBF" w:sz="2"/>
              <w:bottom w:val="single" w:color="BFBFBF" w:sz="2"/>
              <w:right w:val="single" w:color="BFBFBF" w:sz="2"/>
            </w:tcBorders>
            <w:shd w:fill="D9E2F3" w:val="clear"/>
            <w:tcMar>
              <w:top w:type="dxa" w:w="60"/>
              <w:left w:type="dxa" w:w="100"/>
              <w:bottom w:type="dxa" w:w="60"/>
              <w:right w:type="dxa" w:w="100"/>
            </w:tcMar>
          </w:tcPr>
          <w:p>
            <w:r>
              <w:rPr>
                <w:b/>
                <w:bCs/>
                <w:sz w:val="18"/>
                <w:szCs w:val="18"/>
              </w:rPr>
              <w:t xml:space="preserve">#</w:t>
            </w:r>
          </w:p>
        </w:tc>
        <w:tc>
          <w:tcPr>
            <w:tcW w:type="dxa" w:w="1260"/>
            <w:tcBorders>
              <w:top w:val="single" w:color="BFBFBF" w:sz="2"/>
              <w:left w:val="single" w:color="BFBFBF" w:sz="2"/>
              <w:bottom w:val="single" w:color="BFBFBF" w:sz="2"/>
              <w:right w:val="single" w:color="BFBFBF" w:sz="2"/>
            </w:tcBorders>
            <w:shd w:fill="D9E2F3" w:val="clear"/>
            <w:tcMar>
              <w:top w:type="dxa" w:w="60"/>
              <w:left w:type="dxa" w:w="100"/>
              <w:bottom w:type="dxa" w:w="60"/>
              <w:right w:type="dxa" w:w="100"/>
            </w:tcMar>
          </w:tcPr>
          <w:p>
            <w:r>
              <w:rPr>
                <w:b/>
                <w:bCs/>
                <w:sz w:val="18"/>
                <w:szCs w:val="18"/>
              </w:rPr>
              <w:t xml:space="preserve">Source</w:t>
            </w:r>
          </w:p>
        </w:tc>
        <w:tc>
          <w:tcPr>
            <w:tcW w:type="dxa" w:w="1260"/>
            <w:tcBorders>
              <w:top w:val="single" w:color="BFBFBF" w:sz="2"/>
              <w:left w:val="single" w:color="BFBFBF" w:sz="2"/>
              <w:bottom w:val="single" w:color="BFBFBF" w:sz="2"/>
              <w:right w:val="single" w:color="BFBFBF" w:sz="2"/>
            </w:tcBorders>
            <w:shd w:fill="D9E2F3" w:val="clear"/>
            <w:tcMar>
              <w:top w:type="dxa" w:w="60"/>
              <w:left w:type="dxa" w:w="100"/>
              <w:bottom w:type="dxa" w:w="60"/>
              <w:right w:type="dxa" w:w="100"/>
            </w:tcMar>
          </w:tcPr>
          <w:p>
            <w:r>
              <w:rPr>
                <w:b/>
                <w:bCs/>
                <w:sz w:val="18"/>
                <w:szCs w:val="18"/>
              </w:rPr>
              <w:t xml:space="preserve">Type</w:t>
            </w:r>
          </w:p>
        </w:tc>
        <w:tc>
          <w:tcPr>
            <w:tcW w:type="dxa" w:w="1260"/>
            <w:tcBorders>
              <w:top w:val="single" w:color="BFBFBF" w:sz="2"/>
              <w:left w:val="single" w:color="BFBFBF" w:sz="2"/>
              <w:bottom w:val="single" w:color="BFBFBF" w:sz="2"/>
              <w:right w:val="single" w:color="BFBFBF" w:sz="2"/>
            </w:tcBorders>
            <w:shd w:fill="D9E2F3" w:val="clear"/>
            <w:tcMar>
              <w:top w:type="dxa" w:w="60"/>
              <w:left w:type="dxa" w:w="100"/>
              <w:bottom w:type="dxa" w:w="60"/>
              <w:right w:type="dxa" w:w="100"/>
            </w:tcMar>
          </w:tcPr>
          <w:p>
            <w:r>
              <w:rPr>
                <w:b/>
                <w:bCs/>
                <w:sz w:val="18"/>
                <w:szCs w:val="18"/>
              </w:rPr>
              <w:t xml:space="preserve">Confidence</w:t>
            </w:r>
          </w:p>
        </w:tc>
        <w:tc>
          <w:tcPr>
            <w:tcW w:type="dxa" w:w="1260"/>
            <w:tcBorders>
              <w:top w:val="single" w:color="BFBFBF" w:sz="2"/>
              <w:left w:val="single" w:color="BFBFBF" w:sz="2"/>
              <w:bottom w:val="single" w:color="BFBFBF" w:sz="2"/>
              <w:right w:val="single" w:color="BFBFBF" w:sz="2"/>
            </w:tcBorders>
            <w:shd w:fill="D9E2F3" w:val="clear"/>
            <w:tcMar>
              <w:top w:type="dxa" w:w="60"/>
              <w:left w:type="dxa" w:w="100"/>
              <w:bottom w:type="dxa" w:w="60"/>
              <w:right w:type="dxa" w:w="100"/>
            </w:tcMar>
          </w:tcPr>
          <w:p>
            <w:r>
              <w:rPr>
                <w:b/>
                <w:bCs/>
                <w:sz w:val="18"/>
                <w:szCs w:val="18"/>
              </w:rPr>
              <w:t xml:space="preserve">Boundary</w:t>
            </w:r>
          </w:p>
        </w:tc>
        <w:tc>
          <w:tcPr>
            <w:tcW w:type="dxa" w:w="1260"/>
            <w:tcBorders>
              <w:top w:val="single" w:color="BFBFBF" w:sz="2"/>
              <w:left w:val="single" w:color="BFBFBF" w:sz="2"/>
              <w:bottom w:val="single" w:color="BFBFBF" w:sz="2"/>
              <w:right w:val="single" w:color="BFBFBF" w:sz="2"/>
            </w:tcBorders>
            <w:shd w:fill="D9E2F3" w:val="clear"/>
            <w:tcMar>
              <w:top w:type="dxa" w:w="60"/>
              <w:left w:type="dxa" w:w="100"/>
              <w:bottom w:type="dxa" w:w="60"/>
              <w:right w:type="dxa" w:w="100"/>
            </w:tcMar>
          </w:tcPr>
          <w:p>
            <w:r>
              <w:rPr>
                <w:b/>
                <w:bCs/>
                <w:sz w:val="18"/>
                <w:szCs w:val="18"/>
              </w:rPr>
              <w:t xml:space="preserve">Exclusion Reason</w:t>
            </w:r>
          </w:p>
        </w:tc>
        <w:tc>
          <w:tcPr>
            <w:tcW w:type="dxa" w:w="1260"/>
            <w:tcBorders>
              <w:top w:val="single" w:color="BFBFBF" w:sz="2"/>
              <w:left w:val="single" w:color="BFBFBF" w:sz="2"/>
              <w:bottom w:val="single" w:color="BFBFBF" w:sz="2"/>
              <w:right w:val="single" w:color="BFBFBF" w:sz="2"/>
            </w:tcBorders>
            <w:shd w:fill="D9E2F3" w:val="clear"/>
            <w:tcMar>
              <w:top w:type="dxa" w:w="60"/>
              <w:left w:type="dxa" w:w="100"/>
              <w:bottom w:type="dxa" w:w="60"/>
              <w:right w:type="dxa" w:w="100"/>
            </w:tcMar>
          </w:tcPr>
          <w:p>
            <w:r>
              <w:rPr>
                <w:b/>
                <w:bCs/>
                <w:sz w:val="18"/>
                <w:szCs w:val="18"/>
              </w:rPr>
              <w:t xml:space="preserve">Licensed For</w:t>
            </w:r>
          </w:p>
        </w:tc>
        <w:tc>
          <w:tcPr>
            <w:tcW w:type="dxa" w:w="1260"/>
            <w:tcBorders>
              <w:top w:val="single" w:color="BFBFBF" w:sz="2"/>
              <w:left w:val="single" w:color="BFBFBF" w:sz="2"/>
              <w:bottom w:val="single" w:color="BFBFBF" w:sz="2"/>
              <w:right w:val="single" w:color="BFBFBF" w:sz="2"/>
            </w:tcBorders>
            <w:shd w:fill="D9E2F3" w:val="clear"/>
            <w:tcMar>
              <w:top w:type="dxa" w:w="60"/>
              <w:left w:type="dxa" w:w="100"/>
              <w:bottom w:type="dxa" w:w="60"/>
              <w:right w:type="dxa" w:w="100"/>
            </w:tcMar>
          </w:tcPr>
          <w:p>
            <w:r>
              <w:rPr>
                <w:b/>
                <w:bCs/>
                <w:sz w:val="18"/>
                <w:szCs w:val="18"/>
              </w:rPr>
              <w:t xml:space="preserve">Verification Note</w:t>
            </w:r>
          </w:p>
        </w:tc>
      </w:tr>
      <w:tr>
        <w:tc>
          <w:tcPr>
            <w:tcW w:type="dxa" w:w="12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sz w:val="18"/>
                <w:szCs w:val="18"/>
              </w:rPr>
              <w:t xml:space="preserve"/>
            </w:r>
          </w:p>
        </w:tc>
        <w:tc>
          <w:tcPr>
            <w:tcW w:type="dxa" w:w="12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sz w:val="18"/>
                <w:szCs w:val="18"/>
              </w:rPr>
              <w:t xml:space="preserve"/>
            </w:r>
            <w:r>
              <w:rPr>
                <w:sz w:val="18"/>
                <w:szCs w:val="18"/>
              </w:rPr>
              <w:t xml:space="preserve"/>
            </w:r>
            <w:r>
              <w:rPr>
                <w:sz w:val="18"/>
                <w:szCs w:val="18"/>
              </w:rPr>
              <w:t xml:space="preserve"/>
            </w:r>
            <w:r>
              <w:rPr>
                <w:sz w:val="18"/>
                <w:szCs w:val="18"/>
              </w:rPr>
              <w:t xml:space="preserve"/>
            </w:r>
            <w:r>
              <w:rPr>
                <w:sz w:val="18"/>
                <w:szCs w:val="18"/>
              </w:rPr>
              <w:t xml:space="preserve"/>
            </w:r>
            <w:r>
              <w:rPr>
                <w:sz w:val="18"/>
                <w:szCs w:val="18"/>
              </w:rPr>
              <w:t xml:space="preserve"/>
            </w:r>
            <w:r>
              <w:rPr>
                <w:sz w:val="18"/>
                <w:szCs w:val="18"/>
              </w:rPr>
              <w:t xml:space="preserve"/>
            </w:r>
          </w:p>
        </w:tc>
        <w:tc>
          <w:tcPr>
            <w:tcW w:type="dxa" w:w="12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sz w:val="18"/>
                <w:szCs w:val="18"/>
              </w:rPr>
              <w:t xml:space="preserve"/>
            </w:r>
          </w:p>
        </w:tc>
        <w:tc>
          <w:tcPr>
            <w:tcW w:type="dxa" w:w="12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sz w:val="18"/>
                <w:szCs w:val="18"/>
              </w:rPr>
              <w:t xml:space="preserve"/>
            </w:r>
          </w:p>
        </w:tc>
        <w:tc>
          <w:tcPr>
            <w:tcW w:type="dxa" w:w="12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sz w:val="18"/>
                <w:szCs w:val="18"/>
              </w:rPr>
              <w:t xml:space="preserve"/>
            </w:r>
          </w:p>
        </w:tc>
        <w:tc>
          <w:tcPr>
            <w:tcW w:type="dxa" w:w="12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sz w:val="18"/>
                <w:szCs w:val="18"/>
              </w:rPr>
              <w:t xml:space="preserve"/>
            </w:r>
          </w:p>
        </w:tc>
        <w:tc>
          <w:tcPr>
            <w:tcW w:type="dxa" w:w="12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sz w:val="18"/>
                <w:szCs w:val="18"/>
              </w:rPr>
              <w:t xml:space="preserve"/>
            </w:r>
          </w:p>
        </w:tc>
        <w:tc>
          <w:tcPr>
            <w:tcW w:type="dxa" w:w="12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sz w:val="18"/>
                <w:szCs w:val="18"/>
              </w:rPr>
              <w:t xml:space="preserve"/>
            </w:r>
          </w:p>
        </w:tc>
      </w:tr>
      <w:tr>
        <w:tc>
          <w:tcPr>
            <w:tcW w:type="dxa" w:w="12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sz w:val="18"/>
                <w:szCs w:val="18"/>
              </w:rPr>
              <w:t xml:space="preserve"/>
            </w:r>
          </w:p>
        </w:tc>
        <w:tc>
          <w:tcPr>
            <w:tcW w:type="dxa" w:w="12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sz w:val="18"/>
                <w:szCs w:val="18"/>
              </w:rPr>
              <w:t xml:space="preserve"/>
            </w:r>
            <w:r>
              <w:rPr>
                <w:sz w:val="18"/>
                <w:szCs w:val="18"/>
              </w:rPr>
              <w:t xml:space="preserve"/>
            </w:r>
          </w:p>
        </w:tc>
        <w:tc>
          <w:tcPr>
            <w:tcW w:type="dxa" w:w="12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sz w:val="18"/>
                <w:szCs w:val="18"/>
              </w:rPr>
              <w:t xml:space="preserve"/>
            </w:r>
          </w:p>
        </w:tc>
        <w:tc>
          <w:tcPr>
            <w:tcW w:type="dxa" w:w="12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sz w:val="18"/>
                <w:szCs w:val="18"/>
              </w:rPr>
              <w:t xml:space="preserve"/>
            </w:r>
          </w:p>
        </w:tc>
        <w:tc>
          <w:tcPr>
            <w:tcW w:type="dxa" w:w="12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sz w:val="18"/>
                <w:szCs w:val="18"/>
              </w:rPr>
              <w:t xml:space="preserve"/>
            </w:r>
          </w:p>
        </w:tc>
        <w:tc>
          <w:tcPr>
            <w:tcW w:type="dxa" w:w="12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sz w:val="18"/>
                <w:szCs w:val="18"/>
              </w:rPr>
              <w:t xml:space="preserve"/>
            </w:r>
          </w:p>
        </w:tc>
        <w:tc>
          <w:tcPr>
            <w:tcW w:type="dxa" w:w="12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sz w:val="18"/>
                <w:szCs w:val="18"/>
              </w:rPr>
              <w:t xml:space="preserve"/>
            </w:r>
          </w:p>
        </w:tc>
        <w:tc>
          <w:tcPr>
            <w:tcW w:type="dxa" w:w="12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sz w:val="18"/>
                <w:szCs w:val="18"/>
              </w:rPr>
              <w:t xml:space="preserve"/>
            </w:r>
          </w:p>
        </w:tc>
      </w:tr>
      <w:tr>
        <w:tc>
          <w:tcPr>
            <w:tcW w:type="dxa" w:w="12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sz w:val="18"/>
                <w:szCs w:val="18"/>
              </w:rPr>
              <w:t xml:space="preserve"/>
            </w:r>
          </w:p>
        </w:tc>
        <w:tc>
          <w:tcPr>
            <w:tcW w:type="dxa" w:w="12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sz w:val="18"/>
                <w:szCs w:val="18"/>
              </w:rPr>
              <w:t xml:space="preserve"/>
            </w:r>
            <w:r>
              <w:rPr>
                <w:sz w:val="18"/>
                <w:szCs w:val="18"/>
              </w:rPr>
              <w:t xml:space="preserve"/>
            </w:r>
          </w:p>
        </w:tc>
        <w:tc>
          <w:tcPr>
            <w:tcW w:type="dxa" w:w="12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sz w:val="18"/>
                <w:szCs w:val="18"/>
              </w:rPr>
              <w:t xml:space="preserve"/>
            </w:r>
          </w:p>
        </w:tc>
        <w:tc>
          <w:tcPr>
            <w:tcW w:type="dxa" w:w="12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sz w:val="18"/>
                <w:szCs w:val="18"/>
              </w:rPr>
              <w:t xml:space="preserve"/>
            </w:r>
          </w:p>
        </w:tc>
        <w:tc>
          <w:tcPr>
            <w:tcW w:type="dxa" w:w="12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sz w:val="18"/>
                <w:szCs w:val="18"/>
              </w:rPr>
              <w:t xml:space="preserve"/>
            </w:r>
          </w:p>
        </w:tc>
        <w:tc>
          <w:tcPr>
            <w:tcW w:type="dxa" w:w="12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sz w:val="18"/>
                <w:szCs w:val="18"/>
              </w:rPr>
              <w:t xml:space="preserve"/>
            </w:r>
          </w:p>
        </w:tc>
        <w:tc>
          <w:tcPr>
            <w:tcW w:type="dxa" w:w="12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sz w:val="18"/>
                <w:szCs w:val="18"/>
              </w:rPr>
              <w:t xml:space="preserve"/>
            </w:r>
          </w:p>
        </w:tc>
        <w:tc>
          <w:tcPr>
            <w:tcW w:type="dxa" w:w="12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sz w:val="18"/>
                <w:szCs w:val="18"/>
              </w:rPr>
              <w:t xml:space="preserve"/>
            </w:r>
          </w:p>
        </w:tc>
      </w:tr>
      <w:tr>
        <w:tc>
          <w:tcPr>
            <w:tcW w:type="dxa" w:w="12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sz w:val="18"/>
                <w:szCs w:val="18"/>
              </w:rPr>
              <w:t xml:space="preserve"/>
            </w:r>
          </w:p>
        </w:tc>
        <w:tc>
          <w:tcPr>
            <w:tcW w:type="dxa" w:w="12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sz w:val="18"/>
                <w:szCs w:val="18"/>
              </w:rPr>
              <w:t xml:space="preserve"/>
            </w:r>
            <w:r>
              <w:rPr>
                <w:sz w:val="18"/>
                <w:szCs w:val="18"/>
              </w:rPr>
              <w:t xml:space="preserve"/>
            </w:r>
            <w:r>
              <w:rPr>
                <w:sz w:val="18"/>
                <w:szCs w:val="18"/>
              </w:rPr>
              <w:t xml:space="preserve"/>
            </w:r>
          </w:p>
        </w:tc>
        <w:tc>
          <w:tcPr>
            <w:tcW w:type="dxa" w:w="12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sz w:val="18"/>
                <w:szCs w:val="18"/>
              </w:rPr>
              <w:t xml:space="preserve"/>
            </w:r>
          </w:p>
        </w:tc>
        <w:tc>
          <w:tcPr>
            <w:tcW w:type="dxa" w:w="12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sz w:val="18"/>
                <w:szCs w:val="18"/>
              </w:rPr>
              <w:t xml:space="preserve"/>
            </w:r>
          </w:p>
        </w:tc>
        <w:tc>
          <w:tcPr>
            <w:tcW w:type="dxa" w:w="12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sz w:val="18"/>
                <w:szCs w:val="18"/>
              </w:rPr>
              <w:t xml:space="preserve"/>
            </w:r>
          </w:p>
        </w:tc>
        <w:tc>
          <w:tcPr>
            <w:tcW w:type="dxa" w:w="12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sz w:val="18"/>
                <w:szCs w:val="18"/>
              </w:rPr>
              <w:t xml:space="preserve"/>
            </w:r>
          </w:p>
        </w:tc>
        <w:tc>
          <w:tcPr>
            <w:tcW w:type="dxa" w:w="12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sz w:val="18"/>
                <w:szCs w:val="18"/>
              </w:rPr>
              <w:t xml:space="preserve"/>
            </w:r>
          </w:p>
        </w:tc>
        <w:tc>
          <w:tcPr>
            <w:tcW w:type="dxa" w:w="12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sz w:val="18"/>
                <w:szCs w:val="18"/>
              </w:rPr>
              <w:t xml:space="preserve"/>
            </w:r>
          </w:p>
        </w:tc>
      </w:tr>
      <w:tr>
        <w:tc>
          <w:tcPr>
            <w:tcW w:type="dxa" w:w="12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sz w:val="18"/>
                <w:szCs w:val="18"/>
              </w:rPr>
              <w:t xml:space="preserve"/>
            </w:r>
          </w:p>
        </w:tc>
        <w:tc>
          <w:tcPr>
            <w:tcW w:type="dxa" w:w="12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sz w:val="18"/>
                <w:szCs w:val="18"/>
              </w:rPr>
              <w:t xml:space="preserve"/>
            </w:r>
            <w:r>
              <w:rPr>
                <w:sz w:val="18"/>
                <w:szCs w:val="18"/>
              </w:rPr>
              <w:t xml:space="preserve"/>
            </w:r>
            <w:r>
              <w:rPr>
                <w:sz w:val="18"/>
                <w:szCs w:val="18"/>
              </w:rPr>
              <w:t xml:space="preserve"/>
            </w:r>
            <w:r>
              <w:rPr>
                <w:sz w:val="18"/>
                <w:szCs w:val="18"/>
              </w:rPr>
              <w:t xml:space="preserve"/>
            </w:r>
            <w:r>
              <w:rPr>
                <w:sz w:val="18"/>
                <w:szCs w:val="18"/>
              </w:rPr>
              <w:t xml:space="preserve"/>
            </w:r>
            <w:r>
              <w:rPr>
                <w:sz w:val="18"/>
                <w:szCs w:val="18"/>
              </w:rPr>
              <w:t xml:space="preserve"/>
            </w:r>
          </w:p>
        </w:tc>
        <w:tc>
          <w:tcPr>
            <w:tcW w:type="dxa" w:w="12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sz w:val="18"/>
                <w:szCs w:val="18"/>
              </w:rPr>
              <w:t xml:space="preserve"/>
            </w:r>
          </w:p>
        </w:tc>
        <w:tc>
          <w:tcPr>
            <w:tcW w:type="dxa" w:w="12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sz w:val="18"/>
                <w:szCs w:val="18"/>
              </w:rPr>
              <w:t xml:space="preserve"/>
            </w:r>
          </w:p>
        </w:tc>
        <w:tc>
          <w:tcPr>
            <w:tcW w:type="dxa" w:w="12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sz w:val="18"/>
                <w:szCs w:val="18"/>
              </w:rPr>
              <w:t xml:space="preserve"/>
            </w:r>
          </w:p>
        </w:tc>
        <w:tc>
          <w:tcPr>
            <w:tcW w:type="dxa" w:w="12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sz w:val="18"/>
                <w:szCs w:val="18"/>
              </w:rPr>
              <w:t xml:space="preserve"/>
            </w:r>
          </w:p>
        </w:tc>
        <w:tc>
          <w:tcPr>
            <w:tcW w:type="dxa" w:w="12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sz w:val="18"/>
                <w:szCs w:val="18"/>
              </w:rPr>
              <w:t xml:space="preserve"/>
            </w:r>
          </w:p>
        </w:tc>
        <w:tc>
          <w:tcPr>
            <w:tcW w:type="dxa" w:w="12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sz w:val="18"/>
                <w:szCs w:val="18"/>
              </w:rPr>
              <w:t xml:space="preserve"/>
            </w:r>
          </w:p>
        </w:tc>
      </w:tr>
      <w:tr>
        <w:tc>
          <w:tcPr>
            <w:tcW w:type="dxa" w:w="12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sz w:val="18"/>
                <w:szCs w:val="18"/>
              </w:rPr>
              <w:t xml:space="preserve"/>
            </w:r>
          </w:p>
        </w:tc>
        <w:tc>
          <w:tcPr>
            <w:tcW w:type="dxa" w:w="12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sz w:val="18"/>
                <w:szCs w:val="18"/>
              </w:rPr>
              <w:t xml:space="preserve"/>
            </w:r>
            <w:r>
              <w:rPr>
                <w:sz w:val="18"/>
                <w:szCs w:val="18"/>
              </w:rPr>
              <w:t xml:space="preserve"/>
            </w:r>
          </w:p>
        </w:tc>
        <w:tc>
          <w:tcPr>
            <w:tcW w:type="dxa" w:w="12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sz w:val="18"/>
                <w:szCs w:val="18"/>
              </w:rPr>
              <w:t xml:space="preserve"/>
            </w:r>
          </w:p>
        </w:tc>
        <w:tc>
          <w:tcPr>
            <w:tcW w:type="dxa" w:w="12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sz w:val="18"/>
                <w:szCs w:val="18"/>
              </w:rPr>
              <w:t xml:space="preserve"/>
            </w:r>
          </w:p>
        </w:tc>
        <w:tc>
          <w:tcPr>
            <w:tcW w:type="dxa" w:w="12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sz w:val="18"/>
                <w:szCs w:val="18"/>
              </w:rPr>
              <w:t xml:space="preserve"/>
            </w:r>
          </w:p>
        </w:tc>
        <w:tc>
          <w:tcPr>
            <w:tcW w:type="dxa" w:w="12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sz w:val="18"/>
                <w:szCs w:val="18"/>
              </w:rPr>
              <w:t xml:space="preserve"/>
            </w:r>
          </w:p>
        </w:tc>
        <w:tc>
          <w:tcPr>
            <w:tcW w:type="dxa" w:w="12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sz w:val="18"/>
                <w:szCs w:val="18"/>
              </w:rPr>
              <w:t xml:space="preserve"/>
            </w:r>
          </w:p>
        </w:tc>
        <w:tc>
          <w:tcPr>
            <w:tcW w:type="dxa" w:w="12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sz w:val="18"/>
                <w:szCs w:val="18"/>
              </w:rPr>
              <w:t xml:space="preserve"/>
            </w:r>
          </w:p>
        </w:tc>
      </w:tr>
      <w:tr>
        <w:tc>
          <w:tcPr>
            <w:tcW w:type="dxa" w:w="12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sz w:val="18"/>
                <w:szCs w:val="18"/>
              </w:rPr>
              <w:t xml:space="preserve"/>
            </w:r>
          </w:p>
        </w:tc>
        <w:tc>
          <w:tcPr>
            <w:tcW w:type="dxa" w:w="12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sz w:val="18"/>
                <w:szCs w:val="18"/>
              </w:rPr>
              <w:t xml:space="preserve"/>
            </w:r>
          </w:p>
        </w:tc>
        <w:tc>
          <w:tcPr>
            <w:tcW w:type="dxa" w:w="12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sz w:val="18"/>
                <w:szCs w:val="18"/>
              </w:rPr>
              <w:t xml:space="preserve"/>
            </w:r>
          </w:p>
        </w:tc>
        <w:tc>
          <w:tcPr>
            <w:tcW w:type="dxa" w:w="12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sz w:val="18"/>
                <w:szCs w:val="18"/>
              </w:rPr>
              <w:t xml:space="preserve"/>
            </w:r>
          </w:p>
        </w:tc>
        <w:tc>
          <w:tcPr>
            <w:tcW w:type="dxa" w:w="12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sz w:val="18"/>
                <w:szCs w:val="18"/>
              </w:rPr>
              <w:t xml:space="preserve"/>
            </w:r>
          </w:p>
        </w:tc>
        <w:tc>
          <w:tcPr>
            <w:tcW w:type="dxa" w:w="12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sz w:val="18"/>
                <w:szCs w:val="18"/>
              </w:rPr>
              <w:t xml:space="preserve"/>
            </w:r>
          </w:p>
        </w:tc>
        <w:tc>
          <w:tcPr>
            <w:tcW w:type="dxa" w:w="12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sz w:val="18"/>
                <w:szCs w:val="18"/>
              </w:rPr>
              <w:t xml:space="preserve"/>
            </w:r>
          </w:p>
        </w:tc>
        <w:tc>
          <w:tcPr>
            <w:tcW w:type="dxa" w:w="12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sz w:val="18"/>
                <w:szCs w:val="18"/>
              </w:rPr>
              <w:t xml:space="preserve"/>
            </w:r>
          </w:p>
        </w:tc>
      </w:tr>
      <w:tr>
        <w:tc>
          <w:tcPr>
            <w:tcW w:type="dxa" w:w="12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sz w:val="18"/>
                <w:szCs w:val="18"/>
              </w:rPr>
              <w:t xml:space="preserve"/>
            </w:r>
          </w:p>
        </w:tc>
        <w:tc>
          <w:tcPr>
            <w:tcW w:type="dxa" w:w="12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sz w:val="18"/>
                <w:szCs w:val="18"/>
              </w:rPr>
              <w:t xml:space="preserve"/>
            </w:r>
          </w:p>
        </w:tc>
        <w:tc>
          <w:tcPr>
            <w:tcW w:type="dxa" w:w="12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sz w:val="18"/>
                <w:szCs w:val="18"/>
              </w:rPr>
              <w:t xml:space="preserve"/>
            </w:r>
          </w:p>
        </w:tc>
        <w:tc>
          <w:tcPr>
            <w:tcW w:type="dxa" w:w="12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sz w:val="18"/>
                <w:szCs w:val="18"/>
              </w:rPr>
              <w:t xml:space="preserve"/>
            </w:r>
          </w:p>
        </w:tc>
        <w:tc>
          <w:tcPr>
            <w:tcW w:type="dxa" w:w="12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sz w:val="18"/>
                <w:szCs w:val="18"/>
              </w:rPr>
              <w:t xml:space="preserve"/>
            </w:r>
          </w:p>
        </w:tc>
        <w:tc>
          <w:tcPr>
            <w:tcW w:type="dxa" w:w="12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sz w:val="18"/>
                <w:szCs w:val="18"/>
              </w:rPr>
              <w:t xml:space="preserve"/>
            </w:r>
          </w:p>
        </w:tc>
        <w:tc>
          <w:tcPr>
            <w:tcW w:type="dxa" w:w="12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sz w:val="18"/>
                <w:szCs w:val="18"/>
              </w:rPr>
              <w:t xml:space="preserve"/>
            </w:r>
          </w:p>
        </w:tc>
        <w:tc>
          <w:tcPr>
            <w:tcW w:type="dxa" w:w="12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sz w:val="18"/>
                <w:szCs w:val="18"/>
              </w:rPr>
              <w:t xml:space="preserve"/>
            </w:r>
          </w:p>
        </w:tc>
      </w:tr>
      <w:tr>
        <w:tc>
          <w:tcPr>
            <w:tcW w:type="dxa" w:w="12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sz w:val="18"/>
                <w:szCs w:val="18"/>
              </w:rPr>
              <w:t xml:space="preserve"/>
            </w:r>
          </w:p>
        </w:tc>
        <w:tc>
          <w:tcPr>
            <w:tcW w:type="dxa" w:w="12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sz w:val="18"/>
                <w:szCs w:val="18"/>
              </w:rPr>
              <w:t xml:space="preserve"/>
            </w:r>
            <w:r>
              <w:rPr>
                <w:sz w:val="18"/>
                <w:szCs w:val="18"/>
              </w:rPr>
              <w:t xml:space="preserve"/>
            </w:r>
          </w:p>
        </w:tc>
        <w:tc>
          <w:tcPr>
            <w:tcW w:type="dxa" w:w="12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sz w:val="18"/>
                <w:szCs w:val="18"/>
              </w:rPr>
              <w:t xml:space="preserve"/>
            </w:r>
          </w:p>
        </w:tc>
        <w:tc>
          <w:tcPr>
            <w:tcW w:type="dxa" w:w="12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sz w:val="18"/>
                <w:szCs w:val="18"/>
              </w:rPr>
              <w:t xml:space="preserve"/>
            </w:r>
          </w:p>
        </w:tc>
        <w:tc>
          <w:tcPr>
            <w:tcW w:type="dxa" w:w="12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sz w:val="18"/>
                <w:szCs w:val="18"/>
              </w:rPr>
              <w:t xml:space="preserve"/>
            </w:r>
          </w:p>
        </w:tc>
        <w:tc>
          <w:tcPr>
            <w:tcW w:type="dxa" w:w="12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sz w:val="18"/>
                <w:szCs w:val="18"/>
              </w:rPr>
              <w:t xml:space="preserve"/>
            </w:r>
          </w:p>
        </w:tc>
        <w:tc>
          <w:tcPr>
            <w:tcW w:type="dxa" w:w="12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sz w:val="18"/>
                <w:szCs w:val="18"/>
              </w:rPr>
              <w:t xml:space="preserve"/>
            </w:r>
          </w:p>
        </w:tc>
        <w:tc>
          <w:tcPr>
            <w:tcW w:type="dxa" w:w="12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sz w:val="18"/>
                <w:szCs w:val="18"/>
              </w:rPr>
              <w:t xml:space="preserve"/>
            </w:r>
          </w:p>
        </w:tc>
      </w:tr>
      <w:tr>
        <w:tc>
          <w:tcPr>
            <w:tcW w:type="dxa" w:w="12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sz w:val="18"/>
                <w:szCs w:val="18"/>
              </w:rPr>
              <w:t xml:space="preserve"/>
            </w:r>
          </w:p>
        </w:tc>
        <w:tc>
          <w:tcPr>
            <w:tcW w:type="dxa" w:w="12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sz w:val="18"/>
                <w:szCs w:val="18"/>
              </w:rPr>
              <w:t xml:space="preserve"/>
            </w:r>
            <w:r>
              <w:rPr>
                <w:sz w:val="18"/>
                <w:szCs w:val="18"/>
              </w:rPr>
              <w:t xml:space="preserve"/>
            </w:r>
          </w:p>
        </w:tc>
        <w:tc>
          <w:tcPr>
            <w:tcW w:type="dxa" w:w="12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sz w:val="18"/>
                <w:szCs w:val="18"/>
              </w:rPr>
              <w:t xml:space="preserve"/>
            </w:r>
          </w:p>
        </w:tc>
        <w:tc>
          <w:tcPr>
            <w:tcW w:type="dxa" w:w="12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sz w:val="18"/>
                <w:szCs w:val="18"/>
              </w:rPr>
              <w:t xml:space="preserve"/>
            </w:r>
          </w:p>
        </w:tc>
        <w:tc>
          <w:tcPr>
            <w:tcW w:type="dxa" w:w="12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sz w:val="18"/>
                <w:szCs w:val="18"/>
              </w:rPr>
              <w:t xml:space="preserve"/>
            </w:r>
          </w:p>
        </w:tc>
        <w:tc>
          <w:tcPr>
            <w:tcW w:type="dxa" w:w="12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sz w:val="18"/>
                <w:szCs w:val="18"/>
              </w:rPr>
              <w:t xml:space="preserve"/>
            </w:r>
          </w:p>
        </w:tc>
        <w:tc>
          <w:tcPr>
            <w:tcW w:type="dxa" w:w="12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sz w:val="18"/>
                <w:szCs w:val="18"/>
              </w:rPr>
              <w:t xml:space="preserve"/>
            </w:r>
          </w:p>
        </w:tc>
        <w:tc>
          <w:tcPr>
            <w:tcW w:type="dxa" w:w="12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sz w:val="18"/>
                <w:szCs w:val="18"/>
              </w:rPr>
              <w:t xml:space="preserve"/>
            </w:r>
          </w:p>
        </w:tc>
      </w:tr>
      <w:tr>
        <w:tc>
          <w:tcPr>
            <w:tcW w:type="dxa" w:w="12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sz w:val="18"/>
                <w:szCs w:val="18"/>
              </w:rPr>
              <w:t xml:space="preserve"/>
            </w:r>
          </w:p>
        </w:tc>
        <w:tc>
          <w:tcPr>
            <w:tcW w:type="dxa" w:w="12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sz w:val="18"/>
                <w:szCs w:val="18"/>
              </w:rPr>
              <w:t xml:space="preserve"/>
            </w:r>
            <w:r>
              <w:rPr>
                <w:sz w:val="18"/>
                <w:szCs w:val="18"/>
              </w:rPr>
              <w:t xml:space="preserve"/>
            </w:r>
          </w:p>
        </w:tc>
        <w:tc>
          <w:tcPr>
            <w:tcW w:type="dxa" w:w="12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sz w:val="18"/>
                <w:szCs w:val="18"/>
              </w:rPr>
              <w:t xml:space="preserve"/>
            </w:r>
          </w:p>
        </w:tc>
        <w:tc>
          <w:tcPr>
            <w:tcW w:type="dxa" w:w="12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sz w:val="18"/>
                <w:szCs w:val="18"/>
              </w:rPr>
              <w:t xml:space="preserve"/>
            </w:r>
          </w:p>
        </w:tc>
        <w:tc>
          <w:tcPr>
            <w:tcW w:type="dxa" w:w="12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sz w:val="18"/>
                <w:szCs w:val="18"/>
              </w:rPr>
              <w:t xml:space="preserve"/>
            </w:r>
          </w:p>
        </w:tc>
        <w:tc>
          <w:tcPr>
            <w:tcW w:type="dxa" w:w="12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sz w:val="18"/>
                <w:szCs w:val="18"/>
              </w:rPr>
              <w:t xml:space="preserve"/>
            </w:r>
          </w:p>
        </w:tc>
        <w:tc>
          <w:tcPr>
            <w:tcW w:type="dxa" w:w="12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sz w:val="18"/>
                <w:szCs w:val="18"/>
              </w:rPr>
              <w:t xml:space="preserve"/>
            </w:r>
          </w:p>
        </w:tc>
        <w:tc>
          <w:tcPr>
            <w:tcW w:type="dxa" w:w="12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sz w:val="18"/>
                <w:szCs w:val="18"/>
              </w:rPr>
              <w:t xml:space="preserve"/>
            </w:r>
          </w:p>
        </w:tc>
      </w:tr>
      <w:tr>
        <w:tc>
          <w:tcPr>
            <w:tcW w:type="dxa" w:w="12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sz w:val="18"/>
                <w:szCs w:val="18"/>
              </w:rPr>
              <w:t xml:space="preserve"/>
            </w:r>
          </w:p>
        </w:tc>
        <w:tc>
          <w:tcPr>
            <w:tcW w:type="dxa" w:w="12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sz w:val="18"/>
                <w:szCs w:val="18"/>
              </w:rPr>
              <w:t xml:space="preserve"/>
            </w:r>
          </w:p>
        </w:tc>
        <w:tc>
          <w:tcPr>
            <w:tcW w:type="dxa" w:w="12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sz w:val="18"/>
                <w:szCs w:val="18"/>
              </w:rPr>
              <w:t xml:space="preserve"/>
            </w:r>
          </w:p>
        </w:tc>
        <w:tc>
          <w:tcPr>
            <w:tcW w:type="dxa" w:w="12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sz w:val="18"/>
                <w:szCs w:val="18"/>
              </w:rPr>
              <w:t xml:space="preserve"/>
            </w:r>
          </w:p>
        </w:tc>
        <w:tc>
          <w:tcPr>
            <w:tcW w:type="dxa" w:w="12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sz w:val="18"/>
                <w:szCs w:val="18"/>
              </w:rPr>
              <w:t xml:space="preserve"/>
            </w:r>
          </w:p>
        </w:tc>
        <w:tc>
          <w:tcPr>
            <w:tcW w:type="dxa" w:w="12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sz w:val="18"/>
                <w:szCs w:val="18"/>
              </w:rPr>
              <w:t xml:space="preserve"/>
            </w:r>
          </w:p>
        </w:tc>
        <w:tc>
          <w:tcPr>
            <w:tcW w:type="dxa" w:w="12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sz w:val="18"/>
                <w:szCs w:val="18"/>
              </w:rPr>
              <w:t xml:space="preserve"/>
            </w:r>
          </w:p>
        </w:tc>
        <w:tc>
          <w:tcPr>
            <w:tcW w:type="dxa" w:w="12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sz w:val="18"/>
                <w:szCs w:val="18"/>
              </w:rPr>
              <w:t xml:space="preserve"/>
            </w:r>
          </w:p>
        </w:tc>
      </w:tr>
    </w:tbl>
    <w:p/>
    <w:p>
      <w:pPr>
        <w:pBdr>
          <w:bottom w:val="single" w:color="999999" w:sz="6" w:space="4"/>
        </w:pBdr>
      </w:pPr>
    </w:p>
    <w:p>
      <w:pPr>
        <w:pStyle w:val="Heading2"/>
      </w:pPr>
      <w:r>
        <w:t xml:space="preserve">4. The Church of the East under Sasanian Persia</w:t>
      </w:r>
    </w:p>
    <w:p>
      <w:pPr>
        <w:pStyle w:val="Heading3"/>
      </w:pPr>
      <w:r>
        <w:t xml:space="preserve">4.0 Provisional boundary</w:t>
      </w:r>
    </w:p>
    <w:p>
      <w:pPr>
        <w:spacing w:after="160"/>
      </w:pPr>
      <w:r>
        <w:t xml:space="preserve">c. 224 through 424 CE, formation continuing through 451/461. Sasanian Persia, centered on Seleucia-Ctesiphon. Step 0 Item 4 flagged the earliest period as thin and substantially retrojected from later sources, with real discipline required not to read the later "Nestorian" identity backward.</w:t>
      </w:r>
    </w:p>
    <w:p>
      <w:pPr>
        <w:pStyle w:val="Heading3"/>
      </w:pPr>
      <w:r>
        <w:t xml:space="preserve">4.1 Source Ecology</w:t>
      </w:r>
    </w:p>
    <w:p>
      <w:pPr>
        <w:spacing w:after="160"/>
      </w:pPr>
      <w:r>
        <w:rPr>
          <w:b/>
          <w:bCs/>
        </w:rPr>
        <w:t xml:space="preserve">Primary voices.</w:t>
      </w:r>
      <w:r>
        <w:t xml:space="preserve"> The Acts of the Synod of Seleucia-Ctesiphon (410) and subsequent synods (Synod of 420, 424), collected in the </w:t>
      </w:r>
      <w:r>
        <w:rPr>
          <w:i/>
          <w:iCs/>
        </w:rPr>
        <w:t xml:space="preserve">Synodicon Orientale</w:t>
      </w:r>
      <w:r>
        <w:t xml:space="preserve">. Aphrahat's </w:t>
      </w:r>
      <w:r>
        <w:rPr>
          <w:i/>
          <w:iCs/>
        </w:rPr>
        <w:t xml:space="preserve">Demonstrations</w:t>
      </w:r>
      <w:r>
        <w:t xml:space="preserve"> (c. 337–345). The </w:t>
      </w:r>
      <w:r>
        <w:rPr>
          <w:i/>
          <w:iCs/>
        </w:rPr>
        <w:t xml:space="preserve">Acts of the Persian Martyrs</w:t>
      </w:r>
      <w:r>
        <w:t xml:space="preserve"> (collected and edited by Paul Bedjan in the modern period from earlier Syriac hagiographic material).</w:t>
      </w:r>
    </w:p>
    <w:p>
      <w:pPr>
        <w:spacing w:after="160"/>
      </w:pPr>
      <w:r>
        <w:rPr>
          <w:b/>
          <w:bCs/>
        </w:rPr>
        <w:t xml:space="preserve">Secondary (ancient) voices.</w:t>
      </w:r>
      <w:r>
        <w:t xml:space="preserve"> Later East Syriac chroniclers (writing well after this window's close) retroject an ecclesiastical continuity narrative back onto the 3rd-century origins; this retrojection is precisely the risk Step 0 already flagged and is confirmed, not newly discovered, here.</w:t>
      </w:r>
    </w:p>
    <w:p>
      <w:pPr>
        <w:spacing w:after="160"/>
      </w:pPr>
      <w:r>
        <w:rPr>
          <w:b/>
          <w:bCs/>
        </w:rPr>
        <w:t xml:space="preserve">Institutional sources.</w:t>
      </w:r>
      <w:r>
        <w:t xml:space="preserve"> The 410 Synod is the strongest institutional anchor in this entire ecology. </w:t>
      </w:r>
      <w:r>
        <w:rPr>
          <w:b/>
          <w:bCs/>
        </w:rPr>
        <w:t xml:space="preserve">Verified this session:</w:t>
      </w:r>
      <w:r>
        <w:t xml:space="preserve"> convened under Mar Isaac as bishop of Seleucia-Ctesiphon, called by King Yazdegerd I, explicitly adopting the Nicene Creed and organizing the Sasanian church under Isaac as "Catholicos" — a genuinely well-documented constitutive institutional moment, among the clearest of any candidate in this survey. One specific nuance surfaced this session and not previously flagged in Step 0: the Creed's text is preserved in two different manuscript recensions, and at least one West Syriac-influenced recension's language has been read by some as implying a double-procession (Filioque-adjacent) sense for the Spirit's origin — a live, narrow scholarly question about manuscript recension rather than about the Synod's own intended confession, and one that bears directly on this project's own doctrinal-floor test (which is keyed to a specific, Filioque-free 1988 ELLC text). This should be tracked as an open item for Section A re-confirmation if this candidate advances, not silently assumed resolved.</w:t>
      </w:r>
    </w:p>
    <w:p>
      <w:pPr>
        <w:spacing w:after="160"/>
      </w:pPr>
      <w:r>
        <w:rPr>
          <w:b/>
          <w:bCs/>
        </w:rPr>
        <w:t xml:space="preserve">Liturgical sources.</w:t>
      </w:r>
      <w:r>
        <w:t xml:space="preserve"> The East Syriac liturgical tradition's formative period falls substantially within this window, though the fullest surviving liturgical texts (the Anaphora of Addai and Mari in its developed form) are difficult to date precisely to this specific window versus somewhat later stabilization.</w:t>
      </w:r>
    </w:p>
    <w:p>
      <w:pPr>
        <w:spacing w:after="160"/>
      </w:pPr>
      <w:r>
        <w:rPr>
          <w:b/>
          <w:bCs/>
        </w:rPr>
        <w:t xml:space="preserve">Material evidence.</w:t>
      </w:r>
      <w:r>
        <w:t xml:space="preserve"> Comparatively thin in the specifically Persian/Sasanian-church context relative to the Roman-Mediterranean candidates in this survey; the </w:t>
      </w:r>
      <w:r>
        <w:rPr>
          <w:i/>
          <w:iCs/>
        </w:rPr>
        <w:t xml:space="preserve">Acts of the Persian Martyrs</w:t>
      </w:r>
      <w:r>
        <w:t xml:space="preserve">' geography (naming specific cities and administrative contexts) provides indirect material-social detail (Sasanian administrative structure, Zoroastrian religious establishment) more than direct archaeological data on Christian communities specifically.</w:t>
      </w:r>
    </w:p>
    <w:p>
      <w:pPr>
        <w:spacing w:after="160"/>
      </w:pPr>
      <w:r>
        <w:rPr>
          <w:b/>
          <w:bCs/>
        </w:rPr>
        <w:t xml:space="preserve">Ordinary-participant evidence.</w:t>
      </w:r>
      <w:r>
        <w:t xml:space="preserve"> The </w:t>
      </w:r>
      <w:r>
        <w:rPr>
          <w:i/>
          <w:iCs/>
        </w:rPr>
        <w:t xml:space="preserve">Acts of the Persian Martyrs</w:t>
      </w:r>
      <w:r>
        <w:t xml:space="preserve"> portray named lay believers under interrogation and execution, but as third-person hagiographic portrayal rather than lay self-testimony — structurally identical to the Donatist and desert-monastic pattern of mediated, not direct, ordinary-voice access.</w:t>
      </w:r>
    </w:p>
    <w:p>
      <w:pPr>
        <w:spacing w:after="160"/>
      </w:pPr>
      <w:r>
        <w:rPr>
          <w:b/>
          <w:bCs/>
        </w:rPr>
        <w:t xml:space="preserve">Author Gravity Assessment.</w:t>
      </w:r>
    </w:p>
    <w:p>
      <w:pPr>
        <w:ind w:left="360"/>
      </w:pPr>
      <w:r>
        <w:t xml:space="preserve">•  </w:t>
      </w:r>
      <w:r>
        <w:rPr>
          <w:i/>
          <w:iCs/>
        </w:rPr>
        <w:t xml:space="preserve">Aphrahat.</w:t>
      </w:r>
      <w:r>
        <w:t xml:space="preserve"> Visibility: the richest first-person theological voice in this whole ecology. Representativeness: writing from within the Sasanian church but in a distinctively Semitic idiom and exegetical mode very different from the Greek/Latin theological registers dominant elsewhere in this survey — a genuine and valuable differentiator. Influence: foundational for East Syriac theological style. Limitations: Aphrahat alone cannot represent the whole ecclesial and lay experience of this church; he is effectively the entire "intellectual voice" lens by himself. Transmission history: reasonably direct Syriac manuscript tradition.</w:t>
      </w:r>
    </w:p>
    <w:p>
      <w:pPr>
        <w:ind w:left="360"/>
      </w:pPr>
      <w:r>
        <w:t xml:space="preserve">•  </w:t>
      </w:r>
      <w:r>
        <w:rPr>
          <w:i/>
          <w:iCs/>
        </w:rPr>
        <w:t xml:space="preserve">The Synod Acts (410, 420, 424).</w:t>
      </w:r>
      <w:r>
        <w:t xml:space="preserve"> Visibility: high, and — unusually for this survey — genuinely collective/institutional rather than single-authored, naming many bishops. Representativeness: an episcopal-governance-level record, silent on lay or lower-clergy experience. Limitations: says little about ordinary belief or practice. Transmission history: preserved via the </w:t>
      </w:r>
      <w:r>
        <w:rPr>
          <w:i/>
          <w:iCs/>
        </w:rPr>
        <w:t xml:space="preserve">Synodicon Orientale</w:t>
      </w:r>
      <w:r>
        <w:t xml:space="preserve">'s later compilation — the acts themselves are early, but their preservation as a collected corpus is a later editorial act whose own history is not fully independent of later East Syriac institutional self-understanding.</w:t>
      </w:r>
    </w:p>
    <w:p>
      <w:pPr>
        <w:ind w:left="360"/>
      </w:pPr>
      <w:r>
        <w:t xml:space="preserve">•  </w:t>
      </w:r>
      <w:r>
        <w:rPr>
          <w:i/>
          <w:iCs/>
        </w:rPr>
        <w:t xml:space="preserve">Acts of the Persian Martyrs.</w:t>
      </w:r>
      <w:r>
        <w:t xml:space="preserve"> Visibility: moderate. Representativeness: martyrological genre convention shapes portrayal of lay figures under persecution. Limitations: composed and compiled across a long period, with genuine dating uncertainty for individual acts. Transmission history: the Bedjan collection is a modern (19th-century) scholarly compilation from manuscripts of varying date and reliability — itself a layer of editorial mediation worth naming.</w:t>
      </w:r>
    </w:p>
    <w:p>
      <w:pPr>
        <w:spacing w:after="160"/>
      </w:pPr>
      <w:r>
        <w:rPr>
          <w:b/>
          <w:bCs/>
        </w:rPr>
        <w:t xml:space="preserve">Secondary Scholarship Assessment.</w:t>
      </w:r>
      <w:r>
        <w:t xml:space="preserve"> Sebastian Brock, </w:t>
      </w:r>
      <w:r>
        <w:rPr>
          <w:i/>
          <w:iCs/>
        </w:rPr>
        <w:t xml:space="preserve">The Hidden Pearl</w:t>
      </w:r>
      <w:r>
        <w:t xml:space="preserve">, as the standard accessible synthesis and a major corrective voice against Roman/Byzantine-centered historiography. Christoph Baumer, </w:t>
      </w:r>
      <w:r>
        <w:rPr>
          <w:i/>
          <w:iCs/>
        </w:rPr>
        <w:t xml:space="preserve">The Church of the East</w:t>
      </w:r>
      <w:r>
        <w:t xml:space="preserve">. Wilhelm Baum and Dietmar Winkler, </w:t>
      </w:r>
      <w:r>
        <w:rPr>
          <w:i/>
          <w:iCs/>
        </w:rPr>
        <w:t xml:space="preserve">The Church of the East: A Concise History</w:t>
      </w:r>
      <w:r>
        <w:t xml:space="preserve">, explicit on the "Nestorian" label's inaccuracy and pejorative history for this period specifically. Richard Payne, </w:t>
      </w:r>
      <w:r>
        <w:rPr>
          <w:i/>
          <w:iCs/>
        </w:rPr>
        <w:t xml:space="preserve">A State of Mixture</w:t>
      </w:r>
      <w:r>
        <w:t xml:space="preserve">, for the Sasanian imperial-religious context within which this church operated (a genuinely different formation logic — persecution by a non-Christian empire that never converts — than every Roman-context candidate in this survey).</w:t>
      </w:r>
    </w:p>
    <w:p>
      <w:pPr>
        <w:spacing w:after="160"/>
      </w:pPr>
      <w:r>
        <w:rPr>
          <w:b/>
          <w:bCs/>
        </w:rPr>
        <w:t xml:space="preserve">Formation Narrative Sources.</w:t>
      </w:r>
      <w:r>
        <w:t xml:space="preserve"> The </w:t>
      </w:r>
      <w:r>
        <w:rPr>
          <w:i/>
          <w:iCs/>
        </w:rPr>
        <w:t xml:space="preserve">Acts of the Persian Martyrs</w:t>
      </w:r>
      <w:r>
        <w:t xml:space="preserve"> are Tier 1–3 mixed: some individual acts closer to Documented Historical Narrative where near-contemporary and specific; others shaped heavily by hagiographic convention and better classified Tier 3.</w:t>
      </w:r>
    </w:p>
    <w:p>
      <w:pPr>
        <w:spacing w:after="160"/>
      </w:pPr>
      <w:r>
        <w:rPr>
          <w:b/>
          <w:bCs/>
        </w:rPr>
        <w:t xml:space="preserve">Material Culture and Daily Life Sources.</w:t>
      </w:r>
      <w:r>
        <w:t xml:space="preserve"> Genuinely thinner than most other candidates in this survey; the strongest available social-historical background comes from Payne's work on the Sasanian administrative and religious environment (Zoroastrian establishment, the </w:t>
      </w:r>
      <w:r>
        <w:rPr>
          <w:i/>
          <w:iCs/>
        </w:rPr>
        <w:t xml:space="preserve">marzban</w:t>
      </w:r>
      <w:r>
        <w:t xml:space="preserve"> system) rather than from Christian-community-specific archaeology.</w:t>
      </w:r>
    </w:p>
    <w:p>
      <w:pPr>
        <w:spacing w:after="160"/>
      </w:pPr>
      <w:r>
        <w:rPr>
          <w:b/>
          <w:bCs/>
        </w:rPr>
        <w:t xml:space="preserve">Source Asymmetry and Missing Voices — Affirmative Duty (Article 20).</w:t>
      </w:r>
      <w:r>
        <w:t xml:space="preserve"> Named specifically: ordinary East Syriac lay believers' own account of what it meant to hold a minority faith within a Zoroastrian state religion — this is known almost entirely through the frame of martyrdom-under-persecution (a crisis register) rather than through any account of ordinary, non-crisis daily religious life, which the extant sources are nearly silent on. Why suppressed: the surviving genre itself (synodal acts and martyr-acts) selects for institutional and crisis moments; a Persian Christian villager's ordinary Tuesday is not the kind of event either genre had reason to record.</w:t>
      </w:r>
    </w:p>
    <w:p>
      <w:pPr>
        <w:spacing w:after="160"/>
      </w:pPr>
      <w:r>
        <w:rPr>
          <w:b/>
          <w:bCs/>
        </w:rPr>
        <w:t xml:space="preserve">Forces lens.</w:t>
      </w:r>
      <w:r>
        <w:t xml:space="preserve"> The sources speak with unusual directness to one specific external/ongoing force: sustained pressure from a non-Christian imperial religious establishment that, unlike the Roman case, never converts within or beyond this window — genuinely different formation logic, as Step 0 already noted. Survivorship pattern: the fact that institutional/synodal material survives so much better than lay-experience material suggests the church's own self-preservation instinct under real external threat prioritized documenting its own constitutional legitimacy (autocephaly, creedal orthodoxy) over documenting ordinary communal life — an institutional-survival logic under duress.</w:t>
      </w:r>
    </w:p>
    <w:p>
      <w:pPr>
        <w:spacing w:after="160"/>
      </w:pPr>
      <w:r>
        <w:rPr>
          <w:b/>
          <w:bCs/>
        </w:rPr>
        <w:t xml:space="preserve">Confidence-level summary.</w:t>
      </w:r>
      <w:r>
        <w:t xml:space="preserve"> The 410 Synod's occurrence, its Nicene-adoption content, and Isaac's "Catholicos" title: Documented. The earlier, pre-410 formation period (from c. 224): Inferential-Thin, substantially retrojected, exactly as Step 0 flagged. Aphrahat's authorship and dating: Widely Accepted. The Persian Martyr Acts' historical reliability: varies act by act, Contested to Inferential-Thin as a class.</w:t>
      </w:r>
    </w:p>
    <w:p>
      <w:pPr>
        <w:spacing w:after="160"/>
      </w:pPr>
      <w:r>
        <w:rPr>
          <w:b/>
          <w:bCs/>
        </w:rPr>
        <w:t xml:space="preserve">Correction against Step 0's own impression:</w:t>
      </w:r>
      <w:r>
        <w:t xml:space="preserve"> essentially confirmed as drafted, with one genuine new item surfaced — the Filioque-adjacent manuscript-recension nuance in the 410 Creed text, which was not previously flagged and should be carried forward as an open Section A re-confirmation item if this candidate advances.</w:t>
      </w:r>
    </w:p>
    <w:p>
      <w:pPr>
        <w:pStyle w:val="Heading3"/>
      </w:pPr>
      <w:r>
        <w:t xml:space="preserve">4.2 Source Registry — The Church of the East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60"/>
        <w:gridCol w:w="1260"/>
        <w:gridCol w:w="1260"/>
        <w:gridCol w:w="1260"/>
        <w:gridCol w:w="1260"/>
        <w:gridCol w:w="1260"/>
        <w:gridCol w:w="1260"/>
        <w:gridCol w:w="1260"/>
      </w:tblGrid>
      <w:tr>
        <w:trPr>
          <w:tblHeader/>
        </w:trPr>
        <w:tc>
          <w:tcPr>
            <w:tcW w:type="dxa" w:w="1260"/>
            <w:tcBorders>
              <w:top w:val="single" w:color="BFBFBF" w:sz="2"/>
              <w:left w:val="single" w:color="BFBFBF" w:sz="2"/>
              <w:bottom w:val="single" w:color="BFBFBF" w:sz="2"/>
              <w:right w:val="single" w:color="BFBFBF" w:sz="2"/>
            </w:tcBorders>
            <w:shd w:fill="D9E2F3" w:val="clear"/>
            <w:tcMar>
              <w:top w:type="dxa" w:w="60"/>
              <w:left w:type="dxa" w:w="100"/>
              <w:bottom w:type="dxa" w:w="60"/>
              <w:right w:type="dxa" w:w="100"/>
            </w:tcMar>
          </w:tcPr>
          <w:p>
            <w:r>
              <w:rPr>
                <w:b/>
                <w:bCs/>
                <w:sz w:val="18"/>
                <w:szCs w:val="18"/>
              </w:rPr>
              <w:t xml:space="preserve">#</w:t>
            </w:r>
          </w:p>
        </w:tc>
        <w:tc>
          <w:tcPr>
            <w:tcW w:type="dxa" w:w="1260"/>
            <w:tcBorders>
              <w:top w:val="single" w:color="BFBFBF" w:sz="2"/>
              <w:left w:val="single" w:color="BFBFBF" w:sz="2"/>
              <w:bottom w:val="single" w:color="BFBFBF" w:sz="2"/>
              <w:right w:val="single" w:color="BFBFBF" w:sz="2"/>
            </w:tcBorders>
            <w:shd w:fill="D9E2F3" w:val="clear"/>
            <w:tcMar>
              <w:top w:type="dxa" w:w="60"/>
              <w:left w:type="dxa" w:w="100"/>
              <w:bottom w:type="dxa" w:w="60"/>
              <w:right w:type="dxa" w:w="100"/>
            </w:tcMar>
          </w:tcPr>
          <w:p>
            <w:r>
              <w:rPr>
                <w:b/>
                <w:bCs/>
                <w:sz w:val="18"/>
                <w:szCs w:val="18"/>
              </w:rPr>
              <w:t xml:space="preserve">Source</w:t>
            </w:r>
          </w:p>
        </w:tc>
        <w:tc>
          <w:tcPr>
            <w:tcW w:type="dxa" w:w="1260"/>
            <w:tcBorders>
              <w:top w:val="single" w:color="BFBFBF" w:sz="2"/>
              <w:left w:val="single" w:color="BFBFBF" w:sz="2"/>
              <w:bottom w:val="single" w:color="BFBFBF" w:sz="2"/>
              <w:right w:val="single" w:color="BFBFBF" w:sz="2"/>
            </w:tcBorders>
            <w:shd w:fill="D9E2F3" w:val="clear"/>
            <w:tcMar>
              <w:top w:type="dxa" w:w="60"/>
              <w:left w:type="dxa" w:w="100"/>
              <w:bottom w:type="dxa" w:w="60"/>
              <w:right w:type="dxa" w:w="100"/>
            </w:tcMar>
          </w:tcPr>
          <w:p>
            <w:r>
              <w:rPr>
                <w:b/>
                <w:bCs/>
                <w:sz w:val="18"/>
                <w:szCs w:val="18"/>
              </w:rPr>
              <w:t xml:space="preserve">Type</w:t>
            </w:r>
          </w:p>
        </w:tc>
        <w:tc>
          <w:tcPr>
            <w:tcW w:type="dxa" w:w="1260"/>
            <w:tcBorders>
              <w:top w:val="single" w:color="BFBFBF" w:sz="2"/>
              <w:left w:val="single" w:color="BFBFBF" w:sz="2"/>
              <w:bottom w:val="single" w:color="BFBFBF" w:sz="2"/>
              <w:right w:val="single" w:color="BFBFBF" w:sz="2"/>
            </w:tcBorders>
            <w:shd w:fill="D9E2F3" w:val="clear"/>
            <w:tcMar>
              <w:top w:type="dxa" w:w="60"/>
              <w:left w:type="dxa" w:w="100"/>
              <w:bottom w:type="dxa" w:w="60"/>
              <w:right w:type="dxa" w:w="100"/>
            </w:tcMar>
          </w:tcPr>
          <w:p>
            <w:r>
              <w:rPr>
                <w:b/>
                <w:bCs/>
                <w:sz w:val="18"/>
                <w:szCs w:val="18"/>
              </w:rPr>
              <w:t xml:space="preserve">Confidence</w:t>
            </w:r>
          </w:p>
        </w:tc>
        <w:tc>
          <w:tcPr>
            <w:tcW w:type="dxa" w:w="1260"/>
            <w:tcBorders>
              <w:top w:val="single" w:color="BFBFBF" w:sz="2"/>
              <w:left w:val="single" w:color="BFBFBF" w:sz="2"/>
              <w:bottom w:val="single" w:color="BFBFBF" w:sz="2"/>
              <w:right w:val="single" w:color="BFBFBF" w:sz="2"/>
            </w:tcBorders>
            <w:shd w:fill="D9E2F3" w:val="clear"/>
            <w:tcMar>
              <w:top w:type="dxa" w:w="60"/>
              <w:left w:type="dxa" w:w="100"/>
              <w:bottom w:type="dxa" w:w="60"/>
              <w:right w:type="dxa" w:w="100"/>
            </w:tcMar>
          </w:tcPr>
          <w:p>
            <w:r>
              <w:rPr>
                <w:b/>
                <w:bCs/>
                <w:sz w:val="18"/>
                <w:szCs w:val="18"/>
              </w:rPr>
              <w:t xml:space="preserve">Boundary</w:t>
            </w:r>
          </w:p>
        </w:tc>
        <w:tc>
          <w:tcPr>
            <w:tcW w:type="dxa" w:w="1260"/>
            <w:tcBorders>
              <w:top w:val="single" w:color="BFBFBF" w:sz="2"/>
              <w:left w:val="single" w:color="BFBFBF" w:sz="2"/>
              <w:bottom w:val="single" w:color="BFBFBF" w:sz="2"/>
              <w:right w:val="single" w:color="BFBFBF" w:sz="2"/>
            </w:tcBorders>
            <w:shd w:fill="D9E2F3" w:val="clear"/>
            <w:tcMar>
              <w:top w:type="dxa" w:w="60"/>
              <w:left w:type="dxa" w:w="100"/>
              <w:bottom w:type="dxa" w:w="60"/>
              <w:right w:type="dxa" w:w="100"/>
            </w:tcMar>
          </w:tcPr>
          <w:p>
            <w:r>
              <w:rPr>
                <w:b/>
                <w:bCs/>
                <w:sz w:val="18"/>
                <w:szCs w:val="18"/>
              </w:rPr>
              <w:t xml:space="preserve">Exclusion Reason</w:t>
            </w:r>
          </w:p>
        </w:tc>
        <w:tc>
          <w:tcPr>
            <w:tcW w:type="dxa" w:w="1260"/>
            <w:tcBorders>
              <w:top w:val="single" w:color="BFBFBF" w:sz="2"/>
              <w:left w:val="single" w:color="BFBFBF" w:sz="2"/>
              <w:bottom w:val="single" w:color="BFBFBF" w:sz="2"/>
              <w:right w:val="single" w:color="BFBFBF" w:sz="2"/>
            </w:tcBorders>
            <w:shd w:fill="D9E2F3" w:val="clear"/>
            <w:tcMar>
              <w:top w:type="dxa" w:w="60"/>
              <w:left w:type="dxa" w:w="100"/>
              <w:bottom w:type="dxa" w:w="60"/>
              <w:right w:type="dxa" w:w="100"/>
            </w:tcMar>
          </w:tcPr>
          <w:p>
            <w:r>
              <w:rPr>
                <w:b/>
                <w:bCs/>
                <w:sz w:val="18"/>
                <w:szCs w:val="18"/>
              </w:rPr>
              <w:t xml:space="preserve">Licensed For</w:t>
            </w:r>
          </w:p>
        </w:tc>
        <w:tc>
          <w:tcPr>
            <w:tcW w:type="dxa" w:w="1260"/>
            <w:tcBorders>
              <w:top w:val="single" w:color="BFBFBF" w:sz="2"/>
              <w:left w:val="single" w:color="BFBFBF" w:sz="2"/>
              <w:bottom w:val="single" w:color="BFBFBF" w:sz="2"/>
              <w:right w:val="single" w:color="BFBFBF" w:sz="2"/>
            </w:tcBorders>
            <w:shd w:fill="D9E2F3" w:val="clear"/>
            <w:tcMar>
              <w:top w:type="dxa" w:w="60"/>
              <w:left w:type="dxa" w:w="100"/>
              <w:bottom w:type="dxa" w:w="60"/>
              <w:right w:type="dxa" w:w="100"/>
            </w:tcMar>
          </w:tcPr>
          <w:p>
            <w:r>
              <w:rPr>
                <w:b/>
                <w:bCs/>
                <w:sz w:val="18"/>
                <w:szCs w:val="18"/>
              </w:rPr>
              <w:t xml:space="preserve">Verification Note</w:t>
            </w:r>
          </w:p>
        </w:tc>
      </w:tr>
      <w:tr>
        <w:tc>
          <w:tcPr>
            <w:tcW w:type="dxa" w:w="12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sz w:val="18"/>
                <w:szCs w:val="18"/>
              </w:rPr>
              <w:t xml:space="preserve"/>
            </w:r>
          </w:p>
        </w:tc>
        <w:tc>
          <w:tcPr>
            <w:tcW w:type="dxa" w:w="12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sz w:val="18"/>
                <w:szCs w:val="18"/>
              </w:rPr>
              <w:t xml:space="preserve"/>
            </w:r>
          </w:p>
        </w:tc>
        <w:tc>
          <w:tcPr>
            <w:tcW w:type="dxa" w:w="12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sz w:val="18"/>
                <w:szCs w:val="18"/>
              </w:rPr>
              <w:t xml:space="preserve"/>
            </w:r>
          </w:p>
        </w:tc>
        <w:tc>
          <w:tcPr>
            <w:tcW w:type="dxa" w:w="12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sz w:val="18"/>
                <w:szCs w:val="18"/>
              </w:rPr>
              <w:t xml:space="preserve"/>
            </w:r>
          </w:p>
        </w:tc>
        <w:tc>
          <w:tcPr>
            <w:tcW w:type="dxa" w:w="12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sz w:val="18"/>
                <w:szCs w:val="18"/>
              </w:rPr>
              <w:t xml:space="preserve"/>
            </w:r>
          </w:p>
        </w:tc>
        <w:tc>
          <w:tcPr>
            <w:tcW w:type="dxa" w:w="12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sz w:val="18"/>
                <w:szCs w:val="18"/>
              </w:rPr>
              <w:t xml:space="preserve"/>
            </w:r>
          </w:p>
        </w:tc>
        <w:tc>
          <w:tcPr>
            <w:tcW w:type="dxa" w:w="12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sz w:val="18"/>
                <w:szCs w:val="18"/>
              </w:rPr>
              <w:t xml:space="preserve"/>
            </w:r>
          </w:p>
        </w:tc>
        <w:tc>
          <w:tcPr>
            <w:tcW w:type="dxa" w:w="12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sz w:val="18"/>
                <w:szCs w:val="18"/>
              </w:rPr>
              <w:t xml:space="preserve"/>
            </w:r>
          </w:p>
        </w:tc>
      </w:tr>
      <w:tr>
        <w:tc>
          <w:tcPr>
            <w:tcW w:type="dxa" w:w="12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sz w:val="18"/>
                <w:szCs w:val="18"/>
              </w:rPr>
              <w:t xml:space="preserve"/>
            </w:r>
          </w:p>
        </w:tc>
        <w:tc>
          <w:tcPr>
            <w:tcW w:type="dxa" w:w="12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sz w:val="18"/>
                <w:szCs w:val="18"/>
              </w:rPr>
              <w:t xml:space="preserve"/>
            </w:r>
          </w:p>
        </w:tc>
        <w:tc>
          <w:tcPr>
            <w:tcW w:type="dxa" w:w="12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sz w:val="18"/>
                <w:szCs w:val="18"/>
              </w:rPr>
              <w:t xml:space="preserve"/>
            </w:r>
          </w:p>
        </w:tc>
        <w:tc>
          <w:tcPr>
            <w:tcW w:type="dxa" w:w="12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sz w:val="18"/>
                <w:szCs w:val="18"/>
              </w:rPr>
              <w:t xml:space="preserve"/>
            </w:r>
          </w:p>
        </w:tc>
        <w:tc>
          <w:tcPr>
            <w:tcW w:type="dxa" w:w="12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sz w:val="18"/>
                <w:szCs w:val="18"/>
              </w:rPr>
              <w:t xml:space="preserve"/>
            </w:r>
          </w:p>
        </w:tc>
        <w:tc>
          <w:tcPr>
            <w:tcW w:type="dxa" w:w="12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sz w:val="18"/>
                <w:szCs w:val="18"/>
              </w:rPr>
              <w:t xml:space="preserve"/>
            </w:r>
          </w:p>
        </w:tc>
        <w:tc>
          <w:tcPr>
            <w:tcW w:type="dxa" w:w="12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sz w:val="18"/>
                <w:szCs w:val="18"/>
              </w:rPr>
              <w:t xml:space="preserve"/>
            </w:r>
          </w:p>
        </w:tc>
        <w:tc>
          <w:tcPr>
            <w:tcW w:type="dxa" w:w="12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sz w:val="18"/>
                <w:szCs w:val="18"/>
              </w:rPr>
              <w:t xml:space="preserve"/>
            </w:r>
          </w:p>
        </w:tc>
      </w:tr>
      <w:tr>
        <w:tc>
          <w:tcPr>
            <w:tcW w:type="dxa" w:w="12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sz w:val="18"/>
                <w:szCs w:val="18"/>
              </w:rPr>
              <w:t xml:space="preserve"/>
            </w:r>
          </w:p>
        </w:tc>
        <w:tc>
          <w:tcPr>
            <w:tcW w:type="dxa" w:w="12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sz w:val="18"/>
                <w:szCs w:val="18"/>
              </w:rPr>
              <w:t xml:space="preserve"/>
            </w:r>
            <w:r>
              <w:rPr>
                <w:sz w:val="18"/>
                <w:szCs w:val="18"/>
              </w:rPr>
              <w:t xml:space="preserve"/>
            </w:r>
          </w:p>
        </w:tc>
        <w:tc>
          <w:tcPr>
            <w:tcW w:type="dxa" w:w="12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sz w:val="18"/>
                <w:szCs w:val="18"/>
              </w:rPr>
              <w:t xml:space="preserve"/>
            </w:r>
          </w:p>
        </w:tc>
        <w:tc>
          <w:tcPr>
            <w:tcW w:type="dxa" w:w="12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sz w:val="18"/>
                <w:szCs w:val="18"/>
              </w:rPr>
              <w:t xml:space="preserve"/>
            </w:r>
          </w:p>
        </w:tc>
        <w:tc>
          <w:tcPr>
            <w:tcW w:type="dxa" w:w="12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sz w:val="18"/>
                <w:szCs w:val="18"/>
              </w:rPr>
              <w:t xml:space="preserve"/>
            </w:r>
          </w:p>
        </w:tc>
        <w:tc>
          <w:tcPr>
            <w:tcW w:type="dxa" w:w="12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sz w:val="18"/>
                <w:szCs w:val="18"/>
              </w:rPr>
              <w:t xml:space="preserve"/>
            </w:r>
          </w:p>
        </w:tc>
        <w:tc>
          <w:tcPr>
            <w:tcW w:type="dxa" w:w="12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sz w:val="18"/>
                <w:szCs w:val="18"/>
              </w:rPr>
              <w:t xml:space="preserve"/>
            </w:r>
          </w:p>
        </w:tc>
        <w:tc>
          <w:tcPr>
            <w:tcW w:type="dxa" w:w="12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sz w:val="18"/>
                <w:szCs w:val="18"/>
              </w:rPr>
              <w:t xml:space="preserve"/>
            </w:r>
          </w:p>
        </w:tc>
      </w:tr>
      <w:tr>
        <w:tc>
          <w:tcPr>
            <w:tcW w:type="dxa" w:w="12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sz w:val="18"/>
                <w:szCs w:val="18"/>
              </w:rPr>
              <w:t xml:space="preserve"/>
            </w:r>
          </w:p>
        </w:tc>
        <w:tc>
          <w:tcPr>
            <w:tcW w:type="dxa" w:w="12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sz w:val="18"/>
                <w:szCs w:val="18"/>
              </w:rPr>
              <w:t xml:space="preserve"/>
            </w:r>
            <w:r>
              <w:rPr>
                <w:sz w:val="18"/>
                <w:szCs w:val="18"/>
              </w:rPr>
              <w:t xml:space="preserve"/>
            </w:r>
          </w:p>
        </w:tc>
        <w:tc>
          <w:tcPr>
            <w:tcW w:type="dxa" w:w="12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sz w:val="18"/>
                <w:szCs w:val="18"/>
              </w:rPr>
              <w:t xml:space="preserve"/>
            </w:r>
          </w:p>
        </w:tc>
        <w:tc>
          <w:tcPr>
            <w:tcW w:type="dxa" w:w="12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sz w:val="18"/>
                <w:szCs w:val="18"/>
              </w:rPr>
              <w:t xml:space="preserve"/>
            </w:r>
          </w:p>
        </w:tc>
        <w:tc>
          <w:tcPr>
            <w:tcW w:type="dxa" w:w="12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sz w:val="18"/>
                <w:szCs w:val="18"/>
              </w:rPr>
              <w:t xml:space="preserve"/>
            </w:r>
          </w:p>
        </w:tc>
        <w:tc>
          <w:tcPr>
            <w:tcW w:type="dxa" w:w="12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sz w:val="18"/>
                <w:szCs w:val="18"/>
              </w:rPr>
              <w:t xml:space="preserve"/>
            </w:r>
          </w:p>
        </w:tc>
        <w:tc>
          <w:tcPr>
            <w:tcW w:type="dxa" w:w="12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sz w:val="18"/>
                <w:szCs w:val="18"/>
              </w:rPr>
              <w:t xml:space="preserve"/>
            </w:r>
          </w:p>
        </w:tc>
        <w:tc>
          <w:tcPr>
            <w:tcW w:type="dxa" w:w="12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sz w:val="18"/>
                <w:szCs w:val="18"/>
              </w:rPr>
              <w:t xml:space="preserve"/>
            </w:r>
          </w:p>
        </w:tc>
      </w:tr>
      <w:tr>
        <w:tc>
          <w:tcPr>
            <w:tcW w:type="dxa" w:w="12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sz w:val="18"/>
                <w:szCs w:val="18"/>
              </w:rPr>
              <w:t xml:space="preserve"/>
            </w:r>
          </w:p>
        </w:tc>
        <w:tc>
          <w:tcPr>
            <w:tcW w:type="dxa" w:w="12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sz w:val="18"/>
                <w:szCs w:val="18"/>
              </w:rPr>
              <w:t xml:space="preserve"/>
            </w:r>
            <w:r>
              <w:rPr>
                <w:sz w:val="18"/>
                <w:szCs w:val="18"/>
              </w:rPr>
              <w:t xml:space="preserve"/>
            </w:r>
          </w:p>
        </w:tc>
        <w:tc>
          <w:tcPr>
            <w:tcW w:type="dxa" w:w="12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sz w:val="18"/>
                <w:szCs w:val="18"/>
              </w:rPr>
              <w:t xml:space="preserve"/>
            </w:r>
          </w:p>
        </w:tc>
        <w:tc>
          <w:tcPr>
            <w:tcW w:type="dxa" w:w="12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sz w:val="18"/>
                <w:szCs w:val="18"/>
              </w:rPr>
              <w:t xml:space="preserve"/>
            </w:r>
          </w:p>
        </w:tc>
        <w:tc>
          <w:tcPr>
            <w:tcW w:type="dxa" w:w="12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sz w:val="18"/>
                <w:szCs w:val="18"/>
              </w:rPr>
              <w:t xml:space="preserve"/>
            </w:r>
          </w:p>
        </w:tc>
        <w:tc>
          <w:tcPr>
            <w:tcW w:type="dxa" w:w="12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sz w:val="18"/>
                <w:szCs w:val="18"/>
              </w:rPr>
              <w:t xml:space="preserve"/>
            </w:r>
          </w:p>
        </w:tc>
        <w:tc>
          <w:tcPr>
            <w:tcW w:type="dxa" w:w="12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sz w:val="18"/>
                <w:szCs w:val="18"/>
              </w:rPr>
              <w:t xml:space="preserve"/>
            </w:r>
          </w:p>
        </w:tc>
        <w:tc>
          <w:tcPr>
            <w:tcW w:type="dxa" w:w="12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sz w:val="18"/>
                <w:szCs w:val="18"/>
              </w:rPr>
              <w:t xml:space="preserve"/>
            </w:r>
          </w:p>
        </w:tc>
      </w:tr>
      <w:tr>
        <w:tc>
          <w:tcPr>
            <w:tcW w:type="dxa" w:w="12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sz w:val="18"/>
                <w:szCs w:val="18"/>
              </w:rPr>
              <w:t xml:space="preserve"/>
            </w:r>
          </w:p>
        </w:tc>
        <w:tc>
          <w:tcPr>
            <w:tcW w:type="dxa" w:w="12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sz w:val="18"/>
                <w:szCs w:val="18"/>
              </w:rPr>
              <w:t xml:space="preserve"/>
            </w:r>
            <w:r>
              <w:rPr>
                <w:sz w:val="18"/>
                <w:szCs w:val="18"/>
              </w:rPr>
              <w:t xml:space="preserve"/>
            </w:r>
          </w:p>
        </w:tc>
        <w:tc>
          <w:tcPr>
            <w:tcW w:type="dxa" w:w="12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sz w:val="18"/>
                <w:szCs w:val="18"/>
              </w:rPr>
              <w:t xml:space="preserve"/>
            </w:r>
          </w:p>
        </w:tc>
        <w:tc>
          <w:tcPr>
            <w:tcW w:type="dxa" w:w="12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sz w:val="18"/>
                <w:szCs w:val="18"/>
              </w:rPr>
              <w:t xml:space="preserve"/>
            </w:r>
          </w:p>
        </w:tc>
        <w:tc>
          <w:tcPr>
            <w:tcW w:type="dxa" w:w="12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sz w:val="18"/>
                <w:szCs w:val="18"/>
              </w:rPr>
              <w:t xml:space="preserve"/>
            </w:r>
          </w:p>
        </w:tc>
        <w:tc>
          <w:tcPr>
            <w:tcW w:type="dxa" w:w="12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sz w:val="18"/>
                <w:szCs w:val="18"/>
              </w:rPr>
              <w:t xml:space="preserve"/>
            </w:r>
          </w:p>
        </w:tc>
        <w:tc>
          <w:tcPr>
            <w:tcW w:type="dxa" w:w="12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sz w:val="18"/>
                <w:szCs w:val="18"/>
              </w:rPr>
              <w:t xml:space="preserve"/>
            </w:r>
          </w:p>
        </w:tc>
        <w:tc>
          <w:tcPr>
            <w:tcW w:type="dxa" w:w="12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sz w:val="18"/>
                <w:szCs w:val="18"/>
              </w:rPr>
              <w:t xml:space="preserve"/>
            </w:r>
          </w:p>
        </w:tc>
      </w:tr>
      <w:tr>
        <w:tc>
          <w:tcPr>
            <w:tcW w:type="dxa" w:w="12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sz w:val="18"/>
                <w:szCs w:val="18"/>
              </w:rPr>
              <w:t xml:space="preserve"/>
            </w:r>
          </w:p>
        </w:tc>
        <w:tc>
          <w:tcPr>
            <w:tcW w:type="dxa" w:w="12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sz w:val="18"/>
                <w:szCs w:val="18"/>
              </w:rPr>
              <w:t xml:space="preserve"/>
            </w:r>
            <w:r>
              <w:rPr>
                <w:sz w:val="18"/>
                <w:szCs w:val="18"/>
              </w:rPr>
              <w:t xml:space="preserve"/>
            </w:r>
          </w:p>
        </w:tc>
        <w:tc>
          <w:tcPr>
            <w:tcW w:type="dxa" w:w="12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sz w:val="18"/>
                <w:szCs w:val="18"/>
              </w:rPr>
              <w:t xml:space="preserve"/>
            </w:r>
          </w:p>
        </w:tc>
        <w:tc>
          <w:tcPr>
            <w:tcW w:type="dxa" w:w="12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sz w:val="18"/>
                <w:szCs w:val="18"/>
              </w:rPr>
              <w:t xml:space="preserve"/>
            </w:r>
          </w:p>
        </w:tc>
        <w:tc>
          <w:tcPr>
            <w:tcW w:type="dxa" w:w="12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sz w:val="18"/>
                <w:szCs w:val="18"/>
              </w:rPr>
              <w:t xml:space="preserve"/>
            </w:r>
          </w:p>
        </w:tc>
        <w:tc>
          <w:tcPr>
            <w:tcW w:type="dxa" w:w="12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sz w:val="18"/>
                <w:szCs w:val="18"/>
              </w:rPr>
              <w:t xml:space="preserve"/>
            </w:r>
          </w:p>
        </w:tc>
        <w:tc>
          <w:tcPr>
            <w:tcW w:type="dxa" w:w="12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sz w:val="18"/>
                <w:szCs w:val="18"/>
              </w:rPr>
              <w:t xml:space="preserve"/>
            </w:r>
          </w:p>
        </w:tc>
        <w:tc>
          <w:tcPr>
            <w:tcW w:type="dxa" w:w="12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sz w:val="18"/>
                <w:szCs w:val="18"/>
              </w:rPr>
              <w:t xml:space="preserve"/>
            </w:r>
          </w:p>
        </w:tc>
      </w:tr>
      <w:tr>
        <w:tc>
          <w:tcPr>
            <w:tcW w:type="dxa" w:w="12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sz w:val="18"/>
                <w:szCs w:val="18"/>
              </w:rPr>
              <w:t xml:space="preserve"/>
            </w:r>
          </w:p>
        </w:tc>
        <w:tc>
          <w:tcPr>
            <w:tcW w:type="dxa" w:w="12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sz w:val="18"/>
                <w:szCs w:val="18"/>
              </w:rPr>
              <w:t xml:space="preserve"/>
            </w:r>
            <w:r>
              <w:rPr>
                <w:sz w:val="18"/>
                <w:szCs w:val="18"/>
              </w:rPr>
              <w:t xml:space="preserve"/>
            </w:r>
          </w:p>
        </w:tc>
        <w:tc>
          <w:tcPr>
            <w:tcW w:type="dxa" w:w="12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sz w:val="18"/>
                <w:szCs w:val="18"/>
              </w:rPr>
              <w:t xml:space="preserve"/>
            </w:r>
          </w:p>
        </w:tc>
        <w:tc>
          <w:tcPr>
            <w:tcW w:type="dxa" w:w="12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sz w:val="18"/>
                <w:szCs w:val="18"/>
              </w:rPr>
              <w:t xml:space="preserve"/>
            </w:r>
          </w:p>
        </w:tc>
        <w:tc>
          <w:tcPr>
            <w:tcW w:type="dxa" w:w="12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sz w:val="18"/>
                <w:szCs w:val="18"/>
              </w:rPr>
              <w:t xml:space="preserve"/>
            </w:r>
          </w:p>
        </w:tc>
        <w:tc>
          <w:tcPr>
            <w:tcW w:type="dxa" w:w="12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sz w:val="18"/>
                <w:szCs w:val="18"/>
              </w:rPr>
              <w:t xml:space="preserve"/>
            </w:r>
          </w:p>
        </w:tc>
        <w:tc>
          <w:tcPr>
            <w:tcW w:type="dxa" w:w="12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sz w:val="18"/>
                <w:szCs w:val="18"/>
              </w:rPr>
              <w:t xml:space="preserve"/>
            </w:r>
          </w:p>
        </w:tc>
        <w:tc>
          <w:tcPr>
            <w:tcW w:type="dxa" w:w="12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sz w:val="18"/>
                <w:szCs w:val="18"/>
              </w:rPr>
              <w:t xml:space="preserve"/>
            </w:r>
          </w:p>
        </w:tc>
      </w:tr>
      <w:tr>
        <w:tc>
          <w:tcPr>
            <w:tcW w:type="dxa" w:w="12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sz w:val="18"/>
                <w:szCs w:val="18"/>
              </w:rPr>
              <w:t xml:space="preserve"/>
            </w:r>
          </w:p>
        </w:tc>
        <w:tc>
          <w:tcPr>
            <w:tcW w:type="dxa" w:w="12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sz w:val="18"/>
                <w:szCs w:val="18"/>
              </w:rPr>
              <w:t xml:space="preserve"/>
            </w:r>
            <w:r>
              <w:rPr>
                <w:sz w:val="18"/>
                <w:szCs w:val="18"/>
              </w:rPr>
              <w:t xml:space="preserve"/>
            </w:r>
          </w:p>
        </w:tc>
        <w:tc>
          <w:tcPr>
            <w:tcW w:type="dxa" w:w="12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sz w:val="18"/>
                <w:szCs w:val="18"/>
              </w:rPr>
              <w:t xml:space="preserve"/>
            </w:r>
          </w:p>
        </w:tc>
        <w:tc>
          <w:tcPr>
            <w:tcW w:type="dxa" w:w="12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sz w:val="18"/>
                <w:szCs w:val="18"/>
              </w:rPr>
              <w:t xml:space="preserve"/>
            </w:r>
          </w:p>
        </w:tc>
        <w:tc>
          <w:tcPr>
            <w:tcW w:type="dxa" w:w="12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sz w:val="18"/>
                <w:szCs w:val="18"/>
              </w:rPr>
              <w:t xml:space="preserve"/>
            </w:r>
          </w:p>
        </w:tc>
        <w:tc>
          <w:tcPr>
            <w:tcW w:type="dxa" w:w="12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sz w:val="18"/>
                <w:szCs w:val="18"/>
              </w:rPr>
              <w:t xml:space="preserve"/>
            </w:r>
          </w:p>
        </w:tc>
        <w:tc>
          <w:tcPr>
            <w:tcW w:type="dxa" w:w="12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sz w:val="18"/>
                <w:szCs w:val="18"/>
              </w:rPr>
              <w:t xml:space="preserve"/>
            </w:r>
          </w:p>
        </w:tc>
        <w:tc>
          <w:tcPr>
            <w:tcW w:type="dxa" w:w="12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sz w:val="18"/>
                <w:szCs w:val="18"/>
              </w:rPr>
              <w:t xml:space="preserve"/>
            </w:r>
          </w:p>
        </w:tc>
      </w:tr>
      <w:tr>
        <w:tc>
          <w:tcPr>
            <w:tcW w:type="dxa" w:w="12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sz w:val="18"/>
                <w:szCs w:val="18"/>
              </w:rPr>
              <w:t xml:space="preserve"/>
            </w:r>
          </w:p>
        </w:tc>
        <w:tc>
          <w:tcPr>
            <w:tcW w:type="dxa" w:w="12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sz w:val="18"/>
                <w:szCs w:val="18"/>
              </w:rPr>
              <w:t xml:space="preserve"/>
            </w:r>
            <w:r>
              <w:rPr>
                <w:sz w:val="18"/>
                <w:szCs w:val="18"/>
              </w:rPr>
              <w:t xml:space="preserve"/>
            </w:r>
          </w:p>
        </w:tc>
        <w:tc>
          <w:tcPr>
            <w:tcW w:type="dxa" w:w="12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sz w:val="18"/>
                <w:szCs w:val="18"/>
              </w:rPr>
              <w:t xml:space="preserve"/>
            </w:r>
          </w:p>
        </w:tc>
        <w:tc>
          <w:tcPr>
            <w:tcW w:type="dxa" w:w="12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sz w:val="18"/>
                <w:szCs w:val="18"/>
              </w:rPr>
              <w:t xml:space="preserve"/>
            </w:r>
          </w:p>
        </w:tc>
        <w:tc>
          <w:tcPr>
            <w:tcW w:type="dxa" w:w="12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sz w:val="18"/>
                <w:szCs w:val="18"/>
              </w:rPr>
              <w:t xml:space="preserve"/>
            </w:r>
          </w:p>
        </w:tc>
        <w:tc>
          <w:tcPr>
            <w:tcW w:type="dxa" w:w="12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sz w:val="18"/>
                <w:szCs w:val="18"/>
              </w:rPr>
              <w:t xml:space="preserve"/>
            </w:r>
          </w:p>
        </w:tc>
        <w:tc>
          <w:tcPr>
            <w:tcW w:type="dxa" w:w="12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sz w:val="18"/>
                <w:szCs w:val="18"/>
              </w:rPr>
              <w:t xml:space="preserve"/>
            </w:r>
          </w:p>
        </w:tc>
        <w:tc>
          <w:tcPr>
            <w:tcW w:type="dxa" w:w="12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sz w:val="18"/>
                <w:szCs w:val="18"/>
              </w:rPr>
              <w:t xml:space="preserve"/>
            </w:r>
          </w:p>
        </w:tc>
      </w:tr>
    </w:tbl>
    <w:p/>
    <w:p>
      <w:pPr>
        <w:pBdr>
          <w:bottom w:val="single" w:color="999999" w:sz="6" w:space="4"/>
        </w:pBdr>
      </w:pPr>
    </w:p>
    <w:p>
      <w:pPr>
        <w:pStyle w:val="Heading2"/>
      </w:pPr>
      <w:r>
        <w:t xml:space="preserve">5. Jerusalem's Liturgical-Pilgrimage Christianity</w:t>
      </w:r>
    </w:p>
    <w:p>
      <w:pPr>
        <w:pStyle w:val="Heading3"/>
      </w:pPr>
      <w:r>
        <w:t xml:space="preserve">5.0 Provisional boundary</w:t>
      </w:r>
    </w:p>
    <w:p>
      <w:pPr>
        <w:spacing w:after="160"/>
      </w:pPr>
      <w:r>
        <w:t xml:space="preserve">c. 325 through the mid-5th century. Jerusalem and environs. Step 0 Item 4 named this candidate's Distinct World Criteria question as the most serious of the original six Tier 1 candidates: whether this is a bounded community or a shifting population of resident clergy, local laity, and transient pilgrims.</w:t>
      </w:r>
    </w:p>
    <w:p>
      <w:pPr>
        <w:pStyle w:val="Heading3"/>
      </w:pPr>
      <w:r>
        <w:t xml:space="preserve">5.1 Source Ecology</w:t>
      </w:r>
    </w:p>
    <w:p>
      <w:pPr>
        <w:spacing w:after="160"/>
      </w:pPr>
      <w:r>
        <w:rPr>
          <w:b/>
          <w:bCs/>
        </w:rPr>
        <w:t xml:space="preserve">Primary voices.</w:t>
      </w:r>
      <w:r>
        <w:t xml:space="preserve"> Egeria, </w:t>
      </w:r>
      <w:r>
        <w:rPr>
          <w:i/>
          <w:iCs/>
        </w:rPr>
        <w:t xml:space="preserve">Itinerarium</w:t>
      </w:r>
      <w:r>
        <w:t xml:space="preserve"> (Peregrinatio). Cyril of Jerusalem, </w:t>
      </w:r>
      <w:r>
        <w:rPr>
          <w:i/>
          <w:iCs/>
        </w:rPr>
        <w:t xml:space="preserve">Catechetical Lectures</w:t>
      </w:r>
      <w:r>
        <w:t xml:space="preserve"> (Procatechesis and eighteen Catecheses), and the </w:t>
      </w:r>
      <w:r>
        <w:rPr>
          <w:i/>
          <w:iCs/>
        </w:rPr>
        <w:t xml:space="preserve">Mystagogical Catecheses</w:t>
      </w:r>
      <w:r>
        <w:t xml:space="preserve"> (contested authorship — see below). The Armenian Lectionary of Jerusalem (a later witness reflecting, with real caution about anachronistic retrojection, the developed liturgical calendar).</w:t>
      </w:r>
    </w:p>
    <w:p>
      <w:pPr>
        <w:spacing w:after="160"/>
      </w:pPr>
      <w:r>
        <w:rPr>
          <w:b/>
          <w:bCs/>
        </w:rPr>
        <w:t xml:space="preserve">Secondary (ancient) voices.</w:t>
      </w:r>
      <w:r>
        <w:t xml:space="preserve"> None substantially independent — this ecology is unusually concentrated in two named voices for its primary material, exactly as Step 0's Voice Breadth note already stated.</w:t>
      </w:r>
    </w:p>
    <w:p>
      <w:pPr>
        <w:spacing w:after="160"/>
      </w:pPr>
      <w:r>
        <w:rPr>
          <w:b/>
          <w:bCs/>
        </w:rPr>
        <w:t xml:space="preserve">Institutional sources.</w:t>
      </w:r>
      <w:r>
        <w:t xml:space="preserve"> Jerusalem's rising episcopal prestige across this window, culminating in patriarchal status at Chalcedon (451) itself, is well documented at the level of institutional outcome (conciliar canons on Jerusalem's rank) even where the internal process is thinner.</w:t>
      </w:r>
    </w:p>
    <w:p>
      <w:pPr>
        <w:spacing w:after="160"/>
      </w:pPr>
      <w:r>
        <w:rPr>
          <w:b/>
          <w:bCs/>
        </w:rPr>
        <w:t xml:space="preserve">Liturgical sources.</w:t>
      </w:r>
      <w:r>
        <w:t xml:space="preserve"> The richest liturgical lens of any candidate in this survey, as Step 0 already noted: Egeria's detailed first-person description of the Jerusalem liturgical year (Holy Week observances, the stational liturgy moving between named sites) and the Armenian Lectionary's calendar together give an unusually vivid, textured liturgical-practice record.</w:t>
      </w:r>
    </w:p>
    <w:p>
      <w:pPr>
        <w:spacing w:after="160"/>
      </w:pPr>
      <w:r>
        <w:rPr>
          <w:b/>
          <w:bCs/>
        </w:rPr>
        <w:t xml:space="preserve">Material evidence.</w:t>
      </w:r>
      <w:r>
        <w:t xml:space="preserve"> The archaeological record of Constantinian and later Jerusalem building projects (the Church of the Holy Sepulchre/Anastasis, the Eleona, the Imbomon on the Mount of Olives) is genuinely strong and independently corroborates Egeria's own itinerary and site-descriptions — a real, non-literary confirming stream distinct from most other candidates in this survey, where material and textual evidence more often stand apart rather than directly cross-checking each other.</w:t>
      </w:r>
    </w:p>
    <w:p>
      <w:pPr>
        <w:spacing w:after="160"/>
      </w:pPr>
      <w:r>
        <w:rPr>
          <w:b/>
          <w:bCs/>
        </w:rPr>
        <w:t xml:space="preserve">Ordinary-participant evidence.</w:t>
      </w:r>
      <w:r>
        <w:t xml:space="preserve"> Egeria herself, while an elite, literate Western pilgrim rather than a Jerusalem local, reports the words and practices of anonymous resident clergy and local laity she personally observed — a genuinely unusual, semi-independent secondary layer of ordinary-participant evidence embedded within an elite author's own text, worth naming distinctly from a fully mediated report.</w:t>
      </w:r>
    </w:p>
    <w:p>
      <w:pPr>
        <w:spacing w:after="160"/>
      </w:pPr>
      <w:r>
        <w:rPr>
          <w:b/>
          <w:bCs/>
        </w:rPr>
        <w:t xml:space="preserve">Author Gravity Assessment.</w:t>
      </w:r>
    </w:p>
    <w:p>
      <w:pPr>
        <w:ind w:left="360"/>
      </w:pPr>
      <w:r>
        <w:t xml:space="preserve">•  </w:t>
      </w:r>
      <w:r>
        <w:rPr>
          <w:i/>
          <w:iCs/>
        </w:rPr>
        <w:t xml:space="preserve">Egeria.</w:t>
      </w:r>
      <w:r>
        <w:t xml:space="preserve"> Visibility: very high, an unusually vivid and specific witness. Representativeness: an elite, literate, probably Western (Gallic or Iberian) woman pilgrim — not a Jerusalem resident, and her own social position (leisured enough to travel for years) is atypical of both ordinary Jerusalem residents and ordinary pilgrims. Influence: the single richest liturgical-descriptive source in the whole ancient Christian corpus for this specific place and period. Limitations: her perspective is that of an interested, sympathetic outsider rather than an insider. Transmission history: </w:t>
      </w:r>
      <w:r>
        <w:rPr>
          <w:b/>
          <w:bCs/>
        </w:rPr>
        <w:t xml:space="preserve">verified this session</w:t>
      </w:r>
      <w:r>
        <w:t xml:space="preserve"> — the </w:t>
      </w:r>
      <w:r>
        <w:rPr>
          <w:i/>
          <w:iCs/>
        </w:rPr>
        <w:t xml:space="preserve">Itinerarium</w:t>
      </w:r>
      <w:r>
        <w:t xml:space="preserve"> survives in a single incomplete 11th-century manuscript, Codex Aretinus 405, copied at Monte Cassino, itself missing its beginning, its ending, and four pages in the middle, not rediscovered until 1884; a small number of additional short quotations surfaced in a 9th-century Toledo manuscript (published 1909) and two further fragments in 2005. This is about as narrow a transmission bottleneck as exists in this entire survey for a primary source of this importance — a single, damaged medieval copy standing between the ancient text and the present.</w:t>
      </w:r>
    </w:p>
    <w:p>
      <w:pPr>
        <w:ind w:left="360"/>
      </w:pPr>
      <w:r>
        <w:t xml:space="preserve">•  </w:t>
      </w:r>
      <w:r>
        <w:rPr>
          <w:i/>
          <w:iCs/>
        </w:rPr>
        <w:t xml:space="preserve">Cyril of Jerusalem.</w:t>
      </w:r>
      <w:r>
        <w:t xml:space="preserve"> Visibility: high. Representativeness: an insider bishop delivering actual catechetical instruction, a genuinely different vantage than Egeria's outsider-observer position. Influence: foundational for the mystagogical-catechetical genre generally. Limitations: early caution about the term </w:t>
      </w:r>
      <w:r>
        <w:rPr>
          <w:i/>
          <w:iCs/>
        </w:rPr>
        <w:t xml:space="preserve">homoousios</w:t>
      </w:r>
      <w:r>
        <w:t xml:space="preserve"> (later resolved in his career) is a live minor doctrinal-development wrinkle, not disqualifying. Transmission history: </w:t>
      </w:r>
      <w:r>
        <w:rPr>
          <w:b/>
          <w:bCs/>
        </w:rPr>
        <w:t xml:space="preserve">verified this session</w:t>
      </w:r>
      <w:r>
        <w:t xml:space="preserve"> — the </w:t>
      </w:r>
      <w:r>
        <w:rPr>
          <w:i/>
          <w:iCs/>
        </w:rPr>
        <w:t xml:space="preserve">Mystagogical Catecheses</w:t>
      </w:r>
      <w:r>
        <w:t xml:space="preserve">' authorship is genuinely contested between Cyril himself and his successor John II of Jerusalem; current scholarship (following Alexis Doval's monograph-length treatment) leans toward Cyril as author but places composition later (370s–380s) than the main Catechetical Lectures, rather than treating them as a single contemporaneous set — manuscript evidence is mixed, with some manuscripts naming John, some naming both, and the majority tradition favoring Cyril. This is a genuinely live, not fully settled, scholarly question and should be carried as a [CT]-type flag if this candidate advances.</w:t>
      </w:r>
    </w:p>
    <w:p>
      <w:pPr>
        <w:spacing w:after="160"/>
      </w:pPr>
      <w:r>
        <w:rPr>
          <w:b/>
          <w:bCs/>
        </w:rPr>
        <w:t xml:space="preserve">Secondary Scholarship Assessment.</w:t>
      </w:r>
      <w:r>
        <w:t xml:space="preserve"> John Wilkinson, </w:t>
      </w:r>
      <w:r>
        <w:rPr>
          <w:i/>
          <w:iCs/>
        </w:rPr>
        <w:t xml:space="preserve">Egeria's Travels</w:t>
      </w:r>
      <w:r>
        <w:t xml:space="preserve"> and </w:t>
      </w:r>
      <w:r>
        <w:rPr>
          <w:i/>
          <w:iCs/>
        </w:rPr>
        <w:t xml:space="preserve">Jerusalem Pilgrims Before the Crusades</w:t>
      </w:r>
      <w:r>
        <w:t xml:space="preserve">, as the standard English-language framework. Georgia Frank, </w:t>
      </w:r>
      <w:r>
        <w:rPr>
          <w:i/>
          <w:iCs/>
        </w:rPr>
        <w:t xml:space="preserve">The Memory of the Eyes</w:t>
      </w:r>
      <w:r>
        <w:t xml:space="preserve">, on pilgrimage as an embodied epistemology — directly relevant to this candidate's Human-ecology lens. Athanase Renoux's critical edition of the Armenian Lectionary. Andrew Jacobs on Jerusalem Christianity's broader cultural-political context.</w:t>
      </w:r>
    </w:p>
    <w:p>
      <w:pPr>
        <w:spacing w:after="160"/>
      </w:pPr>
      <w:r>
        <w:rPr>
          <w:b/>
          <w:bCs/>
        </w:rPr>
        <w:t xml:space="preserve">Formation Narrative Sources.</w:t>
      </w:r>
      <w:r>
        <w:t xml:space="preserve"> Egeria's </w:t>
      </w:r>
      <w:r>
        <w:rPr>
          <w:i/>
          <w:iCs/>
        </w:rPr>
        <w:t xml:space="preserve">Itinerarium</w:t>
      </w:r>
      <w:r>
        <w:t xml:space="preserve"> functions unusually as both a primary ecological source and a formation-narrative source simultaneously — her own account of undertaking the pilgrimage is itself a formation narrative (spiritual travel as formation practice), a genre feature worth naming rather than assuming the ecology/narrative distinction cleanly separates for this candidate the way it does for most others.</w:t>
      </w:r>
    </w:p>
    <w:p>
      <w:pPr>
        <w:spacing w:after="160"/>
      </w:pPr>
      <w:r>
        <w:rPr>
          <w:b/>
          <w:bCs/>
        </w:rPr>
        <w:t xml:space="preserve">Material Culture and Daily Life Sources.</w:t>
      </w:r>
      <w:r>
        <w:t xml:space="preserve"> Strong and independently corroborating, as noted above — a genuine structural strength of this candidate relative to several others in this survey where material evidence is comparatively an afterthought.</w:t>
      </w:r>
    </w:p>
    <w:p>
      <w:pPr>
        <w:spacing w:after="160"/>
      </w:pPr>
      <w:r>
        <w:rPr>
          <w:b/>
          <w:bCs/>
        </w:rPr>
        <w:t xml:space="preserve">Source Asymmetry and Missing Voices — Affirmative Duty (Article 20).</w:t>
      </w:r>
      <w:r>
        <w:t xml:space="preserve"> Named specifically: the actual settled Jerusalem lay population's own year-round, non-pilgrimage-season religious experience is structurally underrepresented relative to the vivid but seasonally concentrated, outsider-authored account Egeria gives of the high liturgical calendar (Holy Week, Epiphany) — Egeria was, by her own text's implication, present for the marquee liturgical events precisely because that is what a pilgrim travels for, meaning the ecology's richest evidence is systematically skewed toward peak-observance moments rather than ordinary weeks. This is a more specific naming of the Affirmative Duty question than a generic "outsider observer" caution.</w:t>
      </w:r>
    </w:p>
    <w:p>
      <w:pPr>
        <w:spacing w:after="160"/>
      </w:pPr>
      <w:r>
        <w:rPr>
          <w:b/>
          <w:bCs/>
        </w:rPr>
        <w:t xml:space="preserve">Forces lens.</w:t>
      </w:r>
      <w:r>
        <w:t xml:space="preserve"> The sources speak richly to an internal/ongoing force: sacred geography itself as catechetical and formational instrument, a distinctive mechanism not paralleled elsewhere in this survey. External force: Constantinian and post-Constantinian imperial patronage directly enabled the building projects that make this candidate's material record so strong — meaning the ecology's evidentiary richness is itself partly an artifact of a specific external political-religious alliance (imperial sponsorship of holy-site architecture), not a neutral background condition.</w:t>
      </w:r>
    </w:p>
    <w:p>
      <w:pPr>
        <w:spacing w:after="160"/>
      </w:pPr>
      <w:r>
        <w:rPr>
          <w:b/>
          <w:bCs/>
        </w:rPr>
        <w:t xml:space="preserve">Confidence-level summary.</w:t>
      </w:r>
      <w:r>
        <w:t xml:space="preserve"> The existence and basic content of the Jerusalem stational liturgy and building program: Documented (with strong material corroboration). Cyril's authorship of the main Catechetical Lectures: Widely Accepted. The </w:t>
      </w:r>
      <w:r>
        <w:rPr>
          <w:i/>
          <w:iCs/>
        </w:rPr>
        <w:t xml:space="preserve">Mystagogical Catecheses</w:t>
      </w:r>
      <w:r>
        <w:t xml:space="preserve">' authorship: Contested, per Doval's own framing of the debate. The boundary-coherence question (bounded community vs. shifting population): explicitly Contested/open, exactly as Step 0 flagged, and not resolved by this Step 2 pass — it remains a Step 1 question if this candidate advances.</w:t>
      </w:r>
    </w:p>
    <w:p>
      <w:pPr>
        <w:spacing w:after="160"/>
      </w:pPr>
      <w:r>
        <w:rPr>
          <w:b/>
          <w:bCs/>
        </w:rPr>
        <w:t xml:space="preserve">Correction against Step 0's own impression:</w:t>
      </w:r>
      <w:r>
        <w:t xml:space="preserve"> the material-evidence stream is richer, and more directly corroborating of the textual record, than Step 0's own brief Item 7 note fully conveyed — this is a genuine, specific strength worth surfacing plainly, distinguishing it structurally from the Cappadocian and Roman-Petrine candidates where material culture and text remain comparatively disconnected streams.</w:t>
      </w:r>
    </w:p>
    <w:p>
      <w:pPr>
        <w:pStyle w:val="Heading3"/>
      </w:pPr>
      <w:r>
        <w:t xml:space="preserve">5.2 Source Registry — Jerusalem's Liturgical-Pilgrimage Christianity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60"/>
        <w:gridCol w:w="1260"/>
        <w:gridCol w:w="1260"/>
        <w:gridCol w:w="1260"/>
        <w:gridCol w:w="1260"/>
        <w:gridCol w:w="1260"/>
        <w:gridCol w:w="1260"/>
        <w:gridCol w:w="1260"/>
      </w:tblGrid>
      <w:tr>
        <w:trPr>
          <w:tblHeader/>
        </w:trPr>
        <w:tc>
          <w:tcPr>
            <w:tcW w:type="dxa" w:w="1260"/>
            <w:tcBorders>
              <w:top w:val="single" w:color="BFBFBF" w:sz="2"/>
              <w:left w:val="single" w:color="BFBFBF" w:sz="2"/>
              <w:bottom w:val="single" w:color="BFBFBF" w:sz="2"/>
              <w:right w:val="single" w:color="BFBFBF" w:sz="2"/>
            </w:tcBorders>
            <w:shd w:fill="D9E2F3" w:val="clear"/>
            <w:tcMar>
              <w:top w:type="dxa" w:w="60"/>
              <w:left w:type="dxa" w:w="100"/>
              <w:bottom w:type="dxa" w:w="60"/>
              <w:right w:type="dxa" w:w="100"/>
            </w:tcMar>
          </w:tcPr>
          <w:p>
            <w:r>
              <w:rPr>
                <w:b/>
                <w:bCs/>
                <w:sz w:val="18"/>
                <w:szCs w:val="18"/>
              </w:rPr>
              <w:t xml:space="preserve">#</w:t>
            </w:r>
          </w:p>
        </w:tc>
        <w:tc>
          <w:tcPr>
            <w:tcW w:type="dxa" w:w="1260"/>
            <w:tcBorders>
              <w:top w:val="single" w:color="BFBFBF" w:sz="2"/>
              <w:left w:val="single" w:color="BFBFBF" w:sz="2"/>
              <w:bottom w:val="single" w:color="BFBFBF" w:sz="2"/>
              <w:right w:val="single" w:color="BFBFBF" w:sz="2"/>
            </w:tcBorders>
            <w:shd w:fill="D9E2F3" w:val="clear"/>
            <w:tcMar>
              <w:top w:type="dxa" w:w="60"/>
              <w:left w:type="dxa" w:w="100"/>
              <w:bottom w:type="dxa" w:w="60"/>
              <w:right w:type="dxa" w:w="100"/>
            </w:tcMar>
          </w:tcPr>
          <w:p>
            <w:r>
              <w:rPr>
                <w:b/>
                <w:bCs/>
                <w:sz w:val="18"/>
                <w:szCs w:val="18"/>
              </w:rPr>
              <w:t xml:space="preserve">Source</w:t>
            </w:r>
          </w:p>
        </w:tc>
        <w:tc>
          <w:tcPr>
            <w:tcW w:type="dxa" w:w="1260"/>
            <w:tcBorders>
              <w:top w:val="single" w:color="BFBFBF" w:sz="2"/>
              <w:left w:val="single" w:color="BFBFBF" w:sz="2"/>
              <w:bottom w:val="single" w:color="BFBFBF" w:sz="2"/>
              <w:right w:val="single" w:color="BFBFBF" w:sz="2"/>
            </w:tcBorders>
            <w:shd w:fill="D9E2F3" w:val="clear"/>
            <w:tcMar>
              <w:top w:type="dxa" w:w="60"/>
              <w:left w:type="dxa" w:w="100"/>
              <w:bottom w:type="dxa" w:w="60"/>
              <w:right w:type="dxa" w:w="100"/>
            </w:tcMar>
          </w:tcPr>
          <w:p>
            <w:r>
              <w:rPr>
                <w:b/>
                <w:bCs/>
                <w:sz w:val="18"/>
                <w:szCs w:val="18"/>
              </w:rPr>
              <w:t xml:space="preserve">Type</w:t>
            </w:r>
          </w:p>
        </w:tc>
        <w:tc>
          <w:tcPr>
            <w:tcW w:type="dxa" w:w="1260"/>
            <w:tcBorders>
              <w:top w:val="single" w:color="BFBFBF" w:sz="2"/>
              <w:left w:val="single" w:color="BFBFBF" w:sz="2"/>
              <w:bottom w:val="single" w:color="BFBFBF" w:sz="2"/>
              <w:right w:val="single" w:color="BFBFBF" w:sz="2"/>
            </w:tcBorders>
            <w:shd w:fill="D9E2F3" w:val="clear"/>
            <w:tcMar>
              <w:top w:type="dxa" w:w="60"/>
              <w:left w:type="dxa" w:w="100"/>
              <w:bottom w:type="dxa" w:w="60"/>
              <w:right w:type="dxa" w:w="100"/>
            </w:tcMar>
          </w:tcPr>
          <w:p>
            <w:r>
              <w:rPr>
                <w:b/>
                <w:bCs/>
                <w:sz w:val="18"/>
                <w:szCs w:val="18"/>
              </w:rPr>
              <w:t xml:space="preserve">Confidence</w:t>
            </w:r>
          </w:p>
        </w:tc>
        <w:tc>
          <w:tcPr>
            <w:tcW w:type="dxa" w:w="1260"/>
            <w:tcBorders>
              <w:top w:val="single" w:color="BFBFBF" w:sz="2"/>
              <w:left w:val="single" w:color="BFBFBF" w:sz="2"/>
              <w:bottom w:val="single" w:color="BFBFBF" w:sz="2"/>
              <w:right w:val="single" w:color="BFBFBF" w:sz="2"/>
            </w:tcBorders>
            <w:shd w:fill="D9E2F3" w:val="clear"/>
            <w:tcMar>
              <w:top w:type="dxa" w:w="60"/>
              <w:left w:type="dxa" w:w="100"/>
              <w:bottom w:type="dxa" w:w="60"/>
              <w:right w:type="dxa" w:w="100"/>
            </w:tcMar>
          </w:tcPr>
          <w:p>
            <w:r>
              <w:rPr>
                <w:b/>
                <w:bCs/>
                <w:sz w:val="18"/>
                <w:szCs w:val="18"/>
              </w:rPr>
              <w:t xml:space="preserve">Boundary</w:t>
            </w:r>
          </w:p>
        </w:tc>
        <w:tc>
          <w:tcPr>
            <w:tcW w:type="dxa" w:w="1260"/>
            <w:tcBorders>
              <w:top w:val="single" w:color="BFBFBF" w:sz="2"/>
              <w:left w:val="single" w:color="BFBFBF" w:sz="2"/>
              <w:bottom w:val="single" w:color="BFBFBF" w:sz="2"/>
              <w:right w:val="single" w:color="BFBFBF" w:sz="2"/>
            </w:tcBorders>
            <w:shd w:fill="D9E2F3" w:val="clear"/>
            <w:tcMar>
              <w:top w:type="dxa" w:w="60"/>
              <w:left w:type="dxa" w:w="100"/>
              <w:bottom w:type="dxa" w:w="60"/>
              <w:right w:type="dxa" w:w="100"/>
            </w:tcMar>
          </w:tcPr>
          <w:p>
            <w:r>
              <w:rPr>
                <w:b/>
                <w:bCs/>
                <w:sz w:val="18"/>
                <w:szCs w:val="18"/>
              </w:rPr>
              <w:t xml:space="preserve">Exclusion Reason</w:t>
            </w:r>
          </w:p>
        </w:tc>
        <w:tc>
          <w:tcPr>
            <w:tcW w:type="dxa" w:w="1260"/>
            <w:tcBorders>
              <w:top w:val="single" w:color="BFBFBF" w:sz="2"/>
              <w:left w:val="single" w:color="BFBFBF" w:sz="2"/>
              <w:bottom w:val="single" w:color="BFBFBF" w:sz="2"/>
              <w:right w:val="single" w:color="BFBFBF" w:sz="2"/>
            </w:tcBorders>
            <w:shd w:fill="D9E2F3" w:val="clear"/>
            <w:tcMar>
              <w:top w:type="dxa" w:w="60"/>
              <w:left w:type="dxa" w:w="100"/>
              <w:bottom w:type="dxa" w:w="60"/>
              <w:right w:type="dxa" w:w="100"/>
            </w:tcMar>
          </w:tcPr>
          <w:p>
            <w:r>
              <w:rPr>
                <w:b/>
                <w:bCs/>
                <w:sz w:val="18"/>
                <w:szCs w:val="18"/>
              </w:rPr>
              <w:t xml:space="preserve">Licensed For</w:t>
            </w:r>
          </w:p>
        </w:tc>
        <w:tc>
          <w:tcPr>
            <w:tcW w:type="dxa" w:w="1260"/>
            <w:tcBorders>
              <w:top w:val="single" w:color="BFBFBF" w:sz="2"/>
              <w:left w:val="single" w:color="BFBFBF" w:sz="2"/>
              <w:bottom w:val="single" w:color="BFBFBF" w:sz="2"/>
              <w:right w:val="single" w:color="BFBFBF" w:sz="2"/>
            </w:tcBorders>
            <w:shd w:fill="D9E2F3" w:val="clear"/>
            <w:tcMar>
              <w:top w:type="dxa" w:w="60"/>
              <w:left w:type="dxa" w:w="100"/>
              <w:bottom w:type="dxa" w:w="60"/>
              <w:right w:type="dxa" w:w="100"/>
            </w:tcMar>
          </w:tcPr>
          <w:p>
            <w:r>
              <w:rPr>
                <w:b/>
                <w:bCs/>
                <w:sz w:val="18"/>
                <w:szCs w:val="18"/>
              </w:rPr>
              <w:t xml:space="preserve">Verification Note</w:t>
            </w:r>
          </w:p>
        </w:tc>
      </w:tr>
      <w:tr>
        <w:tc>
          <w:tcPr>
            <w:tcW w:type="dxa" w:w="12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sz w:val="18"/>
                <w:szCs w:val="18"/>
              </w:rPr>
              <w:t xml:space="preserve"/>
            </w:r>
          </w:p>
        </w:tc>
        <w:tc>
          <w:tcPr>
            <w:tcW w:type="dxa" w:w="12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sz w:val="18"/>
                <w:szCs w:val="18"/>
              </w:rPr>
              <w:t xml:space="preserve"/>
            </w:r>
            <w:r>
              <w:rPr>
                <w:sz w:val="18"/>
                <w:szCs w:val="18"/>
              </w:rPr>
              <w:t xml:space="preserve"/>
            </w:r>
          </w:p>
        </w:tc>
        <w:tc>
          <w:tcPr>
            <w:tcW w:type="dxa" w:w="12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sz w:val="18"/>
                <w:szCs w:val="18"/>
              </w:rPr>
              <w:t xml:space="preserve"/>
            </w:r>
          </w:p>
        </w:tc>
        <w:tc>
          <w:tcPr>
            <w:tcW w:type="dxa" w:w="12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sz w:val="18"/>
                <w:szCs w:val="18"/>
              </w:rPr>
              <w:t xml:space="preserve"/>
            </w:r>
          </w:p>
        </w:tc>
        <w:tc>
          <w:tcPr>
            <w:tcW w:type="dxa" w:w="12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sz w:val="18"/>
                <w:szCs w:val="18"/>
              </w:rPr>
              <w:t xml:space="preserve"/>
            </w:r>
          </w:p>
        </w:tc>
        <w:tc>
          <w:tcPr>
            <w:tcW w:type="dxa" w:w="12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sz w:val="18"/>
                <w:szCs w:val="18"/>
              </w:rPr>
              <w:t xml:space="preserve"/>
            </w:r>
          </w:p>
        </w:tc>
        <w:tc>
          <w:tcPr>
            <w:tcW w:type="dxa" w:w="12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sz w:val="18"/>
                <w:szCs w:val="18"/>
              </w:rPr>
              <w:t xml:space="preserve"/>
            </w:r>
          </w:p>
        </w:tc>
        <w:tc>
          <w:tcPr>
            <w:tcW w:type="dxa" w:w="12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sz w:val="18"/>
                <w:szCs w:val="18"/>
              </w:rPr>
              <w:t xml:space="preserve"/>
            </w:r>
          </w:p>
        </w:tc>
      </w:tr>
      <w:tr>
        <w:tc>
          <w:tcPr>
            <w:tcW w:type="dxa" w:w="12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sz w:val="18"/>
                <w:szCs w:val="18"/>
              </w:rPr>
              <w:t xml:space="preserve"/>
            </w:r>
          </w:p>
        </w:tc>
        <w:tc>
          <w:tcPr>
            <w:tcW w:type="dxa" w:w="12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sz w:val="18"/>
                <w:szCs w:val="18"/>
              </w:rPr>
              <w:t xml:space="preserve"/>
            </w:r>
            <w:r>
              <w:rPr>
                <w:sz w:val="18"/>
                <w:szCs w:val="18"/>
              </w:rPr>
              <w:t xml:space="preserve"/>
            </w:r>
          </w:p>
        </w:tc>
        <w:tc>
          <w:tcPr>
            <w:tcW w:type="dxa" w:w="12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sz w:val="18"/>
                <w:szCs w:val="18"/>
              </w:rPr>
              <w:t xml:space="preserve"/>
            </w:r>
          </w:p>
        </w:tc>
        <w:tc>
          <w:tcPr>
            <w:tcW w:type="dxa" w:w="12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sz w:val="18"/>
                <w:szCs w:val="18"/>
              </w:rPr>
              <w:t xml:space="preserve"/>
            </w:r>
          </w:p>
        </w:tc>
        <w:tc>
          <w:tcPr>
            <w:tcW w:type="dxa" w:w="12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sz w:val="18"/>
                <w:szCs w:val="18"/>
              </w:rPr>
              <w:t xml:space="preserve"/>
            </w:r>
          </w:p>
        </w:tc>
        <w:tc>
          <w:tcPr>
            <w:tcW w:type="dxa" w:w="12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sz w:val="18"/>
                <w:szCs w:val="18"/>
              </w:rPr>
              <w:t xml:space="preserve"/>
            </w:r>
          </w:p>
        </w:tc>
        <w:tc>
          <w:tcPr>
            <w:tcW w:type="dxa" w:w="12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sz w:val="18"/>
                <w:szCs w:val="18"/>
              </w:rPr>
              <w:t xml:space="preserve"/>
            </w:r>
          </w:p>
        </w:tc>
        <w:tc>
          <w:tcPr>
            <w:tcW w:type="dxa" w:w="12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sz w:val="18"/>
                <w:szCs w:val="18"/>
              </w:rPr>
              <w:t xml:space="preserve"/>
            </w:r>
          </w:p>
        </w:tc>
      </w:tr>
      <w:tr>
        <w:tc>
          <w:tcPr>
            <w:tcW w:type="dxa" w:w="12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sz w:val="18"/>
                <w:szCs w:val="18"/>
              </w:rPr>
              <w:t xml:space="preserve"/>
            </w:r>
          </w:p>
        </w:tc>
        <w:tc>
          <w:tcPr>
            <w:tcW w:type="dxa" w:w="12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sz w:val="18"/>
                <w:szCs w:val="18"/>
              </w:rPr>
              <w:t xml:space="preserve"/>
            </w:r>
            <w:r>
              <w:rPr>
                <w:sz w:val="18"/>
                <w:szCs w:val="18"/>
              </w:rPr>
              <w:t xml:space="preserve"/>
            </w:r>
          </w:p>
        </w:tc>
        <w:tc>
          <w:tcPr>
            <w:tcW w:type="dxa" w:w="12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sz w:val="18"/>
                <w:szCs w:val="18"/>
              </w:rPr>
              <w:t xml:space="preserve"/>
            </w:r>
          </w:p>
        </w:tc>
        <w:tc>
          <w:tcPr>
            <w:tcW w:type="dxa" w:w="12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sz w:val="18"/>
                <w:szCs w:val="18"/>
              </w:rPr>
              <w:t xml:space="preserve"/>
            </w:r>
          </w:p>
        </w:tc>
        <w:tc>
          <w:tcPr>
            <w:tcW w:type="dxa" w:w="12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sz w:val="18"/>
                <w:szCs w:val="18"/>
              </w:rPr>
              <w:t xml:space="preserve"/>
            </w:r>
          </w:p>
        </w:tc>
        <w:tc>
          <w:tcPr>
            <w:tcW w:type="dxa" w:w="12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sz w:val="18"/>
                <w:szCs w:val="18"/>
              </w:rPr>
              <w:t xml:space="preserve"/>
            </w:r>
          </w:p>
        </w:tc>
        <w:tc>
          <w:tcPr>
            <w:tcW w:type="dxa" w:w="12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sz w:val="18"/>
                <w:szCs w:val="18"/>
              </w:rPr>
              <w:t xml:space="preserve"/>
            </w:r>
          </w:p>
        </w:tc>
        <w:tc>
          <w:tcPr>
            <w:tcW w:type="dxa" w:w="12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sz w:val="18"/>
                <w:szCs w:val="18"/>
              </w:rPr>
              <w:t xml:space="preserve"/>
            </w:r>
          </w:p>
        </w:tc>
      </w:tr>
      <w:tr>
        <w:tc>
          <w:tcPr>
            <w:tcW w:type="dxa" w:w="12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sz w:val="18"/>
                <w:szCs w:val="18"/>
              </w:rPr>
              <w:t xml:space="preserve"/>
            </w:r>
          </w:p>
        </w:tc>
        <w:tc>
          <w:tcPr>
            <w:tcW w:type="dxa" w:w="12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sz w:val="18"/>
                <w:szCs w:val="18"/>
              </w:rPr>
              <w:t xml:space="preserve"/>
            </w:r>
          </w:p>
        </w:tc>
        <w:tc>
          <w:tcPr>
            <w:tcW w:type="dxa" w:w="12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sz w:val="18"/>
                <w:szCs w:val="18"/>
              </w:rPr>
              <w:t xml:space="preserve"/>
            </w:r>
          </w:p>
        </w:tc>
        <w:tc>
          <w:tcPr>
            <w:tcW w:type="dxa" w:w="12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sz w:val="18"/>
                <w:szCs w:val="18"/>
              </w:rPr>
              <w:t xml:space="preserve"/>
            </w:r>
          </w:p>
        </w:tc>
        <w:tc>
          <w:tcPr>
            <w:tcW w:type="dxa" w:w="12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sz w:val="18"/>
                <w:szCs w:val="18"/>
              </w:rPr>
              <w:t xml:space="preserve"/>
            </w:r>
          </w:p>
        </w:tc>
        <w:tc>
          <w:tcPr>
            <w:tcW w:type="dxa" w:w="12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sz w:val="18"/>
                <w:szCs w:val="18"/>
              </w:rPr>
              <w:t xml:space="preserve"/>
            </w:r>
          </w:p>
        </w:tc>
        <w:tc>
          <w:tcPr>
            <w:tcW w:type="dxa" w:w="12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sz w:val="18"/>
                <w:szCs w:val="18"/>
              </w:rPr>
              <w:t xml:space="preserve"/>
            </w:r>
          </w:p>
        </w:tc>
        <w:tc>
          <w:tcPr>
            <w:tcW w:type="dxa" w:w="12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sz w:val="18"/>
                <w:szCs w:val="18"/>
              </w:rPr>
              <w:t xml:space="preserve"/>
            </w:r>
          </w:p>
        </w:tc>
      </w:tr>
      <w:tr>
        <w:tc>
          <w:tcPr>
            <w:tcW w:type="dxa" w:w="12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sz w:val="18"/>
                <w:szCs w:val="18"/>
              </w:rPr>
              <w:t xml:space="preserve"/>
            </w:r>
          </w:p>
        </w:tc>
        <w:tc>
          <w:tcPr>
            <w:tcW w:type="dxa" w:w="12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sz w:val="18"/>
                <w:szCs w:val="18"/>
              </w:rPr>
              <w:t xml:space="preserve"/>
            </w:r>
          </w:p>
        </w:tc>
        <w:tc>
          <w:tcPr>
            <w:tcW w:type="dxa" w:w="12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sz w:val="18"/>
                <w:szCs w:val="18"/>
              </w:rPr>
              <w:t xml:space="preserve"/>
            </w:r>
          </w:p>
        </w:tc>
        <w:tc>
          <w:tcPr>
            <w:tcW w:type="dxa" w:w="12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sz w:val="18"/>
                <w:szCs w:val="18"/>
              </w:rPr>
              <w:t xml:space="preserve"/>
            </w:r>
          </w:p>
        </w:tc>
        <w:tc>
          <w:tcPr>
            <w:tcW w:type="dxa" w:w="12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sz w:val="18"/>
                <w:szCs w:val="18"/>
              </w:rPr>
              <w:t xml:space="preserve"/>
            </w:r>
          </w:p>
        </w:tc>
        <w:tc>
          <w:tcPr>
            <w:tcW w:type="dxa" w:w="12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sz w:val="18"/>
                <w:szCs w:val="18"/>
              </w:rPr>
              <w:t xml:space="preserve"/>
            </w:r>
          </w:p>
        </w:tc>
        <w:tc>
          <w:tcPr>
            <w:tcW w:type="dxa" w:w="12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sz w:val="18"/>
                <w:szCs w:val="18"/>
              </w:rPr>
              <w:t xml:space="preserve"/>
            </w:r>
          </w:p>
        </w:tc>
        <w:tc>
          <w:tcPr>
            <w:tcW w:type="dxa" w:w="12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sz w:val="18"/>
                <w:szCs w:val="18"/>
              </w:rPr>
              <w:t xml:space="preserve"/>
            </w:r>
          </w:p>
        </w:tc>
      </w:tr>
      <w:tr>
        <w:tc>
          <w:tcPr>
            <w:tcW w:type="dxa" w:w="12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sz w:val="18"/>
                <w:szCs w:val="18"/>
              </w:rPr>
              <w:t xml:space="preserve"/>
            </w:r>
          </w:p>
        </w:tc>
        <w:tc>
          <w:tcPr>
            <w:tcW w:type="dxa" w:w="12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sz w:val="18"/>
                <w:szCs w:val="18"/>
              </w:rPr>
              <w:t xml:space="preserve"/>
            </w:r>
            <w:r>
              <w:rPr>
                <w:sz w:val="18"/>
                <w:szCs w:val="18"/>
              </w:rPr>
              <w:t xml:space="preserve"/>
            </w:r>
            <w:r>
              <w:rPr>
                <w:sz w:val="18"/>
                <w:szCs w:val="18"/>
              </w:rPr>
              <w:t xml:space="preserve"/>
            </w:r>
            <w:r>
              <w:rPr>
                <w:sz w:val="18"/>
                <w:szCs w:val="18"/>
              </w:rPr>
              <w:t xml:space="preserve"/>
            </w:r>
          </w:p>
        </w:tc>
        <w:tc>
          <w:tcPr>
            <w:tcW w:type="dxa" w:w="12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sz w:val="18"/>
                <w:szCs w:val="18"/>
              </w:rPr>
              <w:t xml:space="preserve"/>
            </w:r>
          </w:p>
        </w:tc>
        <w:tc>
          <w:tcPr>
            <w:tcW w:type="dxa" w:w="12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sz w:val="18"/>
                <w:szCs w:val="18"/>
              </w:rPr>
              <w:t xml:space="preserve"/>
            </w:r>
          </w:p>
        </w:tc>
        <w:tc>
          <w:tcPr>
            <w:tcW w:type="dxa" w:w="12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sz w:val="18"/>
                <w:szCs w:val="18"/>
              </w:rPr>
              <w:t xml:space="preserve"/>
            </w:r>
          </w:p>
        </w:tc>
        <w:tc>
          <w:tcPr>
            <w:tcW w:type="dxa" w:w="12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sz w:val="18"/>
                <w:szCs w:val="18"/>
              </w:rPr>
              <w:t xml:space="preserve"/>
            </w:r>
          </w:p>
        </w:tc>
        <w:tc>
          <w:tcPr>
            <w:tcW w:type="dxa" w:w="12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sz w:val="18"/>
                <w:szCs w:val="18"/>
              </w:rPr>
              <w:t xml:space="preserve"/>
            </w:r>
          </w:p>
        </w:tc>
        <w:tc>
          <w:tcPr>
            <w:tcW w:type="dxa" w:w="12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sz w:val="18"/>
                <w:szCs w:val="18"/>
              </w:rPr>
              <w:t xml:space="preserve"/>
            </w:r>
          </w:p>
        </w:tc>
      </w:tr>
      <w:tr>
        <w:tc>
          <w:tcPr>
            <w:tcW w:type="dxa" w:w="12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sz w:val="18"/>
                <w:szCs w:val="18"/>
              </w:rPr>
              <w:t xml:space="preserve"/>
            </w:r>
          </w:p>
        </w:tc>
        <w:tc>
          <w:tcPr>
            <w:tcW w:type="dxa" w:w="12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sz w:val="18"/>
                <w:szCs w:val="18"/>
              </w:rPr>
              <w:t xml:space="preserve"/>
            </w:r>
            <w:r>
              <w:rPr>
                <w:sz w:val="18"/>
                <w:szCs w:val="18"/>
              </w:rPr>
              <w:t xml:space="preserve"/>
            </w:r>
          </w:p>
        </w:tc>
        <w:tc>
          <w:tcPr>
            <w:tcW w:type="dxa" w:w="12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sz w:val="18"/>
                <w:szCs w:val="18"/>
              </w:rPr>
              <w:t xml:space="preserve"/>
            </w:r>
          </w:p>
        </w:tc>
        <w:tc>
          <w:tcPr>
            <w:tcW w:type="dxa" w:w="12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sz w:val="18"/>
                <w:szCs w:val="18"/>
              </w:rPr>
              <w:t xml:space="preserve"/>
            </w:r>
          </w:p>
        </w:tc>
        <w:tc>
          <w:tcPr>
            <w:tcW w:type="dxa" w:w="12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sz w:val="18"/>
                <w:szCs w:val="18"/>
              </w:rPr>
              <w:t xml:space="preserve"/>
            </w:r>
          </w:p>
        </w:tc>
        <w:tc>
          <w:tcPr>
            <w:tcW w:type="dxa" w:w="12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sz w:val="18"/>
                <w:szCs w:val="18"/>
              </w:rPr>
              <w:t xml:space="preserve"/>
            </w:r>
          </w:p>
        </w:tc>
        <w:tc>
          <w:tcPr>
            <w:tcW w:type="dxa" w:w="12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sz w:val="18"/>
                <w:szCs w:val="18"/>
              </w:rPr>
              <w:t xml:space="preserve"/>
            </w:r>
          </w:p>
        </w:tc>
        <w:tc>
          <w:tcPr>
            <w:tcW w:type="dxa" w:w="12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sz w:val="18"/>
                <w:szCs w:val="18"/>
              </w:rPr>
              <w:t xml:space="preserve"/>
            </w:r>
          </w:p>
        </w:tc>
      </w:tr>
      <w:tr>
        <w:tc>
          <w:tcPr>
            <w:tcW w:type="dxa" w:w="12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sz w:val="18"/>
                <w:szCs w:val="18"/>
              </w:rPr>
              <w:t xml:space="preserve"/>
            </w:r>
          </w:p>
        </w:tc>
        <w:tc>
          <w:tcPr>
            <w:tcW w:type="dxa" w:w="12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sz w:val="18"/>
                <w:szCs w:val="18"/>
              </w:rPr>
              <w:t xml:space="preserve"/>
            </w:r>
          </w:p>
        </w:tc>
        <w:tc>
          <w:tcPr>
            <w:tcW w:type="dxa" w:w="12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sz w:val="18"/>
                <w:szCs w:val="18"/>
              </w:rPr>
              <w:t xml:space="preserve"/>
            </w:r>
          </w:p>
        </w:tc>
        <w:tc>
          <w:tcPr>
            <w:tcW w:type="dxa" w:w="12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sz w:val="18"/>
                <w:szCs w:val="18"/>
              </w:rPr>
              <w:t xml:space="preserve"/>
            </w:r>
          </w:p>
        </w:tc>
        <w:tc>
          <w:tcPr>
            <w:tcW w:type="dxa" w:w="12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sz w:val="18"/>
                <w:szCs w:val="18"/>
              </w:rPr>
              <w:t xml:space="preserve"/>
            </w:r>
          </w:p>
        </w:tc>
        <w:tc>
          <w:tcPr>
            <w:tcW w:type="dxa" w:w="12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sz w:val="18"/>
                <w:szCs w:val="18"/>
              </w:rPr>
              <w:t xml:space="preserve"/>
            </w:r>
          </w:p>
        </w:tc>
        <w:tc>
          <w:tcPr>
            <w:tcW w:type="dxa" w:w="12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sz w:val="18"/>
                <w:szCs w:val="18"/>
              </w:rPr>
              <w:t xml:space="preserve"/>
            </w:r>
          </w:p>
        </w:tc>
        <w:tc>
          <w:tcPr>
            <w:tcW w:type="dxa" w:w="12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sz w:val="18"/>
                <w:szCs w:val="18"/>
              </w:rPr>
              <w:t xml:space="preserve"/>
            </w:r>
          </w:p>
        </w:tc>
      </w:tr>
      <w:tr>
        <w:tc>
          <w:tcPr>
            <w:tcW w:type="dxa" w:w="12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sz w:val="18"/>
                <w:szCs w:val="18"/>
              </w:rPr>
              <w:t xml:space="preserve"/>
            </w:r>
          </w:p>
        </w:tc>
        <w:tc>
          <w:tcPr>
            <w:tcW w:type="dxa" w:w="12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sz w:val="18"/>
                <w:szCs w:val="18"/>
              </w:rPr>
              <w:t xml:space="preserve"/>
            </w:r>
          </w:p>
        </w:tc>
        <w:tc>
          <w:tcPr>
            <w:tcW w:type="dxa" w:w="12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sz w:val="18"/>
                <w:szCs w:val="18"/>
              </w:rPr>
              <w:t xml:space="preserve"/>
            </w:r>
          </w:p>
        </w:tc>
        <w:tc>
          <w:tcPr>
            <w:tcW w:type="dxa" w:w="12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sz w:val="18"/>
                <w:szCs w:val="18"/>
              </w:rPr>
              <w:t xml:space="preserve"/>
            </w:r>
          </w:p>
        </w:tc>
        <w:tc>
          <w:tcPr>
            <w:tcW w:type="dxa" w:w="12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sz w:val="18"/>
                <w:szCs w:val="18"/>
              </w:rPr>
              <w:t xml:space="preserve"/>
            </w:r>
          </w:p>
        </w:tc>
        <w:tc>
          <w:tcPr>
            <w:tcW w:type="dxa" w:w="12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sz w:val="18"/>
                <w:szCs w:val="18"/>
              </w:rPr>
              <w:t xml:space="preserve"/>
            </w:r>
          </w:p>
        </w:tc>
        <w:tc>
          <w:tcPr>
            <w:tcW w:type="dxa" w:w="12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sz w:val="18"/>
                <w:szCs w:val="18"/>
              </w:rPr>
              <w:t xml:space="preserve"/>
            </w:r>
          </w:p>
        </w:tc>
        <w:tc>
          <w:tcPr>
            <w:tcW w:type="dxa" w:w="12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sz w:val="18"/>
                <w:szCs w:val="18"/>
              </w:rPr>
              <w:t xml:space="preserve"/>
            </w:r>
          </w:p>
        </w:tc>
      </w:tr>
    </w:tbl>
    <w:p/>
    <w:p>
      <w:pPr>
        <w:pBdr>
          <w:bottom w:val="single" w:color="999999" w:sz="6" w:space="4"/>
        </w:pBdr>
      </w:pPr>
    </w:p>
    <w:p>
      <w:pPr>
        <w:pStyle w:val="Heading2"/>
      </w:pPr>
      <w:r>
        <w:t xml:space="preserve">6. The Roman Episcopal-Petrine Tradition (Damasus I to Leo I)</w:t>
      </w:r>
    </w:p>
    <w:p>
      <w:pPr>
        <w:pStyle w:val="Heading3"/>
      </w:pPr>
      <w:r>
        <w:t xml:space="preserve">6.0 Provisional boundary</w:t>
      </w:r>
    </w:p>
    <w:p>
      <w:pPr>
        <w:spacing w:after="160"/>
      </w:pPr>
      <w:r>
        <w:t xml:space="preserve">c. 366 through 461 CE. Rome. Step 0 Item 4 named this candidate's evidentiary base as heavily weighted toward official, public, rhetorically polished documents, and its Voice Breadth as the narrowest institutionally-elite-authored candidate reviewed at that point (before the new Post-Apostolic and Ambrose entries, which are outside this pass).</w:t>
      </w:r>
    </w:p>
    <w:p>
      <w:pPr>
        <w:pStyle w:val="Heading3"/>
      </w:pPr>
      <w:r>
        <w:t xml:space="preserve">6.1 Source Ecology</w:t>
      </w:r>
    </w:p>
    <w:p>
      <w:pPr>
        <w:spacing w:after="160"/>
      </w:pPr>
      <w:r>
        <w:rPr>
          <w:b/>
          <w:bCs/>
        </w:rPr>
        <w:t xml:space="preserve">Primary voices.</w:t>
      </w:r>
      <w:r>
        <w:t xml:space="preserve"> Leo I's </w:t>
      </w:r>
      <w:r>
        <w:rPr>
          <w:i/>
          <w:iCs/>
        </w:rPr>
        <w:t xml:space="preserve">Tomus ad Flavianum</w:t>
      </w:r>
      <w:r>
        <w:t xml:space="preserve"> (the Christological "Tome," 449) and his sermons (</w:t>
      </w:r>
      <w:r>
        <w:rPr>
          <w:i/>
          <w:iCs/>
        </w:rPr>
        <w:t xml:space="preserve">Tractatus</w:t>
      </w:r>
      <w:r>
        <w:t xml:space="preserve">). Damasus's </w:t>
      </w:r>
      <w:r>
        <w:rPr>
          <w:i/>
          <w:iCs/>
        </w:rPr>
        <w:t xml:space="preserve">Epigrammata Damasiana</w:t>
      </w:r>
      <w:r>
        <w:t xml:space="preserve"> (verse inscriptions commissioned for the Roman martyr shrines). Siricius's decretal letter to Himerius of Tarragona (385) — often cited as the earliest surviving papal decretal in the developed juridical genre. Innocent I's correspondence.</w:t>
      </w:r>
    </w:p>
    <w:p>
      <w:pPr>
        <w:spacing w:after="160"/>
      </w:pPr>
      <w:r>
        <w:rPr>
          <w:b/>
          <w:bCs/>
        </w:rPr>
        <w:t xml:space="preserve">Secondary (ancient) voices, and a correction.</w:t>
      </w:r>
      <w:r>
        <w:t xml:space="preserve"> The </w:t>
      </w:r>
      <w:r>
        <w:rPr>
          <w:i/>
          <w:iCs/>
        </w:rPr>
        <w:t xml:space="preserve">Liber Pontificalis</w:t>
      </w:r>
      <w:r>
        <w:t xml:space="preserve"> is frequently cited as backdrop for this period, but its compilation is considerably later (6th century and after) and its early entries draw on the </w:t>
      </w:r>
      <w:r>
        <w:rPr>
          <w:i/>
          <w:iCs/>
        </w:rPr>
        <w:t xml:space="preserve">Catalogus Liberianus</w:t>
      </w:r>
      <w:r>
        <w:t xml:space="preserve"> ("Liberian Catalogue"). </w:t>
      </w:r>
      <w:r>
        <w:rPr>
          <w:b/>
          <w:bCs/>
        </w:rPr>
        <w:t xml:space="preserve">A correction surfaced this session, not present in Step 0's own Item 6 sourcing note:</w:t>
      </w:r>
      <w:r>
        <w:t xml:space="preserve"> the </w:t>
      </w:r>
      <w:r>
        <w:rPr>
          <w:i/>
          <w:iCs/>
        </w:rPr>
        <w:t xml:space="preserve">Catalogus Liberianus</w:t>
      </w:r>
      <w:r>
        <w:t xml:space="preserve"> itself is named for, and terminates with, Pope Liberius (352–366) — meaning it substantially predates rather than documents Damasus's own pontificate (366–384), which begins essentially where the catalogue's own list ends. Step 0's sourcing list named the "Liberian Catalogue" alongside Damasus's own </w:t>
      </w:r>
      <w:r>
        <w:rPr>
          <w:i/>
          <w:iCs/>
        </w:rPr>
        <w:t xml:space="preserve">Epigrammata</w:t>
      </w:r>
      <w:r>
        <w:t xml:space="preserve"> as if both were primary-adjacent sources for this candidate's window; this Step 2 pass finds that framing imprecise. The catalogue is genuinely useful only as pre-window institutional-list backdrop (papal succession, the </w:t>
      </w:r>
      <w:r>
        <w:rPr>
          <w:i/>
          <w:iCs/>
        </w:rPr>
        <w:t xml:space="preserve">depositio martyrum</w:t>
      </w:r>
      <w:r>
        <w:t xml:space="preserve"> and </w:t>
      </w:r>
      <w:r>
        <w:rPr>
          <w:i/>
          <w:iCs/>
        </w:rPr>
        <w:t xml:space="preserve">depositio episcoporum</w:t>
      </w:r>
      <w:r>
        <w:t xml:space="preserve"> traditions this candidate's own Damasan shrine-promotion program draws on), not as a Damasus-era document in its own right, and is reclassified accordingly in the Registry below.</w:t>
      </w:r>
    </w:p>
    <w:p>
      <w:pPr>
        <w:spacing w:after="160"/>
      </w:pPr>
      <w:r>
        <w:rPr>
          <w:b/>
          <w:bCs/>
        </w:rPr>
        <w:t xml:space="preserve">Institutional sources.</w:t>
      </w:r>
      <w:r>
        <w:t xml:space="preserve"> Siricius's decretal to Himerius is itself an institutional-genre landmark — an early instance of Rome issuing binding disciplinary rulings to another Western see in a legally-toned register, a genuinely distinctive juridical-formation data point for this candidate specifically.</w:t>
      </w:r>
    </w:p>
    <w:p>
      <w:pPr>
        <w:spacing w:after="160"/>
      </w:pPr>
      <w:r>
        <w:rPr>
          <w:b/>
          <w:bCs/>
        </w:rPr>
        <w:t xml:space="preserve">Liturgical sources.</w:t>
      </w:r>
      <w:r>
        <w:t xml:space="preserve"> Leo's own sermons are a rich homiletic-liturgical source, delivered at Rome on major feast days, and give real access to a developing Roman preaching tradition — a comparative strength Step 0's Item 7 already noted, confirmed here.</w:t>
      </w:r>
    </w:p>
    <w:p>
      <w:pPr>
        <w:spacing w:after="160"/>
      </w:pPr>
      <w:r>
        <w:rPr>
          <w:b/>
          <w:bCs/>
        </w:rPr>
        <w:t xml:space="preserve">Material evidence.</w:t>
      </w:r>
      <w:r>
        <w:t xml:space="preserve"> The Damasan shrine-inscription program is simultaneously a textual source (the </w:t>
      </w:r>
      <w:r>
        <w:rPr>
          <w:i/>
          <w:iCs/>
        </w:rPr>
        <w:t xml:space="preserve">Epigrammata</w:t>
      </w:r>
      <w:r>
        <w:t xml:space="preserve">'s verses) and a material-archaeological one (many inscriptions survive in situ or in fragments at Roman catacomb sites, notably around the tombs of Roman martyrs Damasus specifically promoted) — a genuine dual-register strength for this candidate, not previously separated out clearly in Step 0's sourcing note, which listed the </w:t>
      </w:r>
      <w:r>
        <w:rPr>
          <w:i/>
          <w:iCs/>
        </w:rPr>
        <w:t xml:space="preserve">Epigrammata</w:t>
      </w:r>
      <w:r>
        <w:t xml:space="preserve"> only as a textual item.</w:t>
      </w:r>
    </w:p>
    <w:p>
      <w:pPr>
        <w:spacing w:after="160"/>
      </w:pPr>
      <w:r>
        <w:rPr>
          <w:b/>
          <w:bCs/>
        </w:rPr>
        <w:t xml:space="preserve">Ordinary-participant evidence.</w:t>
      </w:r>
      <w:r>
        <w:t xml:space="preserve"> Essentially absent; this remains, as Step 0 said, about as institutionally-elite-authored a candidate as exists in this survey.</w:t>
      </w:r>
    </w:p>
    <w:p>
      <w:pPr>
        <w:spacing w:after="160"/>
      </w:pPr>
      <w:r>
        <w:rPr>
          <w:b/>
          <w:bCs/>
        </w:rPr>
        <w:t xml:space="preserve">Author Gravity Assessment.</w:t>
      </w:r>
    </w:p>
    <w:p>
      <w:pPr>
        <w:ind w:left="360"/>
      </w:pPr>
      <w:r>
        <w:t xml:space="preserve">•  </w:t>
      </w:r>
      <w:r>
        <w:rPr>
          <w:i/>
          <w:iCs/>
        </w:rPr>
        <w:t xml:space="preserve">Leo I.</w:t>
      </w:r>
      <w:r>
        <w:t xml:space="preserve"> Visibility: very high — the </w:t>
      </w:r>
      <w:r>
        <w:rPr>
          <w:i/>
          <w:iCs/>
        </w:rPr>
        <w:t xml:space="preserve">Tome</w:t>
      </w:r>
      <w:r>
        <w:t xml:space="preserve"> is a first-order Christological document shaping the whole Chalcedonian settlement. Representativeness: writing as the bishop actively asserting Roman doctrinal and jurisdictional authority at the height of a live Christological crisis — a maximally self-interested institutional position, not a neutral report. Influence: enormous, extending well past this candidate's own window into the whole subsequent history of the Roman see's authority claims. Limitations: the </w:t>
      </w:r>
      <w:r>
        <w:rPr>
          <w:i/>
          <w:iCs/>
        </w:rPr>
        <w:t xml:space="preserve">Tome</w:t>
      </w:r>
      <w:r>
        <w:t xml:space="preserve">'s own reception was genuinely contested at Chalcedon before being accepted (some Eastern bishops initially found its language difficult) — worth naming rather than treating its eventual acceptance as smooth or inevitable. Transmission history: comparatively well-preserved, given the Tome's canonical status from very shortly after composition.</w:t>
      </w:r>
    </w:p>
    <w:p>
      <w:pPr>
        <w:ind w:left="360"/>
      </w:pPr>
      <w:r>
        <w:t xml:space="preserve">•  </w:t>
      </w:r>
      <w:r>
        <w:rPr>
          <w:i/>
          <w:iCs/>
        </w:rPr>
        <w:t xml:space="preserve">Damasus.</w:t>
      </w:r>
      <w:r>
        <w:t xml:space="preserve"> Visibility: high, especially via the shrine-inscription program's dual textual/material survival. Representativeness: an energetic institutional promoter of Roman martyr-cult and Roman primacy claims specifically, not a disinterested chronicler. Influence: significantly shaped the topography of Roman Christian memory (which martyrs' shrines received monumental promotion, and therefore which names survived in devotional prominence). Limitations: his own disputed, violently contested election (against the rival Ursinus) is itself a formation-relevant data point about how institutional authority was actually contested and secured in this world, which the celebratory </w:t>
      </w:r>
      <w:r>
        <w:rPr>
          <w:i/>
          <w:iCs/>
        </w:rPr>
        <w:t xml:space="preserve">Epigrammata</w:t>
      </w:r>
      <w:r>
        <w:t xml:space="preserve"> genre does not itself narrate. Transmission history: the </w:t>
      </w:r>
      <w:r>
        <w:rPr>
          <w:i/>
          <w:iCs/>
        </w:rPr>
        <w:t xml:space="preserve">Epigrammata</w:t>
      </w:r>
      <w:r>
        <w:t xml:space="preserve">'s modern critical edition (Ferrua, 1942) reconstructs the corpus from a mix of surviving originals, later copies, and antiquarian transcriptions of now-lost inscriptions — a real, specific transmission-layering worth naming.</w:t>
      </w:r>
    </w:p>
    <w:p>
      <w:pPr>
        <w:ind w:left="360"/>
      </w:pPr>
      <w:r>
        <w:t xml:space="preserve">•  </w:t>
      </w:r>
      <w:r>
        <w:rPr>
          <w:i/>
          <w:iCs/>
        </w:rPr>
        <w:t xml:space="preserve">Siricius.</w:t>
      </w:r>
      <w:r>
        <w:t xml:space="preserve"> Visibility: moderate. Representativeness: the decretal genre itself represents Rome addressing a subordinate see in a directive register — institutionally significant regardless of how widely it was actually observed in practice, which the text alone cannot establish. Limitations: a single letter cannot establish how routinely this juridical mode was exercised across his pontificate. Transmission history: preserved via later canonical collections rather than an independent original.</w:t>
      </w:r>
    </w:p>
    <w:p>
      <w:pPr>
        <w:spacing w:after="160"/>
      </w:pPr>
      <w:r>
        <w:rPr>
          <w:b/>
          <w:bCs/>
        </w:rPr>
        <w:t xml:space="preserve">Secondary Scholarship Assessment.</w:t>
      </w:r>
      <w:r>
        <w:t xml:space="preserve"> Susan Wessel, </w:t>
      </w:r>
      <w:r>
        <w:rPr>
          <w:i/>
          <w:iCs/>
        </w:rPr>
        <w:t xml:space="preserve">Leo the Great and the Spiritual Rebuilding of a Universal Rome</w:t>
      </w:r>
      <w:r>
        <w:t xml:space="preserve">, the major modern monograph specifically on Leo's authority-construction. Bronwen Neil on Leo's letters and reception. Charles Pietri, </w:t>
      </w:r>
      <w:r>
        <w:rPr>
          <w:i/>
          <w:iCs/>
        </w:rPr>
        <w:t xml:space="preserve">Roma Christiana</w:t>
      </w:r>
      <w:r>
        <w:t xml:space="preserve">, the major synthetic treatment of Rome's Christianization across this broader period, including Damasus's shrine program specifically.</w:t>
      </w:r>
    </w:p>
    <w:p>
      <w:pPr>
        <w:spacing w:after="160"/>
      </w:pPr>
      <w:r>
        <w:rPr>
          <w:b/>
          <w:bCs/>
        </w:rPr>
        <w:t xml:space="preserve">Formation Narrative Sources.</w:t>
      </w:r>
      <w:r>
        <w:t xml:space="preserve"> Comparatively thin relative to other candidates in this survey — this candidate has no equivalent of the </w:t>
      </w:r>
      <w:r>
        <w:rPr>
          <w:i/>
          <w:iCs/>
        </w:rPr>
        <w:t xml:space="preserve">Apophthegmata</w:t>
      </w:r>
      <w:r>
        <w:t xml:space="preserve"> or the </w:t>
      </w:r>
      <w:r>
        <w:rPr>
          <w:i/>
          <w:iCs/>
        </w:rPr>
        <w:t xml:space="preserve">Vita Antonii</w:t>
      </w:r>
      <w:r>
        <w:t xml:space="preserve">; its formation-relevant narrative material is substantially embedded in Leo's own sermons rather than in a distinct biographical/hagiographic genre.</w:t>
      </w:r>
    </w:p>
    <w:p>
      <w:pPr>
        <w:spacing w:after="160"/>
      </w:pPr>
      <w:r>
        <w:rPr>
          <w:b/>
          <w:bCs/>
        </w:rPr>
        <w:t xml:space="preserve">Material Culture and Daily Life Sources.</w:t>
      </w:r>
      <w:r>
        <w:t xml:space="preserve"> The Damasan catacomb inscriptions are the strongest single material-culture stream for this candidate, as noted; more broadly, Roman Christian topography (basilica construction under this period's bishops, though much of the grandest Constantinian building slightly predates this candidate's own 366 start point) provides further material corroboration, with the important caveat that Constantine's own basilica program (e.g., Old St. Peter's) falls chronologically before this candidate's own window and should not be claimed as this candidate's own achievement even though it forms the physical stage this candidate's bishops operated within.</w:t>
      </w:r>
    </w:p>
    <w:p>
      <w:pPr>
        <w:spacing w:after="160"/>
      </w:pPr>
      <w:r>
        <w:rPr>
          <w:b/>
          <w:bCs/>
        </w:rPr>
        <w:t xml:space="preserve">Source Asymmetry and Missing Voices — Affirmative Duty (Article 20).</w:t>
      </w:r>
      <w:r>
        <w:t xml:space="preserve"> Named specifically: ordinary Roman Christian lay experience — household worship, the experience of Roman Christians who were not part of the clerical or aristocratic circles these bishops' own writing addresses — is almost entirely absent, and more severely so than for several other Tier 1 candidates in this survey, because even the comparatively "richer" streams here (shrine inscriptions, decretals) are themselves elite-institutional productions rather than independent lay evidence of the kind the Donatist epigraphic record or Egeria's reported ordinary-participant material provide. Why suppressed: the very mechanisms of survival for this candidate's evidence (episcopal archive-keeping, monumental commissioning, canonical-collection preservation) are institutional mechanisms controlled by the same authority structure the sources describe, meaning the selection pressure on what survives runs in one direction only.</w:t>
      </w:r>
    </w:p>
    <w:p>
      <w:pPr>
        <w:spacing w:after="160"/>
      </w:pPr>
      <w:r>
        <w:rPr>
          <w:b/>
          <w:bCs/>
        </w:rPr>
        <w:t xml:space="preserve">Forces lens.</w:t>
      </w:r>
      <w:r>
        <w:t xml:space="preserve"> The sources speak richly to an external/ongoing force: this candidate's entire evidentiary center of gravity is organized around Rome's claim to authority relative to rival sees and rival theological positions (Siricius asserting jurisdiction over Tarragona; Leo asserting doctrinal authority at Chalcedon) — authority-contest is not incidental context here but close to the central organizing force itself. Silences: virtually nothing on how this authority-construction project was received or resisted by ordinary Roman Christians, if it registered with them at all.</w:t>
      </w:r>
    </w:p>
    <w:p>
      <w:pPr>
        <w:spacing w:after="160"/>
      </w:pPr>
      <w:r>
        <w:rPr>
          <w:b/>
          <w:bCs/>
        </w:rPr>
        <w:t xml:space="preserve">Confidence-level summary.</w:t>
      </w:r>
      <w:r>
        <w:t xml:space="preserve"> The basic succession and dates of Damasus, Siricius, Innocent I, and Leo I: Documented. The content and Chalcedonian reception of Leo's Tome: Documented to Widely Accepted (with the initial-reception friction noted above as a specific, real complication). The scale and coherence of a self-consciously "papal" institutional self-understanding across this exact half-century, as opposed to a later retrojection of that self-understanding backward: Contested — live scholarly debate, exactly as Step 0 flagged, and not resolved by this pass.</w:t>
      </w:r>
    </w:p>
    <w:p>
      <w:pPr>
        <w:spacing w:after="160"/>
      </w:pPr>
      <w:r>
        <w:rPr>
          <w:b/>
          <w:bCs/>
        </w:rPr>
        <w:t xml:space="preserve">Correction against Step 0's own impression:</w:t>
      </w:r>
      <w:r>
        <w:t xml:space="preserve"> two corrections, one narrowing and one strengthening. Narrowing: the "Liberian Catalogue" should not have been listed alongside Damasus's own </w:t>
      </w:r>
      <w:r>
        <w:rPr>
          <w:i/>
          <w:iCs/>
        </w:rPr>
        <w:t xml:space="preserve">Epigrammata</w:t>
      </w:r>
      <w:r>
        <w:t xml:space="preserve"> as if both were primary sources internal to this candidate's window — it substantially predates it. Strengthening: the Damasan shrine-inscription program is a stronger, more genuinely dual-register (textual-and-material) source stream than Step 0's brief Item 6 note conveyed, and is a real point of comparative strength against, for instance, the Cappadocian candidate's much thinner material record.</w:t>
      </w:r>
    </w:p>
    <w:p>
      <w:pPr>
        <w:pStyle w:val="Heading3"/>
      </w:pPr>
      <w:r>
        <w:t xml:space="preserve">6.2 Source Registry — The Roman Episcopal-Petrine Tradition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60"/>
        <w:gridCol w:w="1260"/>
        <w:gridCol w:w="1260"/>
        <w:gridCol w:w="1260"/>
        <w:gridCol w:w="1260"/>
        <w:gridCol w:w="1260"/>
        <w:gridCol w:w="1260"/>
        <w:gridCol w:w="1260"/>
      </w:tblGrid>
      <w:tr>
        <w:trPr>
          <w:tblHeader/>
        </w:trPr>
        <w:tc>
          <w:tcPr>
            <w:tcW w:type="dxa" w:w="1260"/>
            <w:tcBorders>
              <w:top w:val="single" w:color="BFBFBF" w:sz="2"/>
              <w:left w:val="single" w:color="BFBFBF" w:sz="2"/>
              <w:bottom w:val="single" w:color="BFBFBF" w:sz="2"/>
              <w:right w:val="single" w:color="BFBFBF" w:sz="2"/>
            </w:tcBorders>
            <w:shd w:fill="D9E2F3" w:val="clear"/>
            <w:tcMar>
              <w:top w:type="dxa" w:w="60"/>
              <w:left w:type="dxa" w:w="100"/>
              <w:bottom w:type="dxa" w:w="60"/>
              <w:right w:type="dxa" w:w="100"/>
            </w:tcMar>
          </w:tcPr>
          <w:p>
            <w:r>
              <w:rPr>
                <w:b/>
                <w:bCs/>
                <w:sz w:val="18"/>
                <w:szCs w:val="18"/>
              </w:rPr>
              <w:t xml:space="preserve">#</w:t>
            </w:r>
          </w:p>
        </w:tc>
        <w:tc>
          <w:tcPr>
            <w:tcW w:type="dxa" w:w="1260"/>
            <w:tcBorders>
              <w:top w:val="single" w:color="BFBFBF" w:sz="2"/>
              <w:left w:val="single" w:color="BFBFBF" w:sz="2"/>
              <w:bottom w:val="single" w:color="BFBFBF" w:sz="2"/>
              <w:right w:val="single" w:color="BFBFBF" w:sz="2"/>
            </w:tcBorders>
            <w:shd w:fill="D9E2F3" w:val="clear"/>
            <w:tcMar>
              <w:top w:type="dxa" w:w="60"/>
              <w:left w:type="dxa" w:w="100"/>
              <w:bottom w:type="dxa" w:w="60"/>
              <w:right w:type="dxa" w:w="100"/>
            </w:tcMar>
          </w:tcPr>
          <w:p>
            <w:r>
              <w:rPr>
                <w:b/>
                <w:bCs/>
                <w:sz w:val="18"/>
                <w:szCs w:val="18"/>
              </w:rPr>
              <w:t xml:space="preserve">Source</w:t>
            </w:r>
          </w:p>
        </w:tc>
        <w:tc>
          <w:tcPr>
            <w:tcW w:type="dxa" w:w="1260"/>
            <w:tcBorders>
              <w:top w:val="single" w:color="BFBFBF" w:sz="2"/>
              <w:left w:val="single" w:color="BFBFBF" w:sz="2"/>
              <w:bottom w:val="single" w:color="BFBFBF" w:sz="2"/>
              <w:right w:val="single" w:color="BFBFBF" w:sz="2"/>
            </w:tcBorders>
            <w:shd w:fill="D9E2F3" w:val="clear"/>
            <w:tcMar>
              <w:top w:type="dxa" w:w="60"/>
              <w:left w:type="dxa" w:w="100"/>
              <w:bottom w:type="dxa" w:w="60"/>
              <w:right w:type="dxa" w:w="100"/>
            </w:tcMar>
          </w:tcPr>
          <w:p>
            <w:r>
              <w:rPr>
                <w:b/>
                <w:bCs/>
                <w:sz w:val="18"/>
                <w:szCs w:val="18"/>
              </w:rPr>
              <w:t xml:space="preserve">Type</w:t>
            </w:r>
          </w:p>
        </w:tc>
        <w:tc>
          <w:tcPr>
            <w:tcW w:type="dxa" w:w="1260"/>
            <w:tcBorders>
              <w:top w:val="single" w:color="BFBFBF" w:sz="2"/>
              <w:left w:val="single" w:color="BFBFBF" w:sz="2"/>
              <w:bottom w:val="single" w:color="BFBFBF" w:sz="2"/>
              <w:right w:val="single" w:color="BFBFBF" w:sz="2"/>
            </w:tcBorders>
            <w:shd w:fill="D9E2F3" w:val="clear"/>
            <w:tcMar>
              <w:top w:type="dxa" w:w="60"/>
              <w:left w:type="dxa" w:w="100"/>
              <w:bottom w:type="dxa" w:w="60"/>
              <w:right w:type="dxa" w:w="100"/>
            </w:tcMar>
          </w:tcPr>
          <w:p>
            <w:r>
              <w:rPr>
                <w:b/>
                <w:bCs/>
                <w:sz w:val="18"/>
                <w:szCs w:val="18"/>
              </w:rPr>
              <w:t xml:space="preserve">Confidence</w:t>
            </w:r>
          </w:p>
        </w:tc>
        <w:tc>
          <w:tcPr>
            <w:tcW w:type="dxa" w:w="1260"/>
            <w:tcBorders>
              <w:top w:val="single" w:color="BFBFBF" w:sz="2"/>
              <w:left w:val="single" w:color="BFBFBF" w:sz="2"/>
              <w:bottom w:val="single" w:color="BFBFBF" w:sz="2"/>
              <w:right w:val="single" w:color="BFBFBF" w:sz="2"/>
            </w:tcBorders>
            <w:shd w:fill="D9E2F3" w:val="clear"/>
            <w:tcMar>
              <w:top w:type="dxa" w:w="60"/>
              <w:left w:type="dxa" w:w="100"/>
              <w:bottom w:type="dxa" w:w="60"/>
              <w:right w:type="dxa" w:w="100"/>
            </w:tcMar>
          </w:tcPr>
          <w:p>
            <w:r>
              <w:rPr>
                <w:b/>
                <w:bCs/>
                <w:sz w:val="18"/>
                <w:szCs w:val="18"/>
              </w:rPr>
              <w:t xml:space="preserve">Boundary</w:t>
            </w:r>
          </w:p>
        </w:tc>
        <w:tc>
          <w:tcPr>
            <w:tcW w:type="dxa" w:w="1260"/>
            <w:tcBorders>
              <w:top w:val="single" w:color="BFBFBF" w:sz="2"/>
              <w:left w:val="single" w:color="BFBFBF" w:sz="2"/>
              <w:bottom w:val="single" w:color="BFBFBF" w:sz="2"/>
              <w:right w:val="single" w:color="BFBFBF" w:sz="2"/>
            </w:tcBorders>
            <w:shd w:fill="D9E2F3" w:val="clear"/>
            <w:tcMar>
              <w:top w:type="dxa" w:w="60"/>
              <w:left w:type="dxa" w:w="100"/>
              <w:bottom w:type="dxa" w:w="60"/>
              <w:right w:type="dxa" w:w="100"/>
            </w:tcMar>
          </w:tcPr>
          <w:p>
            <w:r>
              <w:rPr>
                <w:b/>
                <w:bCs/>
                <w:sz w:val="18"/>
                <w:szCs w:val="18"/>
              </w:rPr>
              <w:t xml:space="preserve">Exclusion Reason</w:t>
            </w:r>
          </w:p>
        </w:tc>
        <w:tc>
          <w:tcPr>
            <w:tcW w:type="dxa" w:w="1260"/>
            <w:tcBorders>
              <w:top w:val="single" w:color="BFBFBF" w:sz="2"/>
              <w:left w:val="single" w:color="BFBFBF" w:sz="2"/>
              <w:bottom w:val="single" w:color="BFBFBF" w:sz="2"/>
              <w:right w:val="single" w:color="BFBFBF" w:sz="2"/>
            </w:tcBorders>
            <w:shd w:fill="D9E2F3" w:val="clear"/>
            <w:tcMar>
              <w:top w:type="dxa" w:w="60"/>
              <w:left w:type="dxa" w:w="100"/>
              <w:bottom w:type="dxa" w:w="60"/>
              <w:right w:type="dxa" w:w="100"/>
            </w:tcMar>
          </w:tcPr>
          <w:p>
            <w:r>
              <w:rPr>
                <w:b/>
                <w:bCs/>
                <w:sz w:val="18"/>
                <w:szCs w:val="18"/>
              </w:rPr>
              <w:t xml:space="preserve">Licensed For</w:t>
            </w:r>
          </w:p>
        </w:tc>
        <w:tc>
          <w:tcPr>
            <w:tcW w:type="dxa" w:w="1260"/>
            <w:tcBorders>
              <w:top w:val="single" w:color="BFBFBF" w:sz="2"/>
              <w:left w:val="single" w:color="BFBFBF" w:sz="2"/>
              <w:bottom w:val="single" w:color="BFBFBF" w:sz="2"/>
              <w:right w:val="single" w:color="BFBFBF" w:sz="2"/>
            </w:tcBorders>
            <w:shd w:fill="D9E2F3" w:val="clear"/>
            <w:tcMar>
              <w:top w:type="dxa" w:w="60"/>
              <w:left w:type="dxa" w:w="100"/>
              <w:bottom w:type="dxa" w:w="60"/>
              <w:right w:type="dxa" w:w="100"/>
            </w:tcMar>
          </w:tcPr>
          <w:p>
            <w:r>
              <w:rPr>
                <w:b/>
                <w:bCs/>
                <w:sz w:val="18"/>
                <w:szCs w:val="18"/>
              </w:rPr>
              <w:t xml:space="preserve">Verification Note</w:t>
            </w:r>
          </w:p>
        </w:tc>
      </w:tr>
      <w:tr>
        <w:tc>
          <w:tcPr>
            <w:tcW w:type="dxa" w:w="12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sz w:val="18"/>
                <w:szCs w:val="18"/>
              </w:rPr>
              <w:t xml:space="preserve"/>
            </w:r>
          </w:p>
        </w:tc>
        <w:tc>
          <w:tcPr>
            <w:tcW w:type="dxa" w:w="12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sz w:val="18"/>
                <w:szCs w:val="18"/>
              </w:rPr>
              <w:t xml:space="preserve"/>
            </w:r>
            <w:r>
              <w:rPr>
                <w:sz w:val="18"/>
                <w:szCs w:val="18"/>
              </w:rPr>
              <w:t xml:space="preserve"/>
            </w:r>
          </w:p>
        </w:tc>
        <w:tc>
          <w:tcPr>
            <w:tcW w:type="dxa" w:w="12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sz w:val="18"/>
                <w:szCs w:val="18"/>
              </w:rPr>
              <w:t xml:space="preserve"/>
            </w:r>
          </w:p>
        </w:tc>
        <w:tc>
          <w:tcPr>
            <w:tcW w:type="dxa" w:w="12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sz w:val="18"/>
                <w:szCs w:val="18"/>
              </w:rPr>
              <w:t xml:space="preserve"/>
            </w:r>
          </w:p>
        </w:tc>
        <w:tc>
          <w:tcPr>
            <w:tcW w:type="dxa" w:w="12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sz w:val="18"/>
                <w:szCs w:val="18"/>
              </w:rPr>
              <w:t xml:space="preserve"/>
            </w:r>
          </w:p>
        </w:tc>
        <w:tc>
          <w:tcPr>
            <w:tcW w:type="dxa" w:w="12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sz w:val="18"/>
                <w:szCs w:val="18"/>
              </w:rPr>
              <w:t xml:space="preserve"/>
            </w:r>
          </w:p>
        </w:tc>
        <w:tc>
          <w:tcPr>
            <w:tcW w:type="dxa" w:w="12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sz w:val="18"/>
                <w:szCs w:val="18"/>
              </w:rPr>
              <w:t xml:space="preserve"/>
            </w:r>
          </w:p>
        </w:tc>
        <w:tc>
          <w:tcPr>
            <w:tcW w:type="dxa" w:w="12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sz w:val="18"/>
                <w:szCs w:val="18"/>
              </w:rPr>
              <w:t xml:space="preserve"/>
            </w:r>
          </w:p>
        </w:tc>
      </w:tr>
      <w:tr>
        <w:tc>
          <w:tcPr>
            <w:tcW w:type="dxa" w:w="12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sz w:val="18"/>
                <w:szCs w:val="18"/>
              </w:rPr>
              <w:t xml:space="preserve"/>
            </w:r>
          </w:p>
        </w:tc>
        <w:tc>
          <w:tcPr>
            <w:tcW w:type="dxa" w:w="12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sz w:val="18"/>
                <w:szCs w:val="18"/>
              </w:rPr>
              <w:t xml:space="preserve"/>
            </w:r>
            <w:r>
              <w:rPr>
                <w:sz w:val="18"/>
                <w:szCs w:val="18"/>
              </w:rPr>
              <w:t xml:space="preserve"/>
            </w:r>
            <w:r>
              <w:rPr>
                <w:sz w:val="18"/>
                <w:szCs w:val="18"/>
              </w:rPr>
              <w:t xml:space="preserve"/>
            </w:r>
          </w:p>
        </w:tc>
        <w:tc>
          <w:tcPr>
            <w:tcW w:type="dxa" w:w="12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sz w:val="18"/>
                <w:szCs w:val="18"/>
              </w:rPr>
              <w:t xml:space="preserve"/>
            </w:r>
          </w:p>
        </w:tc>
        <w:tc>
          <w:tcPr>
            <w:tcW w:type="dxa" w:w="12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sz w:val="18"/>
                <w:szCs w:val="18"/>
              </w:rPr>
              <w:t xml:space="preserve"/>
            </w:r>
          </w:p>
        </w:tc>
        <w:tc>
          <w:tcPr>
            <w:tcW w:type="dxa" w:w="12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sz w:val="18"/>
                <w:szCs w:val="18"/>
              </w:rPr>
              <w:t xml:space="preserve"/>
            </w:r>
          </w:p>
        </w:tc>
        <w:tc>
          <w:tcPr>
            <w:tcW w:type="dxa" w:w="12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sz w:val="18"/>
                <w:szCs w:val="18"/>
              </w:rPr>
              <w:t xml:space="preserve"/>
            </w:r>
          </w:p>
        </w:tc>
        <w:tc>
          <w:tcPr>
            <w:tcW w:type="dxa" w:w="12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sz w:val="18"/>
                <w:szCs w:val="18"/>
              </w:rPr>
              <w:t xml:space="preserve"/>
            </w:r>
          </w:p>
        </w:tc>
        <w:tc>
          <w:tcPr>
            <w:tcW w:type="dxa" w:w="12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sz w:val="18"/>
                <w:szCs w:val="18"/>
              </w:rPr>
              <w:t xml:space="preserve"/>
            </w:r>
          </w:p>
        </w:tc>
      </w:tr>
      <w:tr>
        <w:tc>
          <w:tcPr>
            <w:tcW w:type="dxa" w:w="12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sz w:val="18"/>
                <w:szCs w:val="18"/>
              </w:rPr>
              <w:t xml:space="preserve"/>
            </w:r>
          </w:p>
        </w:tc>
        <w:tc>
          <w:tcPr>
            <w:tcW w:type="dxa" w:w="12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sz w:val="18"/>
                <w:szCs w:val="18"/>
              </w:rPr>
              <w:t xml:space="preserve"/>
            </w:r>
            <w:r>
              <w:rPr>
                <w:sz w:val="18"/>
                <w:szCs w:val="18"/>
              </w:rPr>
              <w:t xml:space="preserve"/>
            </w:r>
          </w:p>
        </w:tc>
        <w:tc>
          <w:tcPr>
            <w:tcW w:type="dxa" w:w="12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sz w:val="18"/>
                <w:szCs w:val="18"/>
              </w:rPr>
              <w:t xml:space="preserve"/>
            </w:r>
          </w:p>
        </w:tc>
        <w:tc>
          <w:tcPr>
            <w:tcW w:type="dxa" w:w="12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sz w:val="18"/>
                <w:szCs w:val="18"/>
              </w:rPr>
              <w:t xml:space="preserve"/>
            </w:r>
          </w:p>
        </w:tc>
        <w:tc>
          <w:tcPr>
            <w:tcW w:type="dxa" w:w="12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sz w:val="18"/>
                <w:szCs w:val="18"/>
              </w:rPr>
              <w:t xml:space="preserve"/>
            </w:r>
          </w:p>
        </w:tc>
        <w:tc>
          <w:tcPr>
            <w:tcW w:type="dxa" w:w="12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sz w:val="18"/>
                <w:szCs w:val="18"/>
              </w:rPr>
              <w:t xml:space="preserve"/>
            </w:r>
          </w:p>
        </w:tc>
        <w:tc>
          <w:tcPr>
            <w:tcW w:type="dxa" w:w="12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sz w:val="18"/>
                <w:szCs w:val="18"/>
              </w:rPr>
              <w:t xml:space="preserve"/>
            </w:r>
          </w:p>
        </w:tc>
        <w:tc>
          <w:tcPr>
            <w:tcW w:type="dxa" w:w="12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sz w:val="18"/>
                <w:szCs w:val="18"/>
              </w:rPr>
              <w:t xml:space="preserve"/>
            </w:r>
          </w:p>
        </w:tc>
      </w:tr>
      <w:tr>
        <w:tc>
          <w:tcPr>
            <w:tcW w:type="dxa" w:w="12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sz w:val="18"/>
                <w:szCs w:val="18"/>
              </w:rPr>
              <w:t xml:space="preserve"/>
            </w:r>
          </w:p>
        </w:tc>
        <w:tc>
          <w:tcPr>
            <w:tcW w:type="dxa" w:w="12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sz w:val="18"/>
                <w:szCs w:val="18"/>
              </w:rPr>
              <w:t xml:space="preserve"/>
            </w:r>
          </w:p>
        </w:tc>
        <w:tc>
          <w:tcPr>
            <w:tcW w:type="dxa" w:w="12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sz w:val="18"/>
                <w:szCs w:val="18"/>
              </w:rPr>
              <w:t xml:space="preserve"/>
            </w:r>
          </w:p>
        </w:tc>
        <w:tc>
          <w:tcPr>
            <w:tcW w:type="dxa" w:w="12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sz w:val="18"/>
                <w:szCs w:val="18"/>
              </w:rPr>
              <w:t xml:space="preserve"/>
            </w:r>
          </w:p>
        </w:tc>
        <w:tc>
          <w:tcPr>
            <w:tcW w:type="dxa" w:w="12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sz w:val="18"/>
                <w:szCs w:val="18"/>
              </w:rPr>
              <w:t xml:space="preserve"/>
            </w:r>
          </w:p>
        </w:tc>
        <w:tc>
          <w:tcPr>
            <w:tcW w:type="dxa" w:w="12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sz w:val="18"/>
                <w:szCs w:val="18"/>
              </w:rPr>
              <w:t xml:space="preserve"/>
            </w:r>
          </w:p>
        </w:tc>
        <w:tc>
          <w:tcPr>
            <w:tcW w:type="dxa" w:w="12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sz w:val="18"/>
                <w:szCs w:val="18"/>
              </w:rPr>
              <w:t xml:space="preserve"/>
            </w:r>
            <w:r>
              <w:rPr>
                <w:sz w:val="18"/>
                <w:szCs w:val="18"/>
              </w:rPr>
              <w:t xml:space="preserve"/>
            </w:r>
            <w:r>
              <w:rPr>
                <w:sz w:val="18"/>
                <w:szCs w:val="18"/>
              </w:rPr>
              <w:t xml:space="preserve"/>
            </w:r>
          </w:p>
        </w:tc>
        <w:tc>
          <w:tcPr>
            <w:tcW w:type="dxa" w:w="12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sz w:val="18"/>
                <w:szCs w:val="18"/>
              </w:rPr>
              <w:t xml:space="preserve"/>
            </w:r>
          </w:p>
        </w:tc>
      </w:tr>
      <w:tr>
        <w:tc>
          <w:tcPr>
            <w:tcW w:type="dxa" w:w="12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sz w:val="18"/>
                <w:szCs w:val="18"/>
              </w:rPr>
              <w:t xml:space="preserve"/>
            </w:r>
          </w:p>
        </w:tc>
        <w:tc>
          <w:tcPr>
            <w:tcW w:type="dxa" w:w="12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sz w:val="18"/>
                <w:szCs w:val="18"/>
              </w:rPr>
              <w:t xml:space="preserve"/>
            </w:r>
          </w:p>
        </w:tc>
        <w:tc>
          <w:tcPr>
            <w:tcW w:type="dxa" w:w="12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sz w:val="18"/>
                <w:szCs w:val="18"/>
              </w:rPr>
              <w:t xml:space="preserve"/>
            </w:r>
          </w:p>
        </w:tc>
        <w:tc>
          <w:tcPr>
            <w:tcW w:type="dxa" w:w="12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sz w:val="18"/>
                <w:szCs w:val="18"/>
              </w:rPr>
              <w:t xml:space="preserve"/>
            </w:r>
          </w:p>
        </w:tc>
        <w:tc>
          <w:tcPr>
            <w:tcW w:type="dxa" w:w="12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sz w:val="18"/>
                <w:szCs w:val="18"/>
              </w:rPr>
              <w:t xml:space="preserve"/>
            </w:r>
          </w:p>
        </w:tc>
        <w:tc>
          <w:tcPr>
            <w:tcW w:type="dxa" w:w="12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sz w:val="18"/>
                <w:szCs w:val="18"/>
              </w:rPr>
              <w:t xml:space="preserve"/>
            </w:r>
          </w:p>
        </w:tc>
        <w:tc>
          <w:tcPr>
            <w:tcW w:type="dxa" w:w="12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sz w:val="18"/>
                <w:szCs w:val="18"/>
              </w:rPr>
              <w:t xml:space="preserve"/>
            </w:r>
          </w:p>
        </w:tc>
        <w:tc>
          <w:tcPr>
            <w:tcW w:type="dxa" w:w="12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sz w:val="18"/>
                <w:szCs w:val="18"/>
              </w:rPr>
              <w:t xml:space="preserve"/>
            </w:r>
          </w:p>
        </w:tc>
      </w:tr>
      <w:tr>
        <w:tc>
          <w:tcPr>
            <w:tcW w:type="dxa" w:w="12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sz w:val="18"/>
                <w:szCs w:val="18"/>
              </w:rPr>
              <w:t xml:space="preserve"/>
            </w:r>
          </w:p>
        </w:tc>
        <w:tc>
          <w:tcPr>
            <w:tcW w:type="dxa" w:w="12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sz w:val="18"/>
                <w:szCs w:val="18"/>
              </w:rPr>
              <w:t xml:space="preserve"/>
            </w:r>
          </w:p>
        </w:tc>
        <w:tc>
          <w:tcPr>
            <w:tcW w:type="dxa" w:w="12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sz w:val="18"/>
                <w:szCs w:val="18"/>
              </w:rPr>
              <w:t xml:space="preserve"/>
            </w:r>
          </w:p>
        </w:tc>
        <w:tc>
          <w:tcPr>
            <w:tcW w:type="dxa" w:w="12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sz w:val="18"/>
                <w:szCs w:val="18"/>
              </w:rPr>
              <w:t xml:space="preserve"/>
            </w:r>
          </w:p>
        </w:tc>
        <w:tc>
          <w:tcPr>
            <w:tcW w:type="dxa" w:w="12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sz w:val="18"/>
                <w:szCs w:val="18"/>
              </w:rPr>
              <w:t xml:space="preserve"/>
            </w:r>
          </w:p>
        </w:tc>
        <w:tc>
          <w:tcPr>
            <w:tcW w:type="dxa" w:w="12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sz w:val="18"/>
                <w:szCs w:val="18"/>
              </w:rPr>
              <w:t xml:space="preserve"/>
            </w:r>
          </w:p>
        </w:tc>
        <w:tc>
          <w:tcPr>
            <w:tcW w:type="dxa" w:w="12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sz w:val="18"/>
                <w:szCs w:val="18"/>
              </w:rPr>
              <w:t xml:space="preserve"/>
            </w:r>
          </w:p>
        </w:tc>
        <w:tc>
          <w:tcPr>
            <w:tcW w:type="dxa" w:w="12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sz w:val="18"/>
                <w:szCs w:val="18"/>
              </w:rPr>
              <w:t xml:space="preserve"/>
            </w:r>
          </w:p>
        </w:tc>
      </w:tr>
      <w:tr>
        <w:tc>
          <w:tcPr>
            <w:tcW w:type="dxa" w:w="12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sz w:val="18"/>
                <w:szCs w:val="18"/>
              </w:rPr>
              <w:t xml:space="preserve"/>
            </w:r>
          </w:p>
        </w:tc>
        <w:tc>
          <w:tcPr>
            <w:tcW w:type="dxa" w:w="12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sz w:val="18"/>
                <w:szCs w:val="18"/>
              </w:rPr>
              <w:t xml:space="preserve"/>
            </w:r>
            <w:r>
              <w:rPr>
                <w:sz w:val="18"/>
                <w:szCs w:val="18"/>
              </w:rPr>
              <w:t xml:space="preserve"/>
            </w:r>
          </w:p>
        </w:tc>
        <w:tc>
          <w:tcPr>
            <w:tcW w:type="dxa" w:w="12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sz w:val="18"/>
                <w:szCs w:val="18"/>
              </w:rPr>
              <w:t xml:space="preserve"/>
            </w:r>
          </w:p>
        </w:tc>
        <w:tc>
          <w:tcPr>
            <w:tcW w:type="dxa" w:w="12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sz w:val="18"/>
                <w:szCs w:val="18"/>
              </w:rPr>
              <w:t xml:space="preserve"/>
            </w:r>
          </w:p>
        </w:tc>
        <w:tc>
          <w:tcPr>
            <w:tcW w:type="dxa" w:w="12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sz w:val="18"/>
                <w:szCs w:val="18"/>
              </w:rPr>
              <w:t xml:space="preserve"/>
            </w:r>
          </w:p>
        </w:tc>
        <w:tc>
          <w:tcPr>
            <w:tcW w:type="dxa" w:w="12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sz w:val="18"/>
                <w:szCs w:val="18"/>
              </w:rPr>
              <w:t xml:space="preserve"/>
            </w:r>
          </w:p>
        </w:tc>
        <w:tc>
          <w:tcPr>
            <w:tcW w:type="dxa" w:w="12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sz w:val="18"/>
                <w:szCs w:val="18"/>
              </w:rPr>
              <w:t xml:space="preserve"/>
            </w:r>
          </w:p>
        </w:tc>
        <w:tc>
          <w:tcPr>
            <w:tcW w:type="dxa" w:w="12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sz w:val="18"/>
                <w:szCs w:val="18"/>
              </w:rPr>
              <w:t xml:space="preserve"/>
            </w:r>
          </w:p>
        </w:tc>
      </w:tr>
      <w:tr>
        <w:tc>
          <w:tcPr>
            <w:tcW w:type="dxa" w:w="12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sz w:val="18"/>
                <w:szCs w:val="18"/>
              </w:rPr>
              <w:t xml:space="preserve"/>
            </w:r>
          </w:p>
        </w:tc>
        <w:tc>
          <w:tcPr>
            <w:tcW w:type="dxa" w:w="12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sz w:val="18"/>
                <w:szCs w:val="18"/>
              </w:rPr>
              <w:t xml:space="preserve"/>
            </w:r>
            <w:r>
              <w:rPr>
                <w:sz w:val="18"/>
                <w:szCs w:val="18"/>
              </w:rPr>
              <w:t xml:space="preserve"/>
            </w:r>
          </w:p>
        </w:tc>
        <w:tc>
          <w:tcPr>
            <w:tcW w:type="dxa" w:w="12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sz w:val="18"/>
                <w:szCs w:val="18"/>
              </w:rPr>
              <w:t xml:space="preserve"/>
            </w:r>
          </w:p>
        </w:tc>
        <w:tc>
          <w:tcPr>
            <w:tcW w:type="dxa" w:w="12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sz w:val="18"/>
                <w:szCs w:val="18"/>
              </w:rPr>
              <w:t xml:space="preserve"/>
            </w:r>
          </w:p>
        </w:tc>
        <w:tc>
          <w:tcPr>
            <w:tcW w:type="dxa" w:w="12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sz w:val="18"/>
                <w:szCs w:val="18"/>
              </w:rPr>
              <w:t xml:space="preserve"/>
            </w:r>
          </w:p>
        </w:tc>
        <w:tc>
          <w:tcPr>
            <w:tcW w:type="dxa" w:w="12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sz w:val="18"/>
                <w:szCs w:val="18"/>
              </w:rPr>
              <w:t xml:space="preserve"/>
            </w:r>
          </w:p>
        </w:tc>
        <w:tc>
          <w:tcPr>
            <w:tcW w:type="dxa" w:w="12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sz w:val="18"/>
                <w:szCs w:val="18"/>
              </w:rPr>
              <w:t xml:space="preserve"/>
            </w:r>
          </w:p>
        </w:tc>
        <w:tc>
          <w:tcPr>
            <w:tcW w:type="dxa" w:w="12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sz w:val="18"/>
                <w:szCs w:val="18"/>
              </w:rPr>
              <w:t xml:space="preserve"/>
            </w:r>
          </w:p>
        </w:tc>
      </w:tr>
      <w:tr>
        <w:tc>
          <w:tcPr>
            <w:tcW w:type="dxa" w:w="12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sz w:val="18"/>
                <w:szCs w:val="18"/>
              </w:rPr>
              <w:t xml:space="preserve"/>
            </w:r>
          </w:p>
        </w:tc>
        <w:tc>
          <w:tcPr>
            <w:tcW w:type="dxa" w:w="12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sz w:val="18"/>
                <w:szCs w:val="18"/>
              </w:rPr>
              <w:t xml:space="preserve"/>
            </w:r>
            <w:r>
              <w:rPr>
                <w:sz w:val="18"/>
                <w:szCs w:val="18"/>
              </w:rPr>
              <w:t xml:space="preserve"/>
            </w:r>
          </w:p>
        </w:tc>
        <w:tc>
          <w:tcPr>
            <w:tcW w:type="dxa" w:w="12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sz w:val="18"/>
                <w:szCs w:val="18"/>
              </w:rPr>
              <w:t xml:space="preserve"/>
            </w:r>
          </w:p>
        </w:tc>
        <w:tc>
          <w:tcPr>
            <w:tcW w:type="dxa" w:w="12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sz w:val="18"/>
                <w:szCs w:val="18"/>
              </w:rPr>
              <w:t xml:space="preserve"/>
            </w:r>
          </w:p>
        </w:tc>
        <w:tc>
          <w:tcPr>
            <w:tcW w:type="dxa" w:w="12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sz w:val="18"/>
                <w:szCs w:val="18"/>
              </w:rPr>
              <w:t xml:space="preserve"/>
            </w:r>
          </w:p>
        </w:tc>
        <w:tc>
          <w:tcPr>
            <w:tcW w:type="dxa" w:w="12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sz w:val="18"/>
                <w:szCs w:val="18"/>
              </w:rPr>
              <w:t xml:space="preserve"/>
            </w:r>
          </w:p>
        </w:tc>
        <w:tc>
          <w:tcPr>
            <w:tcW w:type="dxa" w:w="12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sz w:val="18"/>
                <w:szCs w:val="18"/>
              </w:rPr>
              <w:t xml:space="preserve"/>
            </w:r>
          </w:p>
        </w:tc>
        <w:tc>
          <w:tcPr>
            <w:tcW w:type="dxa" w:w="12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sz w:val="18"/>
                <w:szCs w:val="18"/>
              </w:rPr>
              <w:t xml:space="preserve"/>
            </w:r>
          </w:p>
        </w:tc>
      </w:tr>
      <w:tr>
        <w:tc>
          <w:tcPr>
            <w:tcW w:type="dxa" w:w="12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sz w:val="18"/>
                <w:szCs w:val="18"/>
              </w:rPr>
              <w:t xml:space="preserve"/>
            </w:r>
          </w:p>
        </w:tc>
        <w:tc>
          <w:tcPr>
            <w:tcW w:type="dxa" w:w="12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sz w:val="18"/>
                <w:szCs w:val="18"/>
              </w:rPr>
              <w:t xml:space="preserve"/>
            </w:r>
            <w:r>
              <w:rPr>
                <w:sz w:val="18"/>
                <w:szCs w:val="18"/>
              </w:rPr>
              <w:t xml:space="preserve"/>
            </w:r>
          </w:p>
        </w:tc>
        <w:tc>
          <w:tcPr>
            <w:tcW w:type="dxa" w:w="12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sz w:val="18"/>
                <w:szCs w:val="18"/>
              </w:rPr>
              <w:t xml:space="preserve"/>
            </w:r>
          </w:p>
        </w:tc>
        <w:tc>
          <w:tcPr>
            <w:tcW w:type="dxa" w:w="12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sz w:val="18"/>
                <w:szCs w:val="18"/>
              </w:rPr>
              <w:t xml:space="preserve"/>
            </w:r>
          </w:p>
        </w:tc>
        <w:tc>
          <w:tcPr>
            <w:tcW w:type="dxa" w:w="12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sz w:val="18"/>
                <w:szCs w:val="18"/>
              </w:rPr>
              <w:t xml:space="preserve"/>
            </w:r>
          </w:p>
        </w:tc>
        <w:tc>
          <w:tcPr>
            <w:tcW w:type="dxa" w:w="12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sz w:val="18"/>
                <w:szCs w:val="18"/>
              </w:rPr>
              <w:t xml:space="preserve"/>
            </w:r>
          </w:p>
        </w:tc>
        <w:tc>
          <w:tcPr>
            <w:tcW w:type="dxa" w:w="12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sz w:val="18"/>
                <w:szCs w:val="18"/>
              </w:rPr>
              <w:t xml:space="preserve"/>
            </w:r>
          </w:p>
        </w:tc>
        <w:tc>
          <w:tcPr>
            <w:tcW w:type="dxa" w:w="12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sz w:val="18"/>
                <w:szCs w:val="18"/>
              </w:rPr>
              <w:t xml:space="preserve"/>
            </w:r>
          </w:p>
        </w:tc>
      </w:tr>
      <w:tr>
        <w:tc>
          <w:tcPr>
            <w:tcW w:type="dxa" w:w="12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sz w:val="18"/>
                <w:szCs w:val="18"/>
              </w:rPr>
              <w:t xml:space="preserve"/>
            </w:r>
          </w:p>
        </w:tc>
        <w:tc>
          <w:tcPr>
            <w:tcW w:type="dxa" w:w="12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sz w:val="18"/>
                <w:szCs w:val="18"/>
              </w:rPr>
              <w:t xml:space="preserve"/>
            </w:r>
          </w:p>
        </w:tc>
        <w:tc>
          <w:tcPr>
            <w:tcW w:type="dxa" w:w="12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sz w:val="18"/>
                <w:szCs w:val="18"/>
              </w:rPr>
              <w:t xml:space="preserve"/>
            </w:r>
          </w:p>
        </w:tc>
        <w:tc>
          <w:tcPr>
            <w:tcW w:type="dxa" w:w="12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sz w:val="18"/>
                <w:szCs w:val="18"/>
              </w:rPr>
              <w:t xml:space="preserve"/>
            </w:r>
          </w:p>
        </w:tc>
        <w:tc>
          <w:tcPr>
            <w:tcW w:type="dxa" w:w="12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sz w:val="18"/>
                <w:szCs w:val="18"/>
              </w:rPr>
              <w:t xml:space="preserve"/>
            </w:r>
          </w:p>
        </w:tc>
        <w:tc>
          <w:tcPr>
            <w:tcW w:type="dxa" w:w="12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sz w:val="18"/>
                <w:szCs w:val="18"/>
              </w:rPr>
              <w:t xml:space="preserve"/>
            </w:r>
          </w:p>
        </w:tc>
        <w:tc>
          <w:tcPr>
            <w:tcW w:type="dxa" w:w="12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sz w:val="18"/>
                <w:szCs w:val="18"/>
              </w:rPr>
              <w:t xml:space="preserve"/>
            </w:r>
          </w:p>
        </w:tc>
        <w:tc>
          <w:tcPr>
            <w:tcW w:type="dxa" w:w="126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sz w:val="18"/>
                <w:szCs w:val="18"/>
              </w:rPr>
              <w:t xml:space="preserve"/>
            </w:r>
          </w:p>
        </w:tc>
      </w:tr>
    </w:tbl>
    <w:p/>
    <w:p>
      <w:pPr>
        <w:pBdr>
          <w:bottom w:val="single" w:color="999999" w:sz="6" w:space="4"/>
        </w:pBdr>
      </w:pPr>
    </w:p>
    <w:p>
      <w:pPr>
        <w:pStyle w:val="Heading2"/>
      </w:pPr>
      <w:r>
        <w:t xml:space="preserve">7. Cross-candidate observations surfaced by this pass (not present in Step 0, worth carrying forward regardless of which seed is chosen)</w:t>
      </w:r>
    </w:p>
    <w:p>
      <w:pPr>
        <w:spacing w:after="160"/>
      </w:pPr>
      <w:r>
        <w:rPr>
          <w:b/>
          <w:bCs/>
        </w:rPr>
        <w:t xml:space="preserve">Rufinus as a recurring, structurally significant mediating hand.</w:t>
      </w:r>
      <w:r>
        <w:t xml:space="preserve"> Rufinus's translating/adapting hand now appears independently across three of these six candidates: the </w:t>
      </w:r>
      <w:r>
        <w:rPr>
          <w:i/>
          <w:iCs/>
        </w:rPr>
        <w:t xml:space="preserve">Historia Monachorum</w:t>
      </w:r>
      <w:r>
        <w:t xml:space="preserve"> (Desert Monasticism), Basil's </w:t>
      </w:r>
      <w:r>
        <w:rPr>
          <w:i/>
          <w:iCs/>
        </w:rPr>
        <w:t xml:space="preserve">Asketikon</w:t>
      </w:r>
      <w:r>
        <w:t xml:space="preserve"> (Cappadocians), and — for the held-out Alexandrian candidate — Origen's </w:t>
      </w:r>
      <w:r>
        <w:rPr>
          <w:i/>
          <w:iCs/>
        </w:rPr>
        <w:t xml:space="preserve">De Principiis</w:t>
      </w:r>
      <w:r>
        <w:t xml:space="preserve">, per Step 0's own already-flagged concern there. This is a genuine, previously implicit pattern worth naming explicitly as a project-level Author Gravity note: any future world-build touching 4th-century Greek-to-Latin doctrinal or ascetic transmission should expect to reckon with Rufinus's own editorial tendencies as a standing, recurring risk, not a one-off concern local to a single candidate.</w:t>
      </w:r>
    </w:p>
    <w:p>
      <w:pPr>
        <w:spacing w:after="160"/>
      </w:pPr>
      <w:r>
        <w:rPr>
          <w:b/>
          <w:bCs/>
        </w:rPr>
        <w:t xml:space="preserve">Material culture as a genuinely differentiating axis, not a uniform afterthought.</w:t>
      </w:r>
      <w:r>
        <w:t xml:space="preserve"> Across these six candidates, material evidence ranges from a real structural strength independently corroborating the textual record (Jerusalem's archaeological record; the Donatist epigraphic record; the Damasan catacomb inscriptions) to a comparative weakness undercutting an assumption Step 0's own brief notes implied (the Cappadocian Basiliad's textual fame outrunning its material documentation). This axis deserves more comparative weight in any future seed-selection discussion than Step 0's own compressed Item 7 previews gave it.</w:t>
      </w:r>
    </w:p>
    <w:p>
      <w:pPr>
        <w:spacing w:after="160"/>
      </w:pPr>
      <w:r>
        <w:rPr>
          <w:b/>
          <w:bCs/>
        </w:rPr>
        <w:t xml:space="preserve">One correction that narrows a candidate's own prior sourcing claim.</w:t>
      </w:r>
      <w:r>
        <w:t xml:space="preserve"> The Roman-Petrine candidate's Item 6 in Step 0 listed the "Liberian Catalogue" as though it were a source internal to Damasus's own pontificate; this pass finds it predates that pontificate and reclassifies it as Excluded/Out-of-Boundary backdrop only. This is exactly the kind of correction the project lead's delivery instruction anticipated, and it is reported plainly rather than smoothed over.</w:t>
      </w:r>
    </w:p>
    <w:p>
      <w:pPr>
        <w:spacing w:after="160"/>
      </w:pPr>
      <w:r>
        <w:rPr>
          <w:b/>
          <w:bCs/>
        </w:rPr>
        <w:t xml:space="preserve">One live doctrinal-floor nuance surfaced for the Church of the East, not previously flagged.</w:t>
      </w:r>
      <w:r>
        <w:t xml:space="preserve"> The 410 Synod's Creed text survives in recensions with a live scholarly question about Filioque-adjacent language in at least one manuscript tradition. This does not change this Step 2 pass's own findings, but it is flagged as an open item for Section A re-confirmation should this candidate advance to an actual build.</w:t>
      </w:r>
    </w:p>
    <w:p>
      <w:pPr>
        <w:pBdr>
          <w:bottom w:val="single" w:color="999999" w:sz="6" w:space="4"/>
        </w:pBdr>
      </w:pPr>
    </w:p>
    <w:p>
      <w:pPr>
        <w:spacing w:after="160"/>
      </w:pPr>
      <w:r>
        <w:rPr>
          <w:b/>
          <w:bCs/>
        </w:rPr>
        <w:t xml:space="preserve">End of this pass.</w:t>
      </w:r>
      <w:r>
        <w:t xml:space="preserve"> Alexandria (Clement/Origen) and Post-Apostolic/Sub-Apostolic House-Church Christianity remain outstanding, to be handled in a separate, genuinely fresh thread per the project lead's direction. Nothing in this document has been applied anywhere, logged as a Decision Log entry, or filed as a Change Order; nothing here selects a seed. This is presented in full for the project lead's review before any of that happens.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3864"/>
      <w:sz w:val="30"/>
      <w:szCs w:val="30"/>
    </w:rPr>
  </w:style>
  <w:style w:type="paragraph" w:styleId="Heading2">
    <w:name w:val="Heading 2"/>
    <w:basedOn w:val="Normal"/>
    <w:next w:val="Normal"/>
    <w:qFormat/>
    <w:pPr>
      <w:spacing w:after="160" w:before="280"/>
      <w:outlineLvl w:val="1"/>
    </w:pPr>
    <w:rPr>
      <w:rFonts w:ascii="Arial" w:cs="Arial" w:eastAsia="Arial" w:hAnsi="Arial"/>
      <w:b/>
      <w:bCs/>
      <w:color w:val="2E5395"/>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44546A"/>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2026-07-05T23:27:48.961Z</dcterms:created>
  <dcterms:modified xsi:type="dcterms:W3CDTF">2026-07-05T23:27:48.961Z</dcterms:modified>
</cp:coreProperties>
</file>

<file path=docProps/custom.xml><?xml version="1.0" encoding="utf-8"?>
<Properties xmlns="http://schemas.openxmlformats.org/officeDocument/2006/custom-properties" xmlns:vt="http://schemas.openxmlformats.org/officeDocument/2006/docPropsVTypes"/>
</file>