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0 Methodology — Movement-Scope Eligibility and Seed Identification</w:t>
      </w:r>
    </w:p>
    <w:p>
      <w:r>
        <w:t>Version 1.0. Procedural companion to the Constitution's Movement-Scope scoping section (Article 4). This document is the Construction Framework's Step 0, run once per release phase, before any individual world's Step 1 begins.</w:t>
      </w:r>
    </w:p>
    <w:p>
      <w:pPr>
        <w:pStyle w:val="Heading1"/>
      </w:pPr>
      <w:r>
        <w:t>Section A — Movement-Scope Eligibility</w:t>
      </w:r>
    </w:p>
    <w:p>
      <w:r>
        <w:t>This section is the procedural home for the Constitutional Movement-Scope Principle. It runs first, before Section B's five screening criteria — it is a threshold gate, not a scored criterion. A candidate that does not clear Section A is not scored against Section B at all, except via the hand-selected path below.</w:t>
      </w:r>
    </w:p>
    <w:p>
      <w:pPr>
        <w:pStyle w:val="Heading2"/>
      </w:pPr>
      <w:r>
        <w:t>A1. The floor</w:t>
      </w:r>
    </w:p>
    <w:p>
      <w:r>
        <w:t>The floor is stated in Article 4 of the Constitution (Movement-Scope scoping section) and is not restated here. This section operationalizes it procedurally.</w:t>
      </w:r>
    </w:p>
    <w:p>
      <w:r>
        <w:t>Most exclusions are straightforward at this point: a candidate whose plain confession simply denies one or more of Article 4's commitments — for example, movements that explicitly reject Christ's full and co-equal divinity, or hold a materially different account of God's nature — does not meet the floor, without needing any further test. This is the ordinary case, and it resolves the most commonly asked boundary questions (for instance, movements such as Jehovah's Witnesses or the Church of Jesus Christ of Latter-day Saints do not meet the floor on this straightforward basis, since their own confessions differ from Article 4's content on its plain terms — this is stated as a factual description of the confessional difference, not a value judgment about the movement or its adherents).</w:t>
      </w:r>
    </w:p>
    <w:p>
      <w:pPr>
        <w:pStyle w:val="Heading2"/>
      </w:pPr>
      <w:r>
        <w:t>A2. Pre-Nicene movements</w:t>
      </w:r>
    </w:p>
    <w:p>
      <w:r>
        <w:t>A movement that predates 325 cannot be tested against a text that did not yet exist. It is assessed by continuity: does its own surviving confession affirm, in the less technical language available to it, the substance Article 4 states?</w:t>
      </w:r>
    </w:p>
    <w:p>
      <w:r>
        <w:t>This tracks the descriptive distinction scholars of the period draw between proto-orthodox Christianity — the strand whose beliefs became the Nicene consensus — and rival movements (Gnostic, Marcionite, Ebionite, and similar groups) whose beliefs diverged from it. That scholarly distinction is descriptive: it identifies which strand later prevailed, without itself asserting which had the superior claim to being authentically Christian. This methodology makes an explicit, project-level normative use of that same distinction — treating proto-orthodox continuity as the relevant pre-Nicene eligibility test. That is a scope decision this project is making, not a conclusion the underlying scholarship asserts on its own.</w:t>
      </w:r>
    </w:p>
    <w:p>
      <w:pPr>
        <w:pStyle w:val="Heading2"/>
      </w:pPr>
      <w:r>
        <w:t>A3. Contemporary movements and interpretive fidelity</w:t>
      </w:r>
    </w:p>
    <w:p>
      <w:r>
        <w:t>This section addresses a harder case than A1's plain-denial test: candidates that retain Nicene vocabulary — speaking of Christ's divinity, the resurrection, or the Trinity — while reinterpreting it symbolically, metaphorically, or non-literally, such that the plain historical and ontological claim (that Christ is actually, ontologically divine; that the resurrection was an actual bodily event; and so on) is no longer being made. This is a recognized distinction in contemporary theology, sometimes described as the difference between a “realist” and a “non-realist” reading of Christian doctrine (associated with theologians such as Don Cupitt, and, specifically on the resurrection, John Shelby Spong). A candidate that affirms Article 4's content only in this reinterpreted, non-literal sense does not meet the floor, regardless of whether it retains the traditional vocabulary.</w:t>
      </w:r>
    </w:p>
    <w:p>
      <w:r>
        <w:t>This is not the same question as denominational or ethical disagreement, and it is not a ruling on any single named contemporary movement as a whole. “Progressive Christianity” is not a uniform position — it names a broad and internally diverse contemporary current, ranging from communities and theologians who affirm the full floor in its plain sense while differing from other traditions on questions of ethics, biblical interpretation, or church practice, to communities and theologians who explicitly reinterpret core claims (the resurrection, Christ's divinity, the nature of God) in a non-realist or symbolic sense. This methodology does not rule on “progressive Christianity” as a category, because the category spans both sides of the floor. Eligibility is assessed against the specific confession of the specific candidate community, denomination, or theologian under consideration — never against a label. Where the determination is genuinely unclear, it is recorded as an open question for the project lead's judgment, consistent with this methodology's general practice, rather than resolved by the label alone.</w:t>
      </w:r>
    </w:p>
    <w:p>
      <w:pPr>
        <w:pStyle w:val="Heading2"/>
      </w:pPr>
      <w:r>
        <w:t>A4. Hand-selected adjacent inclusion</w:t>
      </w:r>
    </w:p>
    <w:p>
      <w:r>
        <w:t>Some movements sit close to the floor without fully meeting it — through a specific, named point of divergence, through evidence too thin to assess confidently, or through historical/pedagogical significance that makes inclusion valuable despite the divergence. The project lead may designate such a movement as included on a Nicene-adjacent basis, bounded as follows:</w:t>
      </w:r>
    </w:p>
    <w:p>
      <w:pPr>
        <w:pStyle w:val="ListBullet"/>
      </w:pPr>
      <w:r>
        <w:t>This path may waive no more than one of the five Article 4 commitments for a given movement.</w:t>
      </w:r>
    </w:p>
    <w:p>
      <w:pPr>
        <w:pStyle w:val="ListBullet"/>
      </w:pPr>
      <w:r>
        <w:t>It may never waive Christ's full divinity — the commitment the other four depend on.</w:t>
      </w:r>
    </w:p>
    <w:p>
      <w:pPr>
        <w:pStyle w:val="ListBullet"/>
      </w:pPr>
      <w:r>
        <w:t>Each hand-selected inclusion is recorded, with its specific stated divergence, in the Change Orders Register (or an equivalent visible log), so the number and proportion of hand-selected inclusions relative to movements meeting the floor directly stays visible and auditable, not disclosed only one World Profile at a time.</w:t>
      </w:r>
    </w:p>
    <w:p>
      <w:pPr>
        <w:pStyle w:val="ListBullet"/>
      </w:pPr>
      <w:r>
        <w:t>If hand-selected inclusions exceed five total, or exceed 10% of movements meeting the floor directly, whichever is reached first, in a given release phase, this section is flagged for external review (Article 31) before any further hand-selected inclusion is made in that phase. This is a starting default, adjustable by the project lead.</w:t>
      </w:r>
    </w:p>
    <w:p>
      <w:r>
        <w:t>This is never automatic and never a general rule. It exists so a purely mechanical floor doesn't exclude movements of real historical importance, while keeping every such exception named and countable rather than quietly absorbed into the general pool.</w:t>
      </w:r>
    </w:p>
    <w:p>
      <w:pPr>
        <w:pStyle w:val="Heading2"/>
      </w:pPr>
      <w:r>
        <w:t>A5. Interaction with Articles 20, 21, and 23</w:t>
      </w:r>
    </w:p>
    <w:p>
      <w:r>
        <w:t>A movement's historical rivals — movements it anathematized or was anathematized by — are not separately assessed for inclusion as their own worlds under this section. Per Article 23, they appear, where relevant, as an included world's own opponents, within that world's own reconstruction, not as independently screened candidates.</w:t>
      </w:r>
    </w:p>
    <w:p>
      <w:r>
        <w:t>This section is never applied to exclude a marginalized voice within an already-included movement whose confession is harder to document than the mainstream's. Per Article 20's affirmative duty, such a voice is reconstructed and named as part of that world's own ecology, not separately tested against this floor.</w:t>
      </w:r>
    </w:p>
    <w:p>
      <w:r>
        <w:t>Where a movement contains multiple internal strands under Article 21, eligibility is assessed at the world level against its established strands as a whole — including whichever strand(s) meet the floor — never strand-by-strand in a way that lets one divergent internal strand exclude an otherwise-eligible world.</w:t>
      </w:r>
    </w:p>
    <w:p>
      <w:pPr>
        <w:pStyle w:val="Heading1"/>
      </w:pPr>
      <w:r>
        <w:t>Section B — Seed Screening and Tiering</w:t>
      </w:r>
    </w:p>
    <w:p>
      <w:r>
        <w:t>Why this exists, and why it was rebuilt: the prior version of this process (developed conversationally earlier in this project) used criteria that were partly invented through discussion rather than derived from the documents themselves — “soft Nicene proximity” and an “eponymous exclusion” test did not appear anywhere in the Constitution, Vision, or Concept Paper. This rebuild started over, using only what these documents already establish, citing every criterion to its source.</w:t>
      </w:r>
    </w:p>
    <w:p>
      <w:r>
        <w:t>Scope, stated up front: this is a phase-level process, run once when the project opens a new release phase, never a per-world process. It does not build a world. It does not do Step 1 (World Identification) work. Its only output is a list of seeds — neutral, research-grounded pointers to candidate movements — handed off to Step 1 when a specific seed is chosen for actual construction. A seed is not a world.</w:t>
      </w:r>
    </w:p>
    <w:p>
      <w:pPr>
        <w:pStyle w:val="Heading2"/>
      </w:pPr>
      <w:r>
        <w:t>B1. Sourcing (evidentiary rigor)</w:t>
      </w:r>
    </w:p>
    <w:p>
      <w:r>
        <w:t>Cited to: the Trustworthiness Principle (Construction Framework Core Construction Principles); the Template's Historiographical Position and Source Ecology dimensions; Constitution Article 31 (External Scholarly Accountability); and Article 20 (Ordinary Believer, Source Asymmetry — surviving sources disproportionately preserve elite/institutional voices, and this asymmetry is named, not penalized).</w:t>
      </w:r>
    </w:p>
    <w:p>
      <w:r>
        <w:t>What this means for seed screening: does enough independent, checkable evidence survive to support a defensible reconstruction at Documented or Widely Accepted confidence for its core claims, with the asymmetry named rather than hidden?</w:t>
      </w:r>
    </w:p>
    <w:p>
      <w:pPr>
        <w:pStyle w:val="Heading2"/>
      </w:pPr>
      <w:r>
        <w:t>B2. Ecology (does this candidate support a full, lived world)</w:t>
      </w:r>
    </w:p>
    <w:p>
      <w:r>
        <w:t>Cited to: the Ecology First Principle; the Formation Ecology and Integrated Ecology Analysis dimensions (eight co-equal analytical lenses); and the Concept Paper's “Formation Worlds as Lived Realities” section.</w:t>
      </w:r>
    </w:p>
    <w:p>
      <w:r>
        <w:t>What this means for seed screening: can this candidate plausibly support most or all eight lenses, or does what survives mostly amount to one lens only (most commonly theological/doctrinal argument alone)?</w:t>
      </w:r>
    </w:p>
    <w:p>
      <w:pPr>
        <w:pStyle w:val="Heading2"/>
      </w:pPr>
      <w:r>
        <w:t>B3. Uniqueness (differentiation)</w:t>
      </w:r>
    </w:p>
    <w:p>
      <w:r>
        <w:t>Cited to: the Differentiation Principle; Constitution Article 4 / Conviction 1 (“No single movement exhausts that richness”); and the Vision's own worked examples of movement variety.</w:t>
      </w:r>
    </w:p>
    <w:p>
      <w:r>
        <w:t>What this means for seed screening: judged relative to what is already selected or built for the phase, not in the abstract.</w:t>
      </w:r>
    </w:p>
    <w:p>
      <w:pPr>
        <w:pStyle w:val="Heading2"/>
      </w:pPr>
      <w:r>
        <w:t>B4. User needs (audience fit)</w:t>
      </w:r>
    </w:p>
    <w:p>
      <w:r>
        <w:t>Cited to: the Essential Experience document's named audiences — “curious seekers, thoughtful believers, pastors and teachers, historically interested learners, deconstructing Christians, academically minded users.”</w:t>
      </w:r>
    </w:p>
    <w:p>
      <w:r>
        <w:t>What this means for seed screening: does this candidate offer something distinctive to several of these audiences, honestly noted rather than claimed universally.</w:t>
      </w:r>
    </w:p>
    <w:p>
      <w:pPr>
        <w:pStyle w:val="Heading2"/>
      </w:pPr>
      <w:r>
        <w:t>B5. Scale (a modest tiebreak, not a filter)</w:t>
      </w:r>
    </w:p>
    <w:p>
      <w:r>
        <w:t>Cited to: the Vision's “Governing Constraint on Revision” — richer attestation supports greater achievable depth.</w:t>
      </w:r>
    </w:p>
    <w:p>
      <w:r>
        <w:t>What this means for seed screening: where two candidates are otherwise comparable, the larger/more prominent movement gets modest priority as a tiebreak only; a small, thinly-known movement with genuinely strong evidence still screens in.</w:t>
      </w:r>
    </w:p>
    <w:p>
      <w:pPr>
        <w:pStyle w:val="Heading1"/>
      </w:pPr>
      <w:r>
        <w:t>Procedure (phase-level, run once per new release phase)</w:t>
      </w:r>
    </w:p>
    <w:p>
      <w:r>
        <w:t>1. Broad survey. Independent of any existing world list, survey historically and academically documented Christian movements within the phase's stated scope, using standard historical/religious-studies terminology.</w:t>
      </w:r>
    </w:p>
    <w:p>
      <w:r>
        <w:t>2. Section A screening. Test each candidate against A1 (and A2 or A3 as applicable). A candidate that clears A1/A2/A3 advances to Section B scoring. A candidate that does not clear it is either excluded, or considered under A4 (hand-selected adjacent inclusion) with its divergence explicitly named and logged.</w:t>
      </w:r>
    </w:p>
    <w:p>
      <w:r>
        <w:t>3. Section B scoring. Score each surviving candidate against the five criteria, recording citation-grounded reasoning for each score. Sourcing and Ecology are near-threshold checks. Uniqueness is scored relative to the emerging shortlist. User Needs is recorded honestly, not maximized. Scale is a tiebreak note only.</w:t>
      </w:r>
    </w:p>
    <w:p>
      <w:r>
        <w:t>4. Produce the full seed list, organized by tier and fit: Tier 1 — Strong seeds (clear Section A directly, clear Sourcing and Ecology comfortably, offer genuine differentiation, serve multiple named audiences); Tier 2 — Viable but secondary (clear Section A directly, clear Sourcing and Ecology, but more redundant or narrower in audience fit); Tier 3 — Marginal or deferred (thin evidence, thin ecology, or high redundancy, recorded so the reasoning for exclusion isn't lost); Adjacent (A4) — cleared only via hand-selected inclusion, with the specific divergence stated and logged per A4. Each entry carries: name, dates/region, one-line description, fit notes against Section A and each Section B criterion, and any open question flagged per A3's interpretive-fidelity test.</w:t>
      </w:r>
    </w:p>
    <w:p>
      <w:r>
        <w:t>5. Handoff. The Tier 1 (and, at the project lead's discretion, Tier 2 and Adjacent) list is what Step 1 draws from. Nothing in this list is binding on Step 1's own boundary work.</w:t>
      </w:r>
    </w:p>
    <w:p>
      <w:pPr>
        <w:pStyle w:val="Heading1"/>
      </w:pPr>
      <w:r>
        <w:t>Governance</w:t>
      </w:r>
    </w:p>
    <w:p>
      <w:r>
        <w:t>This document is the Construction Framework's Step 0. It is procedural; the Constitution's Article 4 Movement-Scope scoping section is the sole authoritative statement of the floor's content. Where this document and Article 4 differ, Article 4 governs, and this document must be corrected to match it.</w:t>
      </w:r>
    </w:p>
    <w:p>
      <w:r>
        <w:t>Filed under CO-019. See the Change Orders Register for the full change record and constitutional grounding.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