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144965ab5267d664291e2ad90e7be3d2f870f"/>
      <w:r>
        <w:t xml:space="preserve">Doc_01 — World Identification, Boundaries, and Orientation</w:t>
      </w:r>
      <w:bookmarkEnd w:id="20"/>
    </w:p>
    <w:p>
      <w:pPr>
        <w:pStyle w:val="FirstParagraph"/>
      </w:pPr>
      <w:r>
        <w:rPr>
          <w:b/>
        </w:rPr>
        <w:t xml:space="preserve">World #1: Post-Apostolic/Sub-Apostolic House-Church Christianity</w:t>
      </w:r>
    </w:p>
    <w:p>
      <w:pPr>
        <w:pStyle w:val="BodyText"/>
      </w:pPr>
      <w:r>
        <w:rPr>
          <w:b/>
        </w:rPr>
        <w:t xml:space="preserve">Status:</w:t>
      </w:r>
      <w:r>
        <w:t xml:space="preserve"> </w:t>
      </w:r>
      <w:r>
        <w:t xml:space="preserve">APPROVED TO PROCEED — signed off by the project lead (Mark) on 2026-07-07, via explicit confirmation in this build’s conversation record. Cleared round-2 independent review with cosmetic-only feedback, applied directly per the CiC build cycle. Subsequently cleared its first genuinely cold, file-saved independent review (round 1), which found two substantial findings (an untraceable governance citation and unverifiable prior review-history narration), both fixed directly and narrowly per the revision-decision test. Revision count: 1 (substantial) + cosmetic pass applied post-round-2 + cold-review fixes. This document’s APPROVED TO PROCEED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V7.3, Part I; Constitution Articles 21 and 22; Step 0 Conclusion (Phase One World Selection), World #1 entry.</w:t>
      </w:r>
    </w:p>
    <w:p>
      <w:pPr>
        <w:pStyle w:val="BodyText"/>
      </w:pPr>
      <w:r>
        <w:rPr>
          <w:b/>
        </w:rPr>
        <w:t xml:space="preserve">Built from:</w:t>
      </w:r>
      <w:r>
        <w:t xml:space="preserve"> </w:t>
      </w:r>
      <w:r>
        <w:t xml:space="preserve">the Step 0 Conclusion’s own scope note for World #1; the Construction Framework’s Part I requirements; a five-angle deep-research pass on primary-source dating, regional/network evidence, authority structure, and contemporary rival movements (citations inline below). No content from any other branch or prior world-build was consulted.</w:t>
      </w:r>
    </w:p>
    <w:p>
      <w:r>
        <w:pict>
          <v:rect style="width:0;height:1.5pt" o:hralign="center" o:hrstd="t" o:hr="t"/>
        </w:pict>
      </w:r>
    </w:p>
    <w:p>
      <w:pPr>
        <w:pStyle w:val="Heading2"/>
      </w:pPr>
      <w:bookmarkStart w:id="21" w:name="distinct-world-criteria"/>
      <w:r>
        <w:t xml:space="preserve">1. Distinct World Criteria</w:t>
      </w:r>
      <w:bookmarkEnd w:id="21"/>
    </w:p>
    <w:p>
      <w:pPr>
        <w:pStyle w:val="FirstParagraph"/>
      </w:pPr>
      <w:r>
        <w:t xml:space="preserve">What makes this a distinct formation world, rather than an undifferentiated continuation of apostolic-era Christianity or an anticipation of the 3rd-century church, is a recurring, evidenced cluster of features:</w:t>
      </w:r>
    </w:p>
    <w:p>
      <w:pPr>
        <w:numPr>
          <w:ilvl w:val="0"/>
          <w:numId w:val="1001"/>
        </w:numPr>
        <w:pStyle w:val="Compact"/>
      </w:pPr>
      <w:r>
        <w:rPr>
          <w:b/>
        </w:rPr>
        <w:t xml:space="preserve">Formation ecology:</w:t>
      </w:r>
      <w:r>
        <w:t xml:space="preserve"> </w:t>
      </w:r>
      <w:r>
        <w:t xml:space="preserve">household (oikos)-based gathering and catechesis, sustained by a translocal correspondence network rather than a fixed institutional center.</w:t>
      </w:r>
    </w:p>
    <w:p>
      <w:pPr>
        <w:numPr>
          <w:ilvl w:val="0"/>
          <w:numId w:val="1001"/>
        </w:numPr>
        <w:pStyle w:val="Compact"/>
      </w:pPr>
      <w:r>
        <w:rPr>
          <w:b/>
        </w:rPr>
        <w:t xml:space="preserve">Recurring candidate gravities</w:t>
      </w:r>
      <w:r>
        <w:t xml:space="preserve"> </w:t>
      </w:r>
      <w:r>
        <w:t xml:space="preserve">(preliminary only — formal Gravity Discovery is reserved for Doc_04): authority-in-formation (a plural presbyter-bishop college giving way, unevenly, to single-bishop office); apostolic memory as the anchor of legitimacy, in the absence of a closed canon; household as the basic organizational unit; unity maintained across real geographic distance by letters and travelling emissaries rather than centralized administration; an active, unfinished boundary-drawing against rival claimants to the same apostolic inheritance.</w:t>
      </w:r>
    </w:p>
    <w:p>
      <w:pPr>
        <w:numPr>
          <w:ilvl w:val="0"/>
          <w:numId w:val="1001"/>
        </w:numPr>
        <w:pStyle w:val="Compact"/>
      </w:pPr>
      <w:r>
        <w:rPr>
          <w:b/>
        </w:rPr>
        <w:t xml:space="preserve">Recurring patterns:</w:t>
      </w:r>
      <w:r>
        <w:t xml:space="preserve"> </w:t>
      </w:r>
      <w:r>
        <w:t xml:space="preserve">baptism and shared meal practice (Didache 7–10); catechesis via an adaptable</w:t>
      </w:r>
      <w:r>
        <w:t xml:space="preserve"> </w:t>
      </w:r>
      <w:r>
        <w:t xml:space="preserve">“</w:t>
      </w:r>
      <w:r>
        <w:t xml:space="preserve">Two Ways</w:t>
      </w:r>
      <w:r>
        <w:t xml:space="preserve">”</w:t>
      </w:r>
      <w:r>
        <w:t xml:space="preserve"> </w:t>
      </w:r>
      <w:r>
        <w:t xml:space="preserve">moral tradition rather than a fixed curriculum; scripture read alongside living apostolic testimony, not yet a closed canon; belonging structured by household hospitality and travelling letters rather than diocesan administration.</w:t>
      </w:r>
    </w:p>
    <w:p>
      <w:pPr>
        <w:numPr>
          <w:ilvl w:val="0"/>
          <w:numId w:val="1001"/>
        </w:numPr>
        <w:pStyle w:val="Compact"/>
      </w:pPr>
      <w:r>
        <w:rPr>
          <w:b/>
        </w:rPr>
        <w:t xml:space="preserve">What distinguishes this world from its nearest neighbors</w:t>
      </w:r>
      <w:r>
        <w:t xml:space="preserve"> </w:t>
      </w:r>
      <w:r>
        <w:t xml:space="preserve">(argued fully under World Continuity &amp; Distinction, Section 8): from World #7 (Syriac Christianity), this world differs in language, political frame, literary genre, and authority structure; from World #2 (Alexandrian Catechetical/Christian-Platonist Tradition), it differs in formation logic — household/correspondence-based pastoral formation here, versus a teaching-relationship-based exegetical-philosophical formation there.</w:t>
      </w:r>
    </w:p>
    <w:p>
      <w:r>
        <w:pict>
          <v:rect style="width:0;height:1.5pt" o:hralign="center" o:hrstd="t" o:hr="t"/>
        </w:pict>
      </w:r>
    </w:p>
    <w:p>
      <w:pPr>
        <w:pStyle w:val="Heading2"/>
      </w:pPr>
      <w:bookmarkStart w:id="22" w:name="temporal-scope"/>
      <w:r>
        <w:t xml:space="preserve">2. Temporal Scope</w:t>
      </w:r>
      <w:bookmarkEnd w:id="22"/>
    </w:p>
    <w:p>
      <w:pPr>
        <w:pStyle w:val="Heading3"/>
      </w:pPr>
      <w:bookmarkStart w:id="23" w:name="beginning-point-c.-70-ce"/>
      <w:r>
        <w:t xml:space="preserve">2.1 Beginning point: c. 70 CE</w:t>
      </w:r>
      <w:bookmarkEnd w:id="23"/>
    </w:p>
    <w:p>
      <w:pPr>
        <w:pStyle w:val="FirstParagraph"/>
      </w:pPr>
      <w:r>
        <w:t xml:space="preserve">This world’s floor is inherited directly from Phase One’s own constitutional scope decision — 70 CE, the destruction of the Second Temple — as fixed in the Step 0 Conclusion. That decision is a project-level boundary made at Step 0 and is not re-litigated here.</w:t>
      </w:r>
    </w:p>
    <w:p>
      <w:pPr>
        <w:pStyle w:val="BodyText"/>
      </w:pPr>
      <w:r>
        <w:t xml:space="preserve">Independent research surfaces something worth recording rather than silently absorbing: 70 CE is a comparatively weak</w:t>
      </w:r>
      <w:r>
        <w:t xml:space="preserve"> </w:t>
      </w:r>
      <w:r>
        <w:rPr>
          <w:i/>
        </w:rPr>
        <w:t xml:space="preserve">internal</w:t>
      </w:r>
      <w:r>
        <w:t xml:space="preserve"> </w:t>
      </w:r>
      <w:r>
        <w:t xml:space="preserve">marker for this specific world’s own post-apostolic transition. The mechanisms once used to tie 70 CE to a Jewish-Christian institutional rupture (the council of Jamnia, the</w:t>
      </w:r>
      <w:r>
        <w:t xml:space="preserve"> </w:t>
      </w:r>
      <w:r>
        <w:rPr>
          <w:i/>
        </w:rPr>
        <w:t xml:space="preserve">Birkat ha-Minim</w:t>
      </w:r>
      <w:r>
        <w:t xml:space="preserve"> </w:t>
      </w:r>
      <w:r>
        <w:t xml:space="preserve">curse against</w:t>
      </w:r>
      <w:r>
        <w:t xml:space="preserve"> </w:t>
      </w:r>
      <w:r>
        <w:rPr>
          <w:i/>
        </w:rPr>
        <w:t xml:space="preserve">minim</w:t>
      </w:r>
      <w:r>
        <w:t xml:space="preserve">) are now generally read by scholars as later and more gradual than once assumed — the</w:t>
      </w:r>
      <w:r>
        <w:t xml:space="preserve"> </w:t>
      </w:r>
      <w:r>
        <w:rPr>
          <w:i/>
        </w:rPr>
        <w:t xml:space="preserve">Birkat ha-Minim</w:t>
      </w:r>
      <w:r>
        <w:t xml:space="preserve"> </w:t>
      </w:r>
      <w:r>
        <w:t xml:space="preserve">is attested only in medieval Geniza fragments.</w:t>
      </w:r>
      <w:r>
        <w:t xml:space="preserve"> </w:t>
      </w:r>
      <w:r>
        <w:rPr>
          <w:b/>
        </w:rPr>
        <w:t xml:space="preserve">Revised per round-1 review:</w:t>
      </w:r>
      <w:r>
        <w:t xml:space="preserve"> </w:t>
      </w:r>
      <w:r>
        <w:t xml:space="preserve">the broader</w:t>
      </w:r>
      <w:r>
        <w:t xml:space="preserve"> </w:t>
      </w:r>
      <w:r>
        <w:t xml:space="preserve">“</w:t>
      </w:r>
      <w:r>
        <w:t xml:space="preserve">Parting of the Ways</w:t>
      </w:r>
      <w:r>
        <w:t xml:space="preserve">”</w:t>
      </w:r>
      <w:r>
        <w:t xml:space="preserve"> </w:t>
      </w:r>
      <w:r>
        <w:t xml:space="preserve">model has been substantially revised by Judith Lieu (</w:t>
      </w:r>
      <w:r>
        <w:rPr>
          <w:i/>
        </w:rPr>
        <w:t xml:space="preserve">JSNT</w:t>
      </w:r>
      <w:r>
        <w:t xml:space="preserve">, 1995), Daniel Boyarin, and Annette Yoshiko Reed and Adam Becker’s edited volume</w:t>
      </w:r>
      <w:r>
        <w:t xml:space="preserve"> </w:t>
      </w:r>
      <w:r>
        <w:rPr>
          <w:i/>
        </w:rPr>
        <w:t xml:space="preserve">The Ways That Never Parted</w:t>
      </w:r>
      <w:r>
        <w:t xml:space="preserve"> </w:t>
      </w:r>
      <w:r>
        <w:t xml:space="preserve">(Fortress, 2007) — but precisely stated, that literature argues</w:t>
      </w:r>
      <w:r>
        <w:t xml:space="preserve"> </w:t>
      </w:r>
      <w:r>
        <w:rPr>
          <w:i/>
        </w:rPr>
        <w:t xml:space="preserve">against any single, clean-break separation date at all</w:t>
      </w:r>
      <w:r>
        <w:t xml:space="preserve">, not</w:t>
      </w:r>
      <w:r>
        <w:t xml:space="preserve"> </w:t>
      </w:r>
      <w:r>
        <w:rPr>
          <w:i/>
        </w:rPr>
        <w:t xml:space="preserve">for</w:t>
      </w:r>
      <w:r>
        <w:t xml:space="preserve"> </w:t>
      </w:r>
      <w:r>
        <w:t xml:space="preserve">a later replacement date. Its claim is that Jewish and Christian communities remained porous, mutually entangled, and institutionally unsettled in their mutual boundary for centuries, not that a decisive institutional split simply occurred later, at 400 CE instead of 70 CE. Treating 70 CE as a weak marker for</w:t>
      </w:r>
      <w:r>
        <w:t xml:space="preserve"> </w:t>
      </w:r>
      <w:r>
        <w:rPr>
          <w:i/>
        </w:rPr>
        <w:t xml:space="preserve">this world’s own</w:t>
      </w:r>
      <w:r>
        <w:t xml:space="preserve"> </w:t>
      </w:r>
      <w:r>
        <w:t xml:space="preserve">Gentile-focused transition does not depend on, or require, a competing fixed date from this literature — it depends only on this literature’s dissolution of the idea that any single date does this boundary-drawing work.</w:t>
      </w:r>
      <w:r>
        <w:t xml:space="preserve"> </w:t>
      </w:r>
      <w:r>
        <w:rPr>
          <w:i/>
        </w:rPr>
        <w:t xml:space="preserve">[Contested — the</w:t>
      </w:r>
      <w:r>
        <w:rPr>
          <w:i/>
        </w:rPr>
        <w:t xml:space="preserve"> </w:t>
      </w:r>
      <w:r>
        <w:rPr>
          <w:i/>
        </w:rPr>
        <w:t xml:space="preserve">“</w:t>
      </w:r>
      <w:r>
        <w:rPr>
          <w:i/>
        </w:rPr>
        <w:t xml:space="preserve">no clean break</w:t>
      </w:r>
      <w:r>
        <w:rPr>
          <w:i/>
        </w:rPr>
        <w:t xml:space="preserve">”</w:t>
      </w:r>
      <w:r>
        <w:rPr>
          <w:i/>
        </w:rPr>
        <w:t xml:space="preserve"> </w:t>
      </w:r>
      <w:r>
        <w:rPr>
          <w:i/>
        </w:rPr>
        <w:t xml:space="preserve">reading is now closer to the mainstream critical position than the older</w:t>
      </w:r>
      <w:r>
        <w:rPr>
          <w:i/>
        </w:rPr>
        <w:t xml:space="preserve"> </w:t>
      </w:r>
      <w:r>
        <w:rPr>
          <w:i/>
        </w:rPr>
        <w:t xml:space="preserve">“</w:t>
      </w:r>
      <w:r>
        <w:rPr>
          <w:i/>
        </w:rPr>
        <w:t xml:space="preserve">clean break at 70</w:t>
      </w:r>
      <w:r>
        <w:rPr>
          <w:i/>
        </w:rPr>
        <w:t xml:space="preserve">”</w:t>
      </w:r>
      <w:r>
        <w:rPr>
          <w:i/>
        </w:rPr>
        <w:t xml:space="preserve"> </w:t>
      </w:r>
      <w:r>
        <w:rPr>
          <w:i/>
        </w:rPr>
        <w:t xml:space="preserve">reading, but it does not offer a substitute clean-break date of its own.]</w:t>
      </w:r>
    </w:p>
    <w:p>
      <w:pPr>
        <w:pStyle w:val="BodyText"/>
      </w:pPr>
      <w:r>
        <w:t xml:space="preserve">For the Greek-speaking Gentile churches this world actually covers (Antioch/Syria, Asia Minor, Rome), the better-evidenced internal hinge is earlier: Raymond Brown’s</w:t>
      </w:r>
      <w:r>
        <w:t xml:space="preserve"> </w:t>
      </w:r>
      <w:r>
        <w:rPr>
          <w:i/>
        </w:rPr>
        <w:t xml:space="preserve">The Churches the Apostles Left Behind</w:t>
      </w:r>
      <w:r>
        <w:t xml:space="preserve"> </w:t>
      </w:r>
      <w:r>
        <w:t xml:space="preserve">(Paulist, 1984) — still the standard specialist treatment — periodizes an</w:t>
      </w:r>
      <w:r>
        <w:t xml:space="preserve"> </w:t>
      </w:r>
      <w:r>
        <w:t xml:space="preserve">“</w:t>
      </w:r>
      <w:r>
        <w:t xml:space="preserve">apostolic age</w:t>
      </w:r>
      <w:r>
        <w:t xml:space="preserve">”</w:t>
      </w:r>
      <w:r>
        <w:t xml:space="preserve"> </w:t>
      </w:r>
      <w:r>
        <w:t xml:space="preserve">of 33–66 CE and a</w:t>
      </w:r>
      <w:r>
        <w:t xml:space="preserve"> </w:t>
      </w:r>
      <w:r>
        <w:t xml:space="preserve">“</w:t>
      </w:r>
      <w:r>
        <w:t xml:space="preserve">sub-apostolic age</w:t>
      </w:r>
      <w:r>
        <w:t xml:space="preserve">”</w:t>
      </w:r>
      <w:r>
        <w:t xml:space="preserve"> </w:t>
      </w:r>
      <w:r>
        <w:t xml:space="preserve">beginning 67 CE, keyed to the deaths of Peter, Paul, and James under Nero (c. 64–68 CE). 1 Clement corroborates this by writing of the apostles’ deaths as already past.</w:t>
      </w:r>
      <w:r>
        <w:t xml:space="preserve"> </w:t>
      </w:r>
      <w:r>
        <w:rPr>
          <w:i/>
        </w:rPr>
        <w:t xml:space="preserve">[Well-established as the leading specialist periodization.]</w:t>
      </w:r>
      <w:r>
        <w:t xml:space="preserve"> </w:t>
      </w:r>
      <w:r>
        <w:t xml:space="preserve">A competing traditional/popular marker sets the hinge closer to 100 CE, the death of the last apostle (John, per Eusebius,</w:t>
      </w:r>
      <w:r>
        <w:t xml:space="preserve"> </w:t>
      </w:r>
      <w:r>
        <w:rPr>
          <w:i/>
        </w:rPr>
        <w:t xml:space="preserve">HE</w:t>
      </w:r>
      <w:r>
        <w:t xml:space="preserve"> </w:t>
      </w:r>
      <w:r>
        <w:t xml:space="preserve">3.23, drawing on Polycrates and Irenaeus) — a marker whose late, derivative attestation is itself</w:t>
      </w:r>
      <w:r>
        <w:t xml:space="preserve"> </w:t>
      </w:r>
      <w:r>
        <w:rPr>
          <w:i/>
        </w:rPr>
        <w:t xml:space="preserve">contested</w:t>
      </w:r>
      <w:r>
        <w:t xml:space="preserve"> </w:t>
      </w:r>
      <w:r>
        <w:t xml:space="preserve">as history, though it remains the conventional default in general reference works.</w:t>
      </w:r>
    </w:p>
    <w:p>
      <w:pPr>
        <w:pStyle w:val="BodyText"/>
      </w:pPr>
      <w:r>
        <w:rPr>
          <w:b/>
        </w:rPr>
        <w:t xml:space="preserve">Disposition:</w:t>
      </w:r>
      <w:r>
        <w:t xml:space="preserve"> </w:t>
      </w:r>
      <w:r>
        <w:t xml:space="preserve">this document retains 70 CE as World #1’s documented floor, both because it is Phase One’s own inherited constitutional boundary and because it falls inside the defensible 64–100 CE hinge window every serious independent marker identifies. But it records explicitly, rather than asserting a false precision, that the world’s own lived experience of</w:t>
      </w:r>
      <w:r>
        <w:t xml:space="preserve"> </w:t>
      </w:r>
      <w:r>
        <w:t xml:space="preserve">“</w:t>
      </w:r>
      <w:r>
        <w:t xml:space="preserve">post-apostolic-ness</w:t>
      </w:r>
      <w:r>
        <w:t xml:space="preserve">”</w:t>
      </w:r>
      <w:r>
        <w:t xml:space="preserve"> </w:t>
      </w:r>
      <w:r>
        <w:t xml:space="preserve">most plausibly firms up gradually across 64–100 CE, not at a single crisp date, and that 70 CE’s significance here is inherited/structural rather than independently re-derived as this world’s own best marker.</w:t>
      </w:r>
    </w:p>
    <w:p>
      <w:pPr>
        <w:pStyle w:val="Heading3"/>
      </w:pPr>
      <w:bookmarkStart w:id="24" w:name="ending-point-c.-200-ce"/>
      <w:r>
        <w:t xml:space="preserve">2.2 Ending point: c. 200 CE</w:t>
      </w:r>
      <w:bookmarkEnd w:id="24"/>
    </w:p>
    <w:p>
      <w:pPr>
        <w:pStyle w:val="FirstParagraph"/>
      </w:pPr>
      <w:r>
        <w:t xml:space="preserve">Three converging lines of evidence support c. 200 as this world’s own closing boundary:</w:t>
      </w:r>
    </w:p>
    <w:p>
      <w:pPr>
        <w:numPr>
          <w:ilvl w:val="0"/>
          <w:numId w:val="1002"/>
        </w:numPr>
        <w:pStyle w:val="Compact"/>
      </w:pPr>
      <w:r>
        <w:rPr>
          <w:b/>
        </w:rPr>
        <w:t xml:space="preserve">Monepiscopacy’s emergence as the increasingly dominant norm.</w:t>
      </w:r>
      <w:r>
        <w:t xml:space="preserve"> </w:t>
      </w:r>
      <w:r>
        <w:t xml:space="preserve">This is well-established (Francis Sullivan,</w:t>
      </w:r>
      <w:r>
        <w:t xml:space="preserve"> </w:t>
      </w:r>
      <w:r>
        <w:rPr>
          <w:i/>
        </w:rPr>
        <w:t xml:space="preserve">From Apostles to Bishops</w:t>
      </w:r>
      <w:r>
        <w:t xml:space="preserve">, 2001; Peter Lampe,</w:t>
      </w:r>
      <w:r>
        <w:t xml:space="preserve"> </w:t>
      </w:r>
      <w:r>
        <w:rPr>
          <w:i/>
        </w:rPr>
        <w:t xml:space="preserve">From Paul to Valentinus</w:t>
      </w:r>
      <w:r>
        <w:t xml:space="preserve">, Fortress, 2003). It appears earliest in Antioch and western Asia Minor via Ignatius (conventionally c. 107–115 CE, though this dating is itself contested — see Section 10) and latest in Rome, where Lampe’s</w:t>
      </w:r>
      <w:r>
        <w:t xml:space="preserve"> </w:t>
      </w:r>
      <w:r>
        <w:t xml:space="preserve">“</w:t>
      </w:r>
      <w:r>
        <w:t xml:space="preserve">fractionated</w:t>
      </w:r>
      <w:r>
        <w:t xml:space="preserve">”</w:t>
      </w:r>
      <w:r>
        <w:t xml:space="preserve"> </w:t>
      </w:r>
      <w:r>
        <w:t xml:space="preserve">reading finds no monarchical bishop until, on his account, possibly not before Victor I (189–199 CE). By c. 200, single-bishop governance is the dominant emerging pattern even in Rome — a real shift away from this world’s own defining collegial-authority-in-formation gravity.</w:t>
      </w:r>
    </w:p>
    <w:p>
      <w:pPr>
        <w:numPr>
          <w:ilvl w:val="0"/>
          <w:numId w:val="1002"/>
        </w:numPr>
        <w:pStyle w:val="Compact"/>
      </w:pPr>
      <w:r>
        <w:rPr>
          <w:b/>
        </w:rPr>
        <w:t xml:space="preserve">A documented shift in theological-institutional mode.</w:t>
      </w:r>
      <w:r>
        <w:t xml:space="preserve"> </w:t>
      </w:r>
      <w:r>
        <w:t xml:space="preserve">Irenaeus’s</w:t>
      </w:r>
      <w:r>
        <w:t xml:space="preserve"> </w:t>
      </w:r>
      <w:r>
        <w:rPr>
          <w:i/>
        </w:rPr>
        <w:t xml:space="preserve">Adversus Haereses</w:t>
      </w:r>
      <w:r>
        <w:t xml:space="preserve"> </w:t>
      </w:r>
      <w:r>
        <w:t xml:space="preserve">(c. 180) makes the first explicit four-Gospel, apostolic-succession argument; Tertullian’s</w:t>
      </w:r>
      <w:r>
        <w:t xml:space="preserve"> </w:t>
      </w:r>
      <w:r>
        <w:rPr>
          <w:i/>
        </w:rPr>
        <w:t xml:space="preserve">Apologeticus</w:t>
      </w:r>
      <w:r>
        <w:t xml:space="preserve"> </w:t>
      </w:r>
      <w:r>
        <w:t xml:space="preserve">(197) inaugurates a confident Latin apologetic corpus. Both read as a different formation-logic than the correspondence-and-catechesis mode of the apostolic fathers this world is built on.</w:t>
      </w:r>
      <w:r>
        <w:t xml:space="preserve"> </w:t>
      </w:r>
      <w:r>
        <w:rPr>
          <w:i/>
        </w:rPr>
        <w:t xml:space="preserve">[Well-established.]</w:t>
      </w:r>
    </w:p>
    <w:p>
      <w:pPr>
        <w:numPr>
          <w:ilvl w:val="0"/>
          <w:numId w:val="1002"/>
        </w:numPr>
        <w:pStyle w:val="Compact"/>
      </w:pPr>
      <w:r>
        <w:rPr>
          <w:b/>
        </w:rPr>
        <w:t xml:space="preserve">Adjacency with World #2.</w:t>
      </w:r>
      <w:r>
        <w:t xml:space="preserve"> </w:t>
      </w:r>
      <w:r>
        <w:t xml:space="preserve">The Step 0 Conclusion independently dates the Alexandrian Catechetical/Christian-Platonist Tradition to c. 190–254 CE. That world’s own exegetical-philosophical gravity is already emerging in the final decade of this world’s span — a genuine, evidence-supported handoff rather than an artificial cutoff (see Section 8.2).</w:t>
      </w:r>
    </w:p>
    <w:p>
      <w:pPr>
        <w:pStyle w:val="FirstParagraph"/>
      </w:pPr>
      <w:r>
        <w:rPr>
          <w:b/>
        </w:rPr>
        <w:t xml:space="preserve">Flag:</w:t>
      </w:r>
      <w:r>
        <w:t xml:space="preserve"> </w:t>
      </w:r>
      <w:r>
        <w:t xml:space="preserve">this boundary marks the point at which this world’s own defining tension (collegial vs. monarchical authority; apostolic testimony vs. closed canon) becomes clearly resolved-in-direction, not the point at which every relevant development finishes everywhere. Full canon closure waits for Athanasius (367 CE); Alexandria’s own first clearly-attested monarchical bishop is Demetrius (188–231); Carthage’s episcopate is still unsettled at Cyprian’s mid-3rd-century crisis. c. 200 is a directional, not a universal, closing marker.</w:t>
      </w:r>
    </w:p>
    <w:p>
      <w:pPr>
        <w:pStyle w:val="Heading3"/>
      </w:pPr>
      <w:bookmarkStart w:id="25" w:name="X4538802e8ec4114542e5db3fdd29494a4ccd772"/>
      <w:r>
        <w:t xml:space="preserve">2.3 What remains internal vs. what indicates transition</w:t>
      </w:r>
      <w:bookmarkEnd w:id="25"/>
    </w:p>
    <w:p>
      <w:pPr>
        <w:pStyle w:val="FirstParagraph"/>
      </w:pPr>
      <w:r>
        <w:t xml:space="preserve">Internal to this world: ongoing negotiation between collegial and monarchical authority structures (see Strand Determination, Section 6); continued reliance on living apostolic testimony rather than a closed canon; continued household-based gathering. Indicates transition out of this world: a bishop’s office treated as an already-settled, inherited datum rather than an argued position; theological argument organized around systematic doctrinal treatises (Irenaeus, Tertullian) rather than occasional pastoral correspondence; formal teaching institutions (Alexandria) as a distinct formation mode.</w:t>
      </w:r>
    </w:p>
    <w:p>
      <w:r>
        <w:pict>
          <v:rect style="width:0;height:1.5pt" o:hralign="center" o:hrstd="t" o:hr="t"/>
        </w:pict>
      </w:r>
    </w:p>
    <w:p>
      <w:pPr>
        <w:pStyle w:val="Heading2"/>
      </w:pPr>
      <w:bookmarkStart w:id="26" w:name="geographic-scope"/>
      <w:r>
        <w:t xml:space="preserve">3. Geographic Scope</w:t>
      </w:r>
      <w:bookmarkEnd w:id="26"/>
    </w:p>
    <w:p>
      <w:pPr>
        <w:pStyle w:val="FirstParagraph"/>
      </w:pPr>
      <w:r>
        <w:rPr>
          <w:b/>
        </w:rPr>
        <w:t xml:space="preserve">Core regions:</w:t>
      </w:r>
      <w:r>
        <w:t xml:space="preserve"> </w:t>
      </w:r>
      <w:r>
        <w:t xml:space="preserve">Antioch/Syria, Asia Minor (western Anatolia), Rome.</w:t>
      </w:r>
    </w:p>
    <w:p>
      <w:pPr>
        <w:pStyle w:val="BodyText"/>
      </w:pPr>
      <w:r>
        <w:t xml:space="preserve">The strongest single piece of evidence for treating these three regions as one connected network, rather than three separate worlds that happen to share a period, is Ignatius of Antioch’s own guarded journey from Antioch through Asia Minor (Philadelphia, Smyrna, Troas) to Rome (conventionally c. 107–115 CE). Delegations from Ephesus, Magnesia, and Tralles met him at Smyrna; he wrote seven surviving letters distributed across exactly these regions.</w:t>
      </w:r>
      <w:r>
        <w:t xml:space="preserve"> </w:t>
      </w:r>
      <w:r>
        <w:rPr>
          <w:i/>
        </w:rPr>
        <w:t xml:space="preserve">[Well-established.]</w:t>
      </w:r>
      <w:r>
        <w:t xml:space="preserve"> </w:t>
      </w:r>
      <w:r>
        <w:t xml:space="preserve">This is reinforced by a documented letter-exchange infrastructure: Polycarp of Smyrna forwarding copies of Ignatius’s letters onward to Philippi alongside his own; 1 Clement (c. 96 CE, dating itself contested — Section 10) exercising real corrective authority from Rome to Corinth; 1 Peter addressed as a circular letter across five Asia Minor provinces. Koine Greek is the uniform literary and administrative medium across every text in this network, enabling direct exchange without translation.</w:t>
      </w:r>
      <w:r>
        <w:t xml:space="preserve"> </w:t>
      </w:r>
      <w:r>
        <w:rPr>
          <w:i/>
        </w:rPr>
        <w:t xml:space="preserve">[Well-established.]</w:t>
      </w:r>
    </w:p>
    <w:p>
      <w:pPr>
        <w:pStyle w:val="BodyText"/>
      </w:pPr>
      <w:r>
        <w:t xml:space="preserve">Modern scholarship treating this network as real and load-bearing includes Paul Trebilco (</w:t>
      </w:r>
      <w:r>
        <w:t xml:space="preserve">“</w:t>
      </w:r>
      <w:r>
        <w:t xml:space="preserve">Christian Communities in Western Asia Minor,</w:t>
      </w:r>
      <w:r>
        <w:t xml:space="preserve">”</w:t>
      </w:r>
      <w:r>
        <w:t xml:space="preserve"> </w:t>
      </w:r>
      <w:r>
        <w:rPr>
          <w:i/>
        </w:rPr>
        <w:t xml:space="preserve">JETS</w:t>
      </w:r>
      <w:r>
        <w:t xml:space="preserve"> </w:t>
      </w:r>
      <w:r>
        <w:t xml:space="preserve">49/1, 2006), who reads Ignatius’s letters as evidence of genuine translocal contact and shared concern for unity into the 2nd century, and Wayne Meeks (</w:t>
      </w:r>
      <w:r>
        <w:rPr>
          <w:i/>
        </w:rPr>
        <w:t xml:space="preserve">The First Urban Christians</w:t>
      </w:r>
      <w:r>
        <w:t xml:space="preserve">), who identifies the household as the replicated organizational cell underlying these ties.</w:t>
      </w:r>
    </w:p>
    <w:p>
      <w:pPr>
        <w:pStyle w:val="BodyText"/>
      </w:pPr>
      <w:r>
        <w:rPr>
          <w:b/>
        </w:rPr>
        <w:t xml:space="preserve">Why Egypt/Alexandria is excluded here:</w:t>
      </w:r>
      <w:r>
        <w:t xml:space="preserve"> </w:t>
      </w:r>
      <w:r>
        <w:t xml:space="preserve">Roger Bagnall’s</w:t>
      </w:r>
      <w:r>
        <w:t xml:space="preserve"> </w:t>
      </w:r>
      <w:r>
        <w:rPr>
          <w:i/>
        </w:rPr>
        <w:t xml:space="preserve">Early Christian Books in Egypt</w:t>
      </w:r>
      <w:r>
        <w:t xml:space="preserve"> </w:t>
      </w:r>
      <w:r>
        <w:t xml:space="preserve">(Princeton, 2009) finds documentary and papyrological evidence for Egyptian Christianity essentially silent before Bishop Demetrius (189–231), arguing earlier high estimates were overstated. This supports treating Alexandria as a separate, later-attested world (#2) built on a different formation logic, rather than folding it into this network.</w:t>
      </w:r>
      <w:r>
        <w:t xml:space="preserve"> </w:t>
      </w:r>
      <w:r>
        <w:rPr>
          <w:i/>
        </w:rPr>
        <w:t xml:space="preserve">[Contested-debated as an active scholarly argument, but the best-supported basis for this specific boundary decision.]</w:t>
      </w:r>
      <w:r>
        <w:t xml:space="preserve"> </w:t>
      </w:r>
      <w:r>
        <w:rPr>
          <w:b/>
        </w:rPr>
        <w:t xml:space="preserve">Flagged per round-1 review as a load-bearing single-source dependency, on par with the Ignatius dating dependency flagged in Section 10:</w:t>
      </w:r>
      <w:r>
        <w:t xml:space="preserve"> </w:t>
      </w:r>
      <w:r>
        <w:t xml:space="preserve">this geographic-scope decision rests substantially on one monograph’s reading of papyrological silence. There is live, credible pushback on inferring absence-of-community from absence-of-surviving-papyri in general (papyrus survival itself is geographically and climatically uneven, and an argument from silence is only as strong as the assumption that silence is representative rather than accidental). If Bagnall’s minimalist reading is wrong, the Alexandria-exclusion argument here weakens accordingly. This dependency should be explicitly re-tested, not merely inherited, when Doc_02’s own Source Ecology work for World #2 is built.</w:t>
      </w:r>
    </w:p>
    <w:p>
      <w:pPr>
        <w:pStyle w:val="BodyText"/>
      </w:pPr>
      <w:r>
        <w:rPr>
          <w:b/>
        </w:rPr>
        <w:t xml:space="preserve">A necessary qualification, carried into Strand Determination below — and to be read alongside Section 2.1’s separate temporal-boundary caveat, per round-2 review:</w:t>
      </w:r>
      <w:r>
        <w:t xml:space="preserve"> </w:t>
      </w:r>
      <w:r>
        <w:t xml:space="preserve">Section 2.1 above argues, via the</w:t>
      </w:r>
      <w:r>
        <w:t xml:space="preserve"> </w:t>
      </w:r>
      <w:r>
        <w:t xml:space="preserve">“</w:t>
      </w:r>
      <w:r>
        <w:t xml:space="preserve">Ways That Never Parted</w:t>
      </w:r>
      <w:r>
        <w:t xml:space="preserve">”</w:t>
      </w:r>
      <w:r>
        <w:t xml:space="preserve"> </w:t>
      </w:r>
      <w:r>
        <w:t xml:space="preserve">literature, that this world’s own Jewish-Christian boundary was more porous than a clean-break marker like 70 CE implies; this section makes an independent but complementary point using different scholarship (Bauer/Ehrman/Robinson-Koester) — that this world’s own internal regional uniformity is likewise less settled than a single</w:t>
      </w:r>
      <w:r>
        <w:t xml:space="preserve"> </w:t>
      </w:r>
      <w:r>
        <w:t xml:space="preserve">“</w:t>
      </w:r>
      <w:r>
        <w:t xml:space="preserve">network</w:t>
      </w:r>
      <w:r>
        <w:t xml:space="preserve">”</w:t>
      </w:r>
      <w:r>
        <w:t xml:space="preserve"> </w:t>
      </w:r>
      <w:r>
        <w:t xml:space="preserve">label implies. Both are</w:t>
      </w:r>
      <w:r>
        <w:t xml:space="preserve"> </w:t>
      </w:r>
      <w:r>
        <w:t xml:space="preserve">“</w:t>
      </w:r>
      <w:r>
        <w:t xml:space="preserve">resist over-reading uniformity here</w:t>
      </w:r>
      <w:r>
        <w:t xml:space="preserve">”</w:t>
      </w:r>
      <w:r>
        <w:t xml:space="preserve"> </w:t>
      </w:r>
      <w:r>
        <w:t xml:space="preserve">arguments, arrived at independently, and a Doc_04 reader assembling this world’s full boundary-instability picture should read them together rather than treat them as unrelated. The</w:t>
      </w:r>
      <w:r>
        <w:t xml:space="preserve"> </w:t>
      </w:r>
      <w:r>
        <w:t xml:space="preserve">“</w:t>
      </w:r>
      <w:r>
        <w:t xml:space="preserve">single network</w:t>
      </w:r>
      <w:r>
        <w:t xml:space="preserve">”</w:t>
      </w:r>
      <w:r>
        <w:t xml:space="preserve"> </w:t>
      </w:r>
      <w:r>
        <w:t xml:space="preserve">reading is well-established at the level of documented contact, infrastructure, and shared language. The further inference that this amounts to one doctrinally and institutionally</w:t>
      </w:r>
      <w:r>
        <w:t xml:space="preserve"> </w:t>
      </w:r>
      <w:r>
        <w:rPr>
          <w:i/>
        </w:rPr>
        <w:t xml:space="preserve">uniform</w:t>
      </w:r>
      <w:r>
        <w:t xml:space="preserve"> </w:t>
      </w:r>
      <w:r>
        <w:t xml:space="preserve">body is actively and credibly contested — Walter Bauer’s</w:t>
      </w:r>
      <w:r>
        <w:t xml:space="preserve"> </w:t>
      </w:r>
      <w:r>
        <w:rPr>
          <w:i/>
        </w:rPr>
        <w:t xml:space="preserve">Orthodoxy and Heresy in Earliest Christianity</w:t>
      </w:r>
      <w:r>
        <w:t xml:space="preserve"> </w:t>
      </w:r>
      <w:r>
        <w:t xml:space="preserve">(1934), extended by Bart Ehrman (</w:t>
      </w:r>
      <w:r>
        <w:rPr>
          <w:i/>
        </w:rPr>
        <w:t xml:space="preserve">Lost Christianities</w:t>
      </w:r>
      <w:r>
        <w:t xml:space="preserve">, 2003) and by Robinson and Koester’s</w:t>
      </w:r>
      <w:r>
        <w:t xml:space="preserve"> </w:t>
      </w:r>
      <w:r>
        <w:rPr>
          <w:i/>
        </w:rPr>
        <w:t xml:space="preserve">Trajectories through Early Christianity</w:t>
      </w:r>
      <w:r>
        <w:t xml:space="preserve"> </w:t>
      </w:r>
      <w:r>
        <w:t xml:space="preserve">(1971), argues for genuinely independent regional trajectories rather than one center radiating outward uniformly. This is a serious, mainstream position, not a fringe one (counter-critiques exist — Thomas A. Robinson,</w:t>
      </w:r>
      <w:r>
        <w:t xml:space="preserve"> </w:t>
      </w:r>
      <w:r>
        <w:rPr>
          <w:i/>
        </w:rPr>
        <w:t xml:space="preserve">The Bauer Thesis Examined</w:t>
      </w:r>
      <w:r>
        <w:t xml:space="preserve">, 1988 — but they dispute Bauer’s specific claims while still operating inside a regionally-differentiated framework). This is precisely why Section 6 below records internal strands rather than declaring this world strand-singular: regional connectedness justifies treating this as one world; regional differentiation requires recording strands within it.</w:t>
      </w:r>
    </w:p>
    <w:p>
      <w:r>
        <w:pict>
          <v:rect style="width:0;height:1.5pt" o:hralign="center" o:hrstd="t" o:hr="t"/>
        </w:pict>
      </w:r>
    </w:p>
    <w:p>
      <w:pPr>
        <w:pStyle w:val="Heading2"/>
      </w:pPr>
      <w:bookmarkStart w:id="27" w:name="cultural-scope"/>
      <w:r>
        <w:t xml:space="preserve">4. Cultural Scope</w:t>
      </w:r>
      <w:bookmarkEnd w:id="27"/>
    </w:p>
    <w:p>
      <w:pPr>
        <w:pStyle w:val="FirstParagraph"/>
      </w:pPr>
      <w:r>
        <w:rPr>
          <w:b/>
        </w:rPr>
        <w:t xml:space="preserve">Linguistic:</w:t>
      </w:r>
      <w:r>
        <w:t xml:space="preserve"> </w:t>
      </w:r>
      <w:r>
        <w:t xml:space="preserve">Koine Greek, uniform across every extant text in this world (Ignatius, Polycarp, 1 Clement, the Didache, Hermas, 1 Peter, Justin Martyr).</w:t>
      </w:r>
      <w:r>
        <w:t xml:space="preserve"> </w:t>
      </w:r>
      <w:r>
        <w:rPr>
          <w:i/>
        </w:rPr>
        <w:t xml:space="preserve">[Well-established, uncontested.]</w:t>
      </w:r>
    </w:p>
    <w:p>
      <w:pPr>
        <w:pStyle w:val="BodyText"/>
      </w:pPr>
      <w:r>
        <w:rPr>
          <w:b/>
        </w:rPr>
        <w:t xml:space="preserve">Social:</w:t>
      </w:r>
      <w:r>
        <w:t xml:space="preserve"> </w:t>
      </w:r>
      <w:r>
        <w:t xml:space="preserve">the household (oikos) as the basic organizational and gathering unit. Named patron-hosts becoming natural community leaders is broadly argued following Wayne Meeks; Roger Gehring’s</w:t>
      </w:r>
      <w:r>
        <w:t xml:space="preserve"> </w:t>
      </w:r>
      <w:r>
        <w:rPr>
          <w:i/>
        </w:rPr>
        <w:t xml:space="preserve">House Church and Mission</w:t>
      </w:r>
      <w:r>
        <w:t xml:space="preserve"> </w:t>
      </w:r>
      <w:r>
        <w:t xml:space="preserve">(2004) traces this structure from Jesus through Paul into Antioch; David Balch (</w:t>
      </w:r>
      <w:r>
        <w:rPr>
          <w:i/>
        </w:rPr>
        <w:t xml:space="preserve">Let Wives Be Submissive</w:t>
      </w:r>
      <w:r>
        <w:t xml:space="preserve">, 1981) and Carolyn Osiek and Balch’s</w:t>
      </w:r>
      <w:r>
        <w:t xml:space="preserve"> </w:t>
      </w:r>
      <w:r>
        <w:rPr>
          <w:i/>
        </w:rPr>
        <w:t xml:space="preserve">Families in the New Testament World</w:t>
      </w:r>
      <w:r>
        <w:t xml:space="preserve"> </w:t>
      </w:r>
      <w:r>
        <w:t xml:space="preserve">(1997) trace household codes (Colossians 3, Ephesians 5, 1 Peter 2–3, the Pastorals) to Greco-Roman household-management conventions, with the Pastorals making household management a literal test for church office (1 Timothy 3). Osiek and Margaret MacDonald’s</w:t>
      </w:r>
      <w:r>
        <w:t xml:space="preserve"> </w:t>
      </w:r>
      <w:r>
        <w:rPr>
          <w:i/>
        </w:rPr>
        <w:t xml:space="preserve">A Woman’s Place</w:t>
      </w:r>
      <w:r>
        <w:t xml:space="preserve"> </w:t>
      </w:r>
      <w:r>
        <w:t xml:space="preserve">(2006) argues household structures gave women real, if contested, access to leadership roles.</w:t>
      </w:r>
      <w:r>
        <w:t xml:space="preserve"> </w:t>
      </w:r>
      <w:r>
        <w:rPr>
          <w:i/>
        </w:rPr>
        <w:t xml:space="preserve">[Well-established as a framework; specific claims about the extent of women’s authority remain debated.]</w:t>
      </w:r>
      <w:r>
        <w:t xml:space="preserve"> </w:t>
      </w:r>
      <w:r>
        <w:rPr>
          <w:b/>
        </w:rPr>
        <w:t xml:space="preserve">Boundary note, added at Step 9 Validation &amp; Testing (2026-07-08):</w:t>
      </w:r>
      <w:r>
        <w:t xml:space="preserve"> </w:t>
      </w:r>
      <w:r>
        <w:t xml:space="preserve">the Pastoral Epistles are cited here only as secondary-scholarship background illustrating a broader Greco-Roman household-code convention, not as Native primary evidence for this world’s own practice — see Doc_02 §1.7 for the full, world-specific rationale for their exclusion from this world’s own six-primary-voice evidentiary base.</w:t>
      </w:r>
    </w:p>
    <w:p>
      <w:pPr>
        <w:pStyle w:val="BodyText"/>
      </w:pPr>
      <w:r>
        <w:rPr>
          <w:b/>
        </w:rPr>
        <w:t xml:space="preserve">Political:</w:t>
      </w:r>
      <w:r>
        <w:t xml:space="preserve"> </w:t>
      </w:r>
      <w:r>
        <w:t xml:space="preserve">this world functioned inside Roman imperial infrastructure — the Via Egnatia and connecting sea routes physically carried Ignatius roughly 1,500 miles under guard while he wrote.</w:t>
      </w:r>
      <w:r>
        <w:t xml:space="preserve"> </w:t>
      </w:r>
      <w:r>
        <w:rPr>
          <w:b/>
        </w:rPr>
        <w:t xml:space="preserve">Softened per round-1 review:</w:t>
      </w:r>
      <w:r>
        <w:t xml:space="preserve"> </w:t>
      </w:r>
      <w:r>
        <w:t xml:space="preserve">this is a vivid, but extreme and high-visibility, demonstration that imperial infrastructure could sustain correspondence even under guard — it shows what was possible in an unusual, attention-drawing case, not what was typical. The network’s</w:t>
      </w:r>
      <w:r>
        <w:t xml:space="preserve"> </w:t>
      </w:r>
      <w:r>
        <w:rPr>
          <w:i/>
        </w:rPr>
        <w:t xml:space="preserve">ordinary</w:t>
      </w:r>
      <w:r>
        <w:t xml:space="preserve"> </w:t>
      </w:r>
      <w:r>
        <w:t xml:space="preserve">functioning is better evidenced by Polycarp’s routine forwarding of Ignatius’s letters onward to Philippi and by 1 Clement’s routine corrective intervention from Rome to Corinth — neither involving a condemned prisoner under escort. The legal status of house-churches relative to Roman collegia law is itself unsettled among modern scholars (Philip Harland, John Kloppenborg, Richard Ascough debate the degree of analogy without consensus) and should not be over-asserted in later documents. Persecution in this window was local, sporadic, and improvised rather than systematic empire-wide policy: Pliny’s Letter 10.96 (c. 111–113 CE, Bithynia-Pontus, i.e., Asia Minor) is the earliest Roman administrative document on Christians and shows no prior standing law; Trajan’s rescript (10.97) explicitly forbids seeking Christians out. The first empire-wide persecution (Decius) does not occur until 249–250, safely after this world’s own close. Domitian’s supposed persecution rests on later Eusebian tradition citing Melito of Sardis, and a substantial current of scholarship now doubts significant anti-Christian action occurred under Domitian at all.</w:t>
      </w:r>
      <w:r>
        <w:t xml:space="preserve"> </w:t>
      </w:r>
      <w:r>
        <w:rPr>
          <w:i/>
        </w:rPr>
        <w:t xml:space="preserve">[Well-established re: Pliny/Trajan and the absence of systematic policy; contested/minority-leaning against historicity re: Domitian specifically.]</w:t>
      </w:r>
    </w:p>
    <w:p>
      <w:pPr>
        <w:pStyle w:val="BodyText"/>
      </w:pPr>
      <w:r>
        <w:rPr>
          <w:b/>
        </w:rPr>
        <w:t xml:space="preserve">Institutional:</w:t>
      </w:r>
      <w:r>
        <w:t xml:space="preserve"> </w:t>
      </w:r>
      <w:r>
        <w:t xml:space="preserve">authority structures were in active, regionally uneven transition from plural presbyter-bishop colleges toward monepiscopacy (see Section 6). Catechetical material — the</w:t>
      </w:r>
      <w:r>
        <w:t xml:space="preserve"> </w:t>
      </w:r>
      <w:r>
        <w:t xml:space="preserve">“</w:t>
      </w:r>
      <w:r>
        <w:t xml:space="preserve">Two Ways</w:t>
      </w:r>
      <w:r>
        <w:t xml:space="preserve">”</w:t>
      </w:r>
      <w:r>
        <w:t xml:space="preserve"> </w:t>
      </w:r>
      <w:r>
        <w:t xml:space="preserve">tradition underlying the Didache — circulated as a shared, adaptable formation tool rather than a fixed, centrally issued curriculum.</w:t>
      </w:r>
    </w:p>
    <w:p>
      <w:r>
        <w:pict>
          <v:rect style="width:0;height:1.5pt" o:hralign="center" o:hrstd="t" o:hr="t"/>
        </w:pict>
      </w:r>
    </w:p>
    <w:p>
      <w:pPr>
        <w:pStyle w:val="Heading2"/>
      </w:pPr>
      <w:bookmarkStart w:id="28" w:name="world-separation-criteria"/>
      <w:r>
        <w:t xml:space="preserve">5. World Separation Criteria</w:t>
      </w:r>
      <w:bookmarkEnd w:id="28"/>
    </w:p>
    <w:p>
      <w:pPr>
        <w:pStyle w:val="FirstParagraph"/>
      </w:pPr>
      <w:r>
        <w:t xml:space="preserve">Has a new gravity emerged marking exit from this world by c. 200? Yes, on three convergent fronts: (a) monepiscopacy has become the emergent dominant authority pattern in place of the collegial-presbyter default that most defined this world’s earlier decades; (b) a new apologetic/systematic-theological mode (Irenaeus, Tertullian) has emerged that argues</w:t>
      </w:r>
      <w:r>
        <w:t xml:space="preserve"> </w:t>
      </w:r>
      <w:r>
        <w:rPr>
          <w:i/>
        </w:rPr>
        <w:t xml:space="preserve">from</w:t>
      </w:r>
      <w:r>
        <w:t xml:space="preserve"> </w:t>
      </w:r>
      <w:r>
        <w:t xml:space="preserve">apostolic succession as an already-established structure, rather than one still being actively built through pastoral correspondence; (c) in Alexandria specifically, a teaching-relationship-based exegetical-philosophical formation mode has emerged as its own distinct gravity, feeding directly into World #2. Formation itself has changed substantially — from catechesis via community letter and adaptable handbook toward formalized doctrinal argument and, just past this window, formal teaching institutions.</w:t>
      </w:r>
    </w:p>
    <w:p>
      <w:r>
        <w:pict>
          <v:rect style="width:0;height:1.5pt" o:hralign="center" o:hrstd="t" o:hr="t"/>
        </w:pict>
      </w:r>
    </w:p>
    <w:p>
      <w:pPr>
        <w:pStyle w:val="Heading2"/>
      </w:pPr>
      <w:bookmarkStart w:id="29" w:name="X4342af28222fd33cf81067893e65043a4f30c9c"/>
      <w:r>
        <w:t xml:space="preserve">6. Strand Determination (Constitution Article 21)</w:t>
      </w:r>
      <w:bookmarkEnd w:id="29"/>
    </w:p>
    <w:p>
      <w:pPr>
        <w:pStyle w:val="FirstParagraph"/>
      </w:pPr>
      <w:r>
        <w:rPr>
          <w:b/>
        </w:rPr>
        <w:t xml:space="preserve">Finding: this world is not strand-singular. Two internal strands are identified, evidenced by real differences in authority structure and formation practice — though, as the discussion below makes explicit, the two-strand framing itself, not only Strand A’s dating, is an interpretive choice made under real uncertainty, and Doc_04 should treat it as provisional rather than settled.</w:t>
      </w:r>
      <w:r>
        <w:t xml:space="preserve"> </w:t>
      </w:r>
      <w:r>
        <w:rPr>
          <w:i/>
        </w:rPr>
        <w:t xml:space="preserve">(Topline qualification added per round-2 review, pulling the caveat that follows up into the finding statement itself rather than leaving it several paragraphs down.)</w:t>
      </w:r>
    </w:p>
    <w:p>
      <w:pPr>
        <w:pStyle w:val="BodyText"/>
      </w:pPr>
      <w:r>
        <w:rPr>
          <w:b/>
        </w:rPr>
        <w:t xml:space="preserve">Strand A — Antioch/Asia Minor (episcopal-consolidating).</w:t>
      </w:r>
      <w:r>
        <w:t xml:space="preserve"> </w:t>
      </w:r>
      <w:r>
        <w:t xml:space="preserve">Evidenced by Ignatius’s own letters presupposing, or urgently pressing for, a fixed threefold hierarchy (bishop, presbyters, deacons) in Antioch and urging the same onto Ephesus, Magnesia, Tralles, Philadelphia, and Smyrna.</w:t>
      </w:r>
      <w:r>
        <w:t xml:space="preserve"> </w:t>
      </w:r>
      <w:r>
        <w:rPr>
          <w:b/>
        </w:rPr>
        <w:t xml:space="preserve">Load-bearing caveat integrated here per round-1 review, not deferred to Section 10 alone:</w:t>
      </w:r>
      <w:r>
        <w:t xml:space="preserve"> </w:t>
      </w:r>
      <w:r>
        <w:t xml:space="preserve">this entire strand rests almost exclusively on the Ignatian corpus, whose dating and authenticity are genuinely three-way split in current scholarship (see Section 10) — and one live position (Hübner/Lechner) holds the letters are a pseudepigraphic, pro-monepiscopate production of c. 160–180, originating in Rome rather than Antioch. If that view is correct, this strand’s core evidence is not a contemporaneous snapshot of Antiochene/Asia-Minor practice c. 107–115 at all, but a later artifact possibly misattributed in region as well as date — which would weaken not just Strand A’s timing but its very identification as an</w:t>
      </w:r>
      <w:r>
        <w:t xml:space="preserve"> </w:t>
      </w:r>
      <w:r>
        <w:rPr>
          <w:i/>
        </w:rPr>
        <w:t xml:space="preserve">Antioch/Asia Minor</w:t>
      </w:r>
      <w:r>
        <w:t xml:space="preserve"> </w:t>
      </w:r>
      <w:r>
        <w:t xml:space="preserve">strand. This document follows the still-dominant traditional/Barnes-Foster dating (Trajanic-to-130s, Antiochene/Asia Minor provenance) because it remains the majority position, but the strand finding below should be read as resting on that majority position, not as independent of it. Even on the traditional dating, the evidence is mixed rather than uniform: Polycarp’s own</w:t>
      </w:r>
      <w:r>
        <w:t xml:space="preserve"> </w:t>
      </w:r>
      <w:r>
        <w:rPr>
          <w:i/>
        </w:rPr>
        <w:t xml:space="preserve">Letter to the Philippians</w:t>
      </w:r>
      <w:r>
        <w:t xml:space="preserve"> </w:t>
      </w:r>
      <w:r>
        <w:t xml:space="preserve">identifies him only with</w:t>
      </w:r>
      <w:r>
        <w:t xml:space="preserve"> </w:t>
      </w:r>
      <w:r>
        <w:t xml:space="preserve">“</w:t>
      </w:r>
      <w:r>
        <w:t xml:space="preserve">the presbyters,</w:t>
      </w:r>
      <w:r>
        <w:t xml:space="preserve">”</w:t>
      </w:r>
      <w:r>
        <w:t xml:space="preserve"> </w:t>
      </w:r>
      <w:r>
        <w:t xml:space="preserve">not a bishop’s title, despite Ignatius separately addressing him as Smyrna’s bishop — a tension Christine Trevett and Harry Maier (</w:t>
      </w:r>
      <w:r>
        <w:rPr>
          <w:i/>
        </w:rPr>
        <w:t xml:space="preserve">The Social Setting of the Ministry</w:t>
      </w:r>
      <w:r>
        <w:t xml:space="preserve">, 1991) read as evidence the monepiscopal push was genuinely contested or aspirational even within this strand, not simply a description of settled fact. Allen Brent’s reading (</w:t>
      </w:r>
      <w:r>
        <w:rPr>
          <w:i/>
        </w:rPr>
        <w:t xml:space="preserve">Ignatius of Antioch and the Second Sophistic</w:t>
      </w:r>
      <w:r>
        <w:t xml:space="preserve">, 2006;</w:t>
      </w:r>
      <w:r>
        <w:t xml:space="preserve"> </w:t>
      </w:r>
      <w:r>
        <w:rPr>
          <w:i/>
        </w:rPr>
        <w:t xml:space="preserve">Ignatius of Antioch: A Martyr Bishop</w:t>
      </w:r>
      <w:r>
        <w:t xml:space="preserve">, 2007) — that Ignatius actively constructs and legitimates the office by mapping it onto pagan civic/mystery-cult models — implies the office was being rhetorically built up in real time, not simply reported.</w:t>
      </w:r>
      <w:r>
        <w:t xml:space="preserve"> </w:t>
      </w:r>
      <w:r>
        <w:rPr>
          <w:i/>
        </w:rPr>
        <w:t xml:space="preserve">[Contested/minority-provocative reading, but a serious one.]</w:t>
      </w:r>
      <w:r>
        <w:t xml:space="preserve"> </w:t>
      </w:r>
      <w:r>
        <w:t xml:space="preserve">Taken together, this raises a live alternative to the clean two-strand picture: rather than two stable, opposed poles, the evidence is arguably better described as one contested, unstable field in which Ignatius is its most aggressive advocate for a position not yet secured even among his own addressees. This document retains the two-strand framing below because the Rome/Antioch contrast is independently well-evidenced on its own textual terms (see Strand B), but flags that the</w:t>
      </w:r>
      <w:r>
        <w:t xml:space="preserve"> </w:t>
      </w:r>
      <w:r>
        <w:t xml:space="preserve">“</w:t>
      </w:r>
      <w:r>
        <w:t xml:space="preserve">two strands, cleanly named, cleanly regional</w:t>
      </w:r>
      <w:r>
        <w:t xml:space="preserve">”</w:t>
      </w:r>
      <w:r>
        <w:t xml:space="preserve"> </w:t>
      </w:r>
      <w:r>
        <w:t xml:space="preserve">packaging is an interpretive choice made under real uncertainty, not a finding that fell out of neutral evidence-weighing alone — Doc_04’s cross-strand gravity testing should treat this framing as provisional, not settled.</w:t>
      </w:r>
    </w:p>
    <w:p>
      <w:pPr>
        <w:pStyle w:val="BodyText"/>
      </w:pPr>
      <w:r>
        <w:rPr>
          <w:b/>
        </w:rPr>
        <w:t xml:space="preserve">Strand B — Rome (collegial/fractionated).</w:t>
      </w:r>
      <w:r>
        <w:t xml:space="preserve"> </w:t>
      </w:r>
      <w:r>
        <w:t xml:space="preserve">Evidenced by 1 Clement’s interchangeable use of</w:t>
      </w:r>
      <w:r>
        <w:t xml:space="preserve"> </w:t>
      </w:r>
      <w:r>
        <w:rPr>
          <w:i/>
        </w:rPr>
        <w:t xml:space="preserve">episkopos</w:t>
      </w:r>
      <w:r>
        <w:t xml:space="preserve"> </w:t>
      </w:r>
      <w:r>
        <w:t xml:space="preserve">and</w:t>
      </w:r>
      <w:r>
        <w:t xml:space="preserve"> </w:t>
      </w:r>
      <w:r>
        <w:rPr>
          <w:i/>
        </w:rPr>
        <w:t xml:space="preserve">presbyteros</w:t>
      </w:r>
      <w:r>
        <w:t xml:space="preserve"> </w:t>
      </w:r>
      <w:r>
        <w:t xml:space="preserve">for a plural governing college (chs. 42, 44), and by the Shepherd of Hermas (composite, c. 90–150 CE) explicitly addressing plural</w:t>
      </w:r>
      <w:r>
        <w:t xml:space="preserve"> </w:t>
      </w:r>
      <w:r>
        <w:t xml:space="preserve">“</w:t>
      </w:r>
      <w:r>
        <w:t xml:space="preserve">presbyters who preside over the Church</w:t>
      </w:r>
      <w:r>
        <w:t xml:space="preserve">”</w:t>
      </w:r>
      <w:r>
        <w:t xml:space="preserve"> </w:t>
      </w:r>
      <w:r>
        <w:t xml:space="preserve">(</w:t>
      </w:r>
      <w:r>
        <w:rPr>
          <w:i/>
        </w:rPr>
        <w:t xml:space="preserve">Vision</w:t>
      </w:r>
      <w:r>
        <w:t xml:space="preserve"> </w:t>
      </w:r>
      <w:r>
        <w:t xml:space="preserve">2.4.3). Peter Lampe’s</w:t>
      </w:r>
      <w:r>
        <w:t xml:space="preserve"> </w:t>
      </w:r>
      <w:r>
        <w:t xml:space="preserve">“</w:t>
      </w:r>
      <w:r>
        <w:t xml:space="preserve">fractionated</w:t>
      </w:r>
      <w:r>
        <w:t xml:space="preserve">”</w:t>
      </w:r>
      <w:r>
        <w:t xml:space="preserve"> </w:t>
      </w:r>
      <w:r>
        <w:t xml:space="preserve">reading of Rome as a federation of largely independent house-churches, without a monarchical bishop until well into the second half of the 2nd century — on his own specific account, possibly not securely before Victor I (189–199) — means Rome’s collegial structure persists later than Antioch/Asia Minor’s, up to this world’s own closing boundary. Telling corroboration: Ignatius’s own</w:t>
      </w:r>
      <w:r>
        <w:t xml:space="preserve"> </w:t>
      </w:r>
      <w:r>
        <w:rPr>
          <w:i/>
        </w:rPr>
        <w:t xml:space="preserve">Letter to the Romans</w:t>
      </w:r>
      <w:r>
        <w:t xml:space="preserve"> </w:t>
      </w:r>
      <w:r>
        <w:t xml:space="preserve">is the one letter in his corpus that names no bishop, widely read as confirming Rome lacked one at the time he wrote.</w:t>
      </w:r>
    </w:p>
    <w:p>
      <w:pPr>
        <w:pStyle w:val="BodyText"/>
      </w:pPr>
      <w:r>
        <w:rPr>
          <w:b/>
        </w:rPr>
        <w:t xml:space="preserve">Why this rises to the level of a recorded strand rather than mere variation:</w:t>
      </w:r>
      <w:r>
        <w:t xml:space="preserve"> </w:t>
      </w:r>
      <w:r>
        <w:t xml:space="preserve">the Framework’s own Strand Determination criteria ask whether the distinction is in formation emphasis, practice, authority structure, or ecological orientation — and here it is specifically and centrally in authority structure, the clearest of the four. This is not a stylistic difference between individual authors; it is two different operative models of legitimate governance, coexisting within the same network in the same decades.</w:t>
      </w:r>
    </w:p>
    <w:p>
      <w:pPr>
        <w:pStyle w:val="BodyText"/>
      </w:pPr>
      <w:r>
        <w:rPr>
          <w:b/>
        </w:rPr>
        <w:t xml:space="preserve">Reserved for Doc_04 (Gravity Discovery, per Framework Step 4):</w:t>
      </w:r>
      <w:r>
        <w:t xml:space="preserve"> </w:t>
      </w:r>
      <w:r>
        <w:t xml:space="preserve">cross-strand gravity testing — which of this world’s candidate gravities (household-based gathering, correspondence-maintained unity, apostolic-memory authority anchor, active boundary-drawing against rival claimants) hold across both Strand A and Strand B, and are therefore more likely to represent this world’s own irreducible core, versus which are strand-bound to one or the other.</w:t>
      </w:r>
    </w:p>
    <w:p>
      <w:pPr>
        <w:pStyle w:val="BodyText"/>
      </w:pPr>
      <w:r>
        <w:rPr>
          <w:b/>
        </w:rPr>
        <w:t xml:space="preserve">Open item carried to Doc_04, not resolved here:</w:t>
      </w:r>
      <w:r>
        <w:t xml:space="preserve"> </w:t>
      </w:r>
      <w:r>
        <w:t xml:space="preserve">whether a third, less-clearly-evidenced profile exists in the broader Asia Minor material beyond Ignatius’s own direct addressees (e.g., material bearing on the seven churches of Revelation, or Justin Martyr’s own formation background prior to his move to Rome), or whether this material should be folded into Strand A. The current evidentiary base assembled for this document does not resolve this with confidence, and it is flagged rather than forced.</w:t>
      </w:r>
    </w:p>
    <w:p>
      <w:r>
        <w:pict>
          <v:rect style="width:0;height:1.5pt" o:hralign="center" o:hrstd="t" o:hr="t"/>
        </w:pict>
      </w:r>
    </w:p>
    <w:p>
      <w:pPr>
        <w:pStyle w:val="Heading2"/>
      </w:pPr>
      <w:bookmarkStart w:id="30" w:name="preliminary-forces-identification"/>
      <w:r>
        <w:t xml:space="preserve">7. Preliminary Forces Identification</w:t>
      </w:r>
      <w:bookmarkEnd w:id="30"/>
    </w:p>
    <w:p>
      <w:pPr>
        <w:pStyle w:val="FirstParagraph"/>
      </w:pPr>
      <w:r>
        <w:rPr>
          <w:b/>
        </w:rPr>
        <w:t xml:space="preserve">What generated this world:</w:t>
      </w:r>
      <w:r>
        <w:t xml:space="preserve"> </w:t>
      </w:r>
      <w:r>
        <w:t xml:space="preserve">the dispersal of first-generation eyewitness and apostolic authority — through martyrdom under Nero, natural death, and geographic scattering — created an urgent, lived problem: how does a translocal movement maintain unity, doctrine, and legitimate authority once its founding eyewitnesses are gone.</w:t>
      </w:r>
    </w:p>
    <w:p>
      <w:pPr>
        <w:pStyle w:val="BodyText"/>
      </w:pPr>
      <w:r>
        <w:rPr>
          <w:b/>
        </w:rPr>
        <w:t xml:space="preserve">What larger world it was embedded in:</w:t>
      </w:r>
      <w:r>
        <w:t xml:space="preserve"> </w:t>
      </w:r>
      <w:r>
        <w:t xml:space="preserve">the Roman imperial Mediterranean — its road and sea infrastructure, its Greek linguistic koine, its voluntary-association (collegia) social forms, and its intermittent, locally improvised (not yet systematic) suspicion of Christian assembly.</w:t>
      </w:r>
    </w:p>
    <w:p>
      <w:pPr>
        <w:pStyle w:val="BodyText"/>
      </w:pPr>
      <w:r>
        <w:rPr>
          <w:b/>
        </w:rPr>
        <w:t xml:space="preserve">What it was responding to:</w:t>
      </w:r>
      <w:r>
        <w:t xml:space="preserve"> </w:t>
      </w:r>
      <w:r>
        <w:t xml:space="preserve">the felt need to formalize authority (the presbyter-to-bishop question, see Section 6), to consolidate a shared textual and doctrinal memory before living apostolic testimony disappeared entirely, and to maintain communal cohesion across real geographic distance through a correspondence network rather than centralized administration.</w:t>
      </w:r>
    </w:p>
    <w:p>
      <w:pPr>
        <w:pStyle w:val="BodyText"/>
      </w:pPr>
      <w:r>
        <w:rPr>
          <w:b/>
        </w:rPr>
        <w:t xml:space="preserve">What it was refusing:</w:t>
      </w:r>
      <w:r>
        <w:t xml:space="preserve"> </w:t>
      </w:r>
      <w:r>
        <w:t xml:space="preserve">not yet a settled orthodoxy refusing settled heresy. Marcionite, Valentinian/Gnostic, and Montanist movements were live, contemporary, geographically overlapping rivals during this same window, not later or external threats (see Section 8.3). Ignatius’s own anti-docetic polemic, already present by his conventional date of c. 107–115, shows a boundary being actively drawn in real time, not one inherited as already settled. This document is deliberately refusing, per the Step 0 Conclusion’s own disclosure obligation, to let this world read as though later orthodoxy’s boundaries already existed at this stage.</w:t>
      </w:r>
    </w:p>
    <w:p>
      <w:pPr>
        <w:pStyle w:val="BodyText"/>
      </w:pPr>
      <w:r>
        <w:t xml:space="preserve">This preliminary work frames, but does not substitute for, the complete forces analysis compiled at Doc_08 (Framework Step 8).</w:t>
      </w:r>
    </w:p>
    <w:p>
      <w:r>
        <w:pict>
          <v:rect style="width:0;height:1.5pt" o:hralign="center" o:hrstd="t" o:hr="t"/>
        </w:pict>
      </w:r>
    </w:p>
    <w:p>
      <w:pPr>
        <w:pStyle w:val="Heading2"/>
      </w:pPr>
      <w:bookmarkStart w:id="31" w:name="world-continuity-distinction"/>
      <w:r>
        <w:t xml:space="preserve">8. World Continuity &amp; Distinction</w:t>
      </w:r>
      <w:bookmarkEnd w:id="31"/>
    </w:p>
    <w:p>
      <w:pPr>
        <w:pStyle w:val="Heading3"/>
      </w:pPr>
      <w:bookmarkStart w:id="32" w:name="X2ec0d1fde41cc45fe5c525c0eb59e5495a5fe0b"/>
      <w:r>
        <w:t xml:space="preserve">8.1 vs. World #7 (Syriac Christianity, Edessa/Nisibis)</w:t>
      </w:r>
      <w:bookmarkEnd w:id="32"/>
    </w:p>
    <w:p>
      <w:pPr>
        <w:pStyle w:val="FirstParagraph"/>
      </w:pPr>
      <w:r>
        <w:t xml:space="preserve">Confirmed, independently, as opposite on nearly every relevant axis: language (Greek vs. Aramaic), political frame (inside the Roman Mediterranean vs. formation outside it entirely), literary genre (community letters and emerging office vs. Ephrem’s hymnic-symbolic poetry), and authority structure (the plural-presbyter/emergent-episcopate tension described in Section 6, vs. the bnay/bnat qyama covenant order). This research pass found no basis to qualify or soften the Step 0 Conclusion’s own finding here; the two worlds share only rough contemporaneity.</w:t>
      </w:r>
    </w:p>
    <w:p>
      <w:pPr>
        <w:pStyle w:val="Heading3"/>
      </w:pPr>
      <w:bookmarkStart w:id="33" w:name="Xf682a4d424f510364e0d749133d9dffd99128e0"/>
      <w:r>
        <w:t xml:space="preserve">8.2 vs. World #2 (Alexandrian Catechetical/Christian-Platonist Tradition)</w:t>
      </w:r>
      <w:bookmarkEnd w:id="33"/>
    </w:p>
    <w:p>
      <w:pPr>
        <w:pStyle w:val="FirstParagraph"/>
      </w:pPr>
      <w:r>
        <w:t xml:space="preserve">Distinct in formation logic: household- and correspondence-based pastoral formation here, versus a teaching-relationship-based exegetical-philosophical formation there. The two worlds’ temporal ranges overlap only at this world’s closing edge (c. 190–200), which this document treats as a genuine, evidence-supported handoff — Alexandria’s own gravity is independently emerging in the very years this world is closing — rather than a contradiction requiring resolution.</w:t>
      </w:r>
    </w:p>
    <w:p>
      <w:pPr>
        <w:pStyle w:val="Heading3"/>
      </w:pPr>
      <w:bookmarkStart w:id="34" w:name="Xa99380453b0be3b0413fe8baa8f7bc12c751c9e"/>
      <w:r>
        <w:t xml:space="preserve">8.3 Contemporary movements requiring disclosure, not treated as settled heresies</w:t>
      </w:r>
      <w:bookmarkEnd w:id="34"/>
    </w:p>
    <w:p>
      <w:pPr>
        <w:pStyle w:val="FirstParagraph"/>
      </w:pPr>
      <w:r>
        <w:t xml:space="preserve">These are not among the nine worlds and are not being proposed as one. They are named here because the Step 0 Conclusion requires this world’s own Ecology work (Doc_02) to depict them as live, undefeated, contemporary neighbors of the church this world describes — not later or already-resolved threats. Independent research substantiates and sharpens that requirement:</w:t>
      </w:r>
    </w:p>
    <w:p>
      <w:pPr>
        <w:numPr>
          <w:ilvl w:val="0"/>
          <w:numId w:val="1003"/>
        </w:numPr>
        <w:pStyle w:val="Compact"/>
      </w:pPr>
      <w:r>
        <w:rPr>
          <w:b/>
        </w:rPr>
        <w:t xml:space="preserve">Marcion and Marcionism.</w:t>
      </w:r>
      <w:r>
        <w:t xml:space="preserve"> </w:t>
      </w:r>
      <w:r>
        <w:t xml:space="preserve">The traditional break with the Roman church is conventionally dated c. 144 CE (Tertullian,</w:t>
      </w:r>
      <w:r>
        <w:t xml:space="preserve"> </w:t>
      </w:r>
      <w:r>
        <w:rPr>
          <w:i/>
        </w:rPr>
        <w:t xml:space="preserve">Adv. Marc.</w:t>
      </w:r>
      <w:r>
        <w:t xml:space="preserve"> </w:t>
      </w:r>
      <w:r>
        <w:t xml:space="preserve">1.19, as canonized by Adolf Harnack), but Sebastian Moll’s</w:t>
      </w:r>
      <w:r>
        <w:t xml:space="preserve"> </w:t>
      </w:r>
      <w:r>
        <w:rPr>
          <w:i/>
        </w:rPr>
        <w:t xml:space="preserve">The Arch-Heretic Marcion</w:t>
      </w:r>
      <w:r>
        <w:t xml:space="preserve"> </w:t>
      </w:r>
      <w:r>
        <w:t xml:space="preserve">(Mohr Siebeck, 2010) argues this may mark Marcion’s</w:t>
      </w:r>
      <w:r>
        <w:t xml:space="preserve"> </w:t>
      </w:r>
      <w:r>
        <w:rPr>
          <w:i/>
        </w:rPr>
        <w:t xml:space="preserve">arrival</w:t>
      </w:r>
      <w:r>
        <w:t xml:space="preserve"> </w:t>
      </w:r>
      <w:r>
        <w:t xml:space="preserve">in Rome rather than his expulsion, with Justin Martyr’s</w:t>
      </w:r>
      <w:r>
        <w:t xml:space="preserve"> </w:t>
      </w:r>
      <w:r>
        <w:rPr>
          <w:i/>
        </w:rPr>
        <w:t xml:space="preserve">1 Apology</w:t>
      </w:r>
      <w:r>
        <w:t xml:space="preserve"> </w:t>
      </w:r>
      <w:r>
        <w:t xml:space="preserve">(26, 58; c. 153–157, corrected per round-1 review to match the Minns and Parvis dating used consistently elsewhere in this document — see Section 10) reporting Marcion teaching</w:t>
      </w:r>
      <w:r>
        <w:t xml:space="preserve"> </w:t>
      </w:r>
      <w:r>
        <w:t xml:space="preserve">“</w:t>
      </w:r>
      <w:r>
        <w:t xml:space="preserve">among every nation</w:t>
      </w:r>
      <w:r>
        <w:t xml:space="preserve">”</w:t>
      </w:r>
      <w:r>
        <w:t xml:space="preserve"> </w:t>
      </w:r>
      <w:r>
        <w:t xml:space="preserve">at the time of writing — i.e., years of continued activity, not a settled-and-closed episode. Geographic reach was extensive: Irenaeus and Tertullian both treat Marcionite churches as an established rival institution by c. 180–208; the Deir Ali (Lebaba) inscription south of Damascus (318 CE) names a Marcionite congregation in rural Syria centuries later. Judith Lieu’s</w:t>
      </w:r>
      <w:r>
        <w:t xml:space="preserve"> </w:t>
      </w:r>
      <w:r>
        <w:rPr>
          <w:i/>
        </w:rPr>
        <w:t xml:space="preserve">Marcion and the Making of a Heretic</w:t>
      </w:r>
      <w:r>
        <w:t xml:space="preserve"> </w:t>
      </w:r>
      <w:r>
        <w:t xml:space="preserve">(Cambridge, 2015) frames Marcion as a genuine rival whose challenge helped construct the very category of</w:t>
      </w:r>
      <w:r>
        <w:t xml:space="preserve"> </w:t>
      </w:r>
      <w:r>
        <w:t xml:space="preserve">“</w:t>
      </w:r>
      <w:r>
        <w:t xml:space="preserve">heresy,</w:t>
      </w:r>
      <w:r>
        <w:t xml:space="preserve">”</w:t>
      </w:r>
      <w:r>
        <w:t xml:space="preserve"> </w:t>
      </w:r>
      <w:r>
        <w:t xml:space="preserve">not a marginal footnote.</w:t>
      </w:r>
    </w:p>
    <w:p>
      <w:pPr>
        <w:numPr>
          <w:ilvl w:val="0"/>
          <w:numId w:val="1003"/>
        </w:numPr>
        <w:pStyle w:val="Compact"/>
      </w:pPr>
      <w:r>
        <w:rPr>
          <w:b/>
        </w:rPr>
        <w:t xml:space="preserve">Valentinian and other Gnostic Christianities.</w:t>
      </w:r>
      <w:r>
        <w:t xml:space="preserve"> </w:t>
      </w:r>
      <w:r>
        <w:t xml:space="preserve">Valentinus moved to Rome c. 136 CE and remained active there into the 150s–160s — present in this world’s own Roman core during the very years its own texts were circulating. Einar Thomassen’s</w:t>
      </w:r>
      <w:r>
        <w:t xml:space="preserve"> </w:t>
      </w:r>
      <w:r>
        <w:rPr>
          <w:i/>
        </w:rPr>
        <w:t xml:space="preserve">The Spiritual Seed</w:t>
      </w:r>
      <w:r>
        <w:t xml:space="preserve"> </w:t>
      </w:r>
      <w:r>
        <w:t xml:space="preserve">(Brill, 2006) documents a split into a Western/Italian branch (Rome, Gaul) and an Eastern branch active in Asia Minor — meaning Valentinian Christianity had a real, documented presence in two of this world’s own three core regions at once. Ignatius’s own anti-docetic polemic (c. 107–110) is the earliest datable evidence of proto-docetic Christology in Syria/Asia Minor, a generation before Valentinus’s Roman career, though scholars caution against calling Ignatius’s opponents</w:t>
      </w:r>
      <w:r>
        <w:t xml:space="preserve"> </w:t>
      </w:r>
      <w:r>
        <w:t xml:space="preserve">“</w:t>
      </w:r>
      <w:r>
        <w:t xml:space="preserve">Gnostic</w:t>
      </w:r>
      <w:r>
        <w:t xml:space="preserve">”</w:t>
      </w:r>
      <w:r>
        <w:t xml:space="preserve"> </w:t>
      </w:r>
      <w:r>
        <w:t xml:space="preserve">in the full technical sense (no developed aeon-cosmology is attested in what he describes).</w:t>
      </w:r>
    </w:p>
    <w:p>
      <w:pPr>
        <w:numPr>
          <w:ilvl w:val="0"/>
          <w:numId w:val="1003"/>
        </w:numPr>
        <w:pStyle w:val="Compact"/>
      </w:pPr>
      <w:r>
        <w:rPr>
          <w:b/>
        </w:rPr>
        <w:t xml:space="preserve">Montanism (the New Prophecy).</w:t>
      </w:r>
      <w:r>
        <w:t xml:space="preserve"> </w:t>
      </w:r>
      <w:r>
        <w:t xml:space="preserve">Origin is firmly Phrygian (Asia Minor) — archaeologically corroborated by William Tabbernee and Peter Lampe’s survey work (</w:t>
      </w:r>
      <w:r>
        <w:rPr>
          <w:i/>
        </w:rPr>
        <w:t xml:space="preserve">Pepouza and Tymion</w:t>
      </w:r>
      <w:r>
        <w:t xml:space="preserve">, De Gruyter, 2008) — with a start date disputed between c. 157 (Epiphanius) and c. 172 (Eusebius’s implied chronology); most current scholarship favors the later end, since the movement was already a mature concern by 177, when the Lyons/Vienne martyrs wrote to Bishop Eleutherus about it. It spread from Asia Minor to Rome (contested there by 177) and reached Carthage by the early 3rd century. Asia Minor bishops (Apollinaris of Hierapolis, Apollonius of Ephesus, Serapion of Antioch) convened synods directly condemning it — direct evidence of contemporaneous contestation within this world’s own regional churches, arriving right at this world’s own closing edge.</w:t>
      </w:r>
    </w:p>
    <w:p>
      <w:r>
        <w:pict>
          <v:rect style="width:0;height:1.5pt" o:hralign="center" o:hrstd="t" o:hr="t"/>
        </w:pict>
      </w:r>
    </w:p>
    <w:p>
      <w:pPr>
        <w:pStyle w:val="Heading2"/>
      </w:pPr>
      <w:bookmarkStart w:id="35" w:name="X826e9c86549ceea02c663d147d6f0e2b6b9f007"/>
      <w:r>
        <w:t xml:space="preserve">9. Disclosure obligations carried from Step 0, addressed here</w:t>
      </w:r>
      <w:bookmarkEnd w:id="35"/>
    </w:p>
    <w:p>
      <w:pPr>
        <w:numPr>
          <w:ilvl w:val="0"/>
          <w:numId w:val="1004"/>
        </w:numPr>
        <w:pStyle w:val="Compact"/>
      </w:pPr>
      <w:r>
        <w:t xml:space="preserve">World #1’s own Ecology work (Doc_02) must name Marcion, Valentinian Christianity, and Montanism as real, contemporary, not-yet-defeated neighbors — addressed above in Section 8.3, to be developed in full at Doc_02.</w:t>
      </w:r>
    </w:p>
    <w:p>
      <w:pPr>
        <w:numPr>
          <w:ilvl w:val="0"/>
          <w:numId w:val="1004"/>
        </w:numPr>
        <w:pStyle w:val="Compact"/>
      </w:pPr>
      <w:r>
        <w:t xml:space="preserve">Martyr-cult and popular devotional piety is present in this world, not</w:t>
      </w:r>
      <w:r>
        <w:t xml:space="preserve"> </w:t>
      </w:r>
      <w:r>
        <w:t xml:space="preserve">“</w:t>
      </w:r>
      <w:r>
        <w:t xml:space="preserve">centered nowhere.</w:t>
      </w:r>
      <w:r>
        <w:t xml:space="preserve">”</w:t>
      </w:r>
      <w:r>
        <w:t xml:space="preserve"> </w:t>
      </w:r>
      <w:r>
        <w:rPr>
          <w:b/>
        </w:rPr>
        <w:t xml:space="preserve">Expanded per round-1 review, which found the original two-sentence treatment too thin to actually discharge this obligation:</w:t>
      </w:r>
      <w:r>
        <w:t xml:space="preserve"> </w:t>
      </w:r>
      <w:r>
        <w:t xml:space="preserve">the Martyrdom of Polycarp, whatever its own redactional history (Section 10), describes the community collecting Polycarp’s bones as</w:t>
      </w:r>
      <w:r>
        <w:t xml:space="preserve"> </w:t>
      </w:r>
      <w:r>
        <w:t xml:space="preserve">“</w:t>
      </w:r>
      <w:r>
        <w:t xml:space="preserve">more precious than the finest jewels</w:t>
      </w:r>
      <w:r>
        <w:t xml:space="preserve">”</w:t>
      </w:r>
      <w:r>
        <w:t xml:space="preserve"> </w:t>
      </w:r>
      <w:r>
        <w:t xml:space="preserve">(ch. 18) and gathering annually at his burial site to mark his</w:t>
      </w:r>
      <w:r>
        <w:t xml:space="preserve"> </w:t>
      </w:r>
      <w:r>
        <w:rPr>
          <w:i/>
        </w:rPr>
        <w:t xml:space="preserve">dies natalis</w:t>
      </w:r>
      <w:r>
        <w:t xml:space="preserve"> </w:t>
      </w:r>
      <w:r>
        <w:t xml:space="preserve">(birth-into-eternal-life) — an early, concrete instance of the commemorative martyr-cult practice that becomes far more developed in later centuries, attested here in germinal form. Ignatius’s own letters are themselves devotional artifacts in circulation, not merely biographical sources: Polycarp’s own letter to the Philippians reports collecting and forwarding Ignatius’s letters at the Philippians’ own request, meaning Ignatius’s self-fashioning as a willing martyr (</w:t>
      </w:r>
      <w:r>
        <w:t xml:space="preserve">“</w:t>
      </w:r>
      <w:r>
        <w:t xml:space="preserve">let me be food for the wild beasts,</w:t>
      </w:r>
      <w:r>
        <w:t xml:space="preserve">”</w:t>
      </w:r>
      <w:r>
        <w:t xml:space="preserve"> </w:t>
      </w:r>
      <w:r>
        <w:rPr>
          <w:i/>
        </w:rPr>
        <w:t xml:space="preserve">Romans</w:t>
      </w:r>
      <w:r>
        <w:t xml:space="preserve"> </w:t>
      </w:r>
      <w:r>
        <w:t xml:space="preserve">4) was being actively read, copied, and circulated as exemplary material within this world’s own lifetime, not reconstructed later. This is thinner and later-developing evidence than World #4’s own martyr-cult material, but it is real, textually anchored, and should be treated in Doc_02 as a genuine (if secondary) feature of this world’s own devotional life, not a footnote.</w:t>
      </w:r>
    </w:p>
    <w:p>
      <w:r>
        <w:pict>
          <v:rect style="width:0;height:1.5pt" o:hralign="center" o:hrstd="t" o:hr="t"/>
        </w:pict>
      </w:r>
    </w:p>
    <w:p>
      <w:pPr>
        <w:pStyle w:val="Heading2"/>
      </w:pPr>
      <w:bookmarkStart w:id="36" w:name="X6cc4d3cc527c5e00261d2f25d3099f0b115bd40"/>
      <w:r>
        <w:t xml:space="preserve">10. Sourcing and confidence notes carried forward to Doc_02 and Doc_04</w:t>
      </w:r>
      <w:bookmarkEnd w:id="36"/>
    </w:p>
    <w:p>
      <w:pPr>
        <w:pStyle w:val="FirstParagraph"/>
      </w:pPr>
      <w:r>
        <w:t xml:space="preserve">Nearly every commonly cited dating anchor for this world’s primary sources rests on a single patristic testimony (Eusebius; the Muratorian Fragment) now under active, credible scholarly challenge:</w:t>
      </w:r>
    </w:p>
    <w:p>
      <w:pPr>
        <w:numPr>
          <w:ilvl w:val="0"/>
          <w:numId w:val="1005"/>
        </w:numPr>
        <w:pStyle w:val="Compact"/>
      </w:pPr>
      <w:r>
        <w:rPr>
          <w:b/>
        </w:rPr>
        <w:t xml:space="preserve">1 Clement:</w:t>
      </w:r>
      <w:r>
        <w:t xml:space="preserve"> </w:t>
      </w:r>
      <w:r>
        <w:t xml:space="preserve">traditional c. 96 CE/Domitianic dating is now actively contested — Brian W. Jones and Leonard L. Thompson find no solid evidence of a real Domitianic persecution at all; L. L. Welborn (2020) broadens the plausible range to 80–140 CE; Thomas Herron argues, as a genuine minority position, for a pre-70 CE (Neronian) date.</w:t>
      </w:r>
    </w:p>
    <w:p>
      <w:pPr>
        <w:numPr>
          <w:ilvl w:val="0"/>
          <w:numId w:val="1005"/>
        </w:numPr>
        <w:pStyle w:val="Compact"/>
      </w:pPr>
      <w:r>
        <w:rPr>
          <w:b/>
        </w:rPr>
        <w:t xml:space="preserve">The Didache:</w:t>
      </w:r>
      <w:r>
        <w:t xml:space="preserve"> </w:t>
      </w:r>
      <w:r>
        <w:t xml:space="preserve">composite, final form roughly 80–120 CE per Niederwimmer’s standard Hermeneia commentary, with an outer range to 150 CE; Aaron Milavec’s minority view argues for a unified single composition at 50–70 CE. Provenance (Syria vs. Egypt) is unresolved.</w:t>
      </w:r>
    </w:p>
    <w:p>
      <w:pPr>
        <w:numPr>
          <w:ilvl w:val="0"/>
          <w:numId w:val="1005"/>
        </w:numPr>
        <w:pStyle w:val="Compact"/>
      </w:pPr>
      <w:r>
        <w:rPr>
          <w:b/>
        </w:rPr>
        <w:t xml:space="preserve">The Shepherd of Hermas:</w:t>
      </w:r>
      <w:r>
        <w:t xml:space="preserve"> </w:t>
      </w:r>
      <w:r>
        <w:t xml:space="preserve">composite, multi-stage composition roughly 90–150 CE (Brox, Leutzsch, Osiek); the traditional single mid-2nd-century date rests partly on the Muratorian Fragment’s</w:t>
      </w:r>
      <w:r>
        <w:t xml:space="preserve"> </w:t>
      </w:r>
      <w:r>
        <w:t xml:space="preserve">“</w:t>
      </w:r>
      <w:r>
        <w:t xml:space="preserve">brother of Pius</w:t>
      </w:r>
      <w:r>
        <w:t xml:space="preserve">”</w:t>
      </w:r>
      <w:r>
        <w:t xml:space="preserve"> </w:t>
      </w:r>
      <w:r>
        <w:t xml:space="preserve">claim, itself undercut if Sundberg and Hahneman’s argument that the Fragment is a 4th-century Eastern text is correct.</w:t>
      </w:r>
    </w:p>
    <w:p>
      <w:pPr>
        <w:numPr>
          <w:ilvl w:val="0"/>
          <w:numId w:val="1005"/>
        </w:numPr>
        <w:pStyle w:val="Compact"/>
      </w:pPr>
      <w:r>
        <w:rPr>
          <w:b/>
        </w:rPr>
        <w:t xml:space="preserve">Ignatius:</w:t>
      </w:r>
      <w:r>
        <w:t xml:space="preserve"> </w:t>
      </w:r>
      <w:r>
        <w:t xml:space="preserve">authenticity and dating are genuinely three-way split in current scholarship — traditional Trajanic c. 107–117 (Brent and the historic Lightfoot/Zahn/Harnack consensus); redated but authentic, 130s–140s (Timothy Barnes, Paul Foster), based on Ignatius’s apparent knowledge of the Gnostic Ptolemaeus; and pseudepigraphic, composed 160–180 by a pro-monepiscopate Roman faction (Reinhard Hübner, Thomas Lechner). This materially affects how much weight Strand A (Section 6) can bear and should be explicitly re-flagged at Doc_04’s Confidence/Gravity Cross-Check.</w:t>
      </w:r>
    </w:p>
    <w:p>
      <w:pPr>
        <w:numPr>
          <w:ilvl w:val="0"/>
          <w:numId w:val="1005"/>
        </w:numPr>
        <w:pStyle w:val="Compact"/>
      </w:pPr>
      <w:r>
        <w:rPr>
          <w:b/>
        </w:rPr>
        <w:t xml:space="preserve">Polycarp’s Philippians:</w:t>
      </w:r>
      <w:r>
        <w:t xml:space="preserve"> </w:t>
      </w:r>
      <w:r>
        <w:t xml:space="preserve">P. N. Harrison’s 1936 two-letter-splice theory (an early note plus a later</w:t>
      </w:r>
      <w:r>
        <w:t xml:space="preserve"> </w:t>
      </w:r>
      <w:r>
        <w:t xml:space="preserve">“</w:t>
      </w:r>
      <w:r>
        <w:t xml:space="preserve">crisis letter</w:t>
      </w:r>
      <w:r>
        <w:t xml:space="preserve">”</w:t>
      </w:r>
      <w:r>
        <w:t xml:space="preserve">) was long dominant but is now challenged by Paul Hartog and Michael Holmes, who argue for unity, with Kenneth Berding offering a middle position.</w:t>
      </w:r>
    </w:p>
    <w:p>
      <w:pPr>
        <w:numPr>
          <w:ilvl w:val="0"/>
          <w:numId w:val="1005"/>
        </w:numPr>
        <w:pStyle w:val="Compact"/>
      </w:pPr>
      <w:r>
        <w:rPr>
          <w:b/>
        </w:rPr>
        <w:t xml:space="preserve">Martyrdom of Polycarp:</w:t>
      </w:r>
      <w:r>
        <w:t xml:space="preserve"> </w:t>
      </w:r>
      <w:r>
        <w:t xml:space="preserve">Eusebius gives inconsistent dates (Chronicon: 167 CE; the more usual derived tradition: 155–156 CE); the concluding chapters are widely regarded as later redactional additions.</w:t>
      </w:r>
    </w:p>
    <w:p>
      <w:pPr>
        <w:numPr>
          <w:ilvl w:val="0"/>
          <w:numId w:val="1005"/>
        </w:numPr>
        <w:pStyle w:val="Compact"/>
      </w:pPr>
      <w:r>
        <w:rPr>
          <w:b/>
        </w:rPr>
        <w:t xml:space="preserve">Justin Martyr:</w:t>
      </w:r>
      <w:r>
        <w:t xml:space="preserve"> </w:t>
      </w:r>
      <w:r>
        <w:t xml:space="preserve">comparatively solid — First Apology c. 153–157 CE, Dialogue with Trypho before his death c. 165 CE (Minns and Parvis, Oxford edition, 2009) — the best-anchored dating in this entire source set.</w:t>
      </w:r>
    </w:p>
    <w:p>
      <w:pPr>
        <w:pStyle w:val="FirstParagraph"/>
      </w:pPr>
      <w:r>
        <w:rPr>
          <w:b/>
        </w:rPr>
        <w:t xml:space="preserve">Standing note for Doc_02 and Doc_04:</w:t>
      </w:r>
      <w:r>
        <w:t xml:space="preserve"> </w:t>
      </w:r>
      <w:r>
        <w:t xml:space="preserve">true precision across this source set is more uncertain than popular summaries suggest. Confidence levels assigned in later documents should reflect this directly rather than borrow false certainty from tidy textbook dates.</w:t>
      </w:r>
    </w:p>
    <w:p>
      <w:r>
        <w:pict>
          <v:rect style="width:0;height:1.5pt" o:hralign="center" o:hrstd="t" o:hr="t"/>
        </w:pict>
      </w:r>
    </w:p>
    <w:p>
      <w:pPr>
        <w:pStyle w:val="Heading2"/>
      </w:pPr>
      <w:bookmarkStart w:id="37" w:name="open-items-carried-forward"/>
      <w:r>
        <w:t xml:space="preserve">11. Open items carried forward</w:t>
      </w:r>
      <w:bookmarkEnd w:id="37"/>
    </w:p>
    <w:p>
      <w:pPr>
        <w:numPr>
          <w:ilvl w:val="0"/>
          <w:numId w:val="1006"/>
        </w:numPr>
        <w:pStyle w:val="Compact"/>
      </w:pPr>
      <w:r>
        <w:t xml:space="preserve">Whether a third Asia Minor sub-profile (beyond Ignatius’s direct addressees) constitutes its own strand or belongs inside Strand A — unresolved, reserved for Doc_04 (Section 6).</w:t>
      </w:r>
    </w:p>
    <w:p>
      <w:pPr>
        <w:numPr>
          <w:ilvl w:val="0"/>
          <w:numId w:val="1006"/>
        </w:numPr>
        <w:pStyle w:val="Compact"/>
      </w:pPr>
      <w:r>
        <w:t xml:space="preserve">Ignatius’s authenticity/dating three-way split materially affects Strand A’s evidentiary weight — reserved for explicit re-flagging at Doc_04’s Confidence/Gravity Cross-Check (Section 10).</w:t>
      </w:r>
    </w:p>
    <w:p>
      <w:pPr>
        <w:numPr>
          <w:ilvl w:val="0"/>
          <w:numId w:val="1006"/>
        </w:numPr>
        <w:pStyle w:val="Compact"/>
      </w:pPr>
      <w:r>
        <w:t xml:space="preserve">The precise weight Doc_02’s Author Gravity Assessment should give to Bauer-tradition regional-diversity readings (Section 3) versus the network-coherence readings, when assessing source representativeness — reserved for Doc_02.</w:t>
      </w:r>
    </w:p>
    <w:p>
      <w:r>
        <w:pict>
          <v:rect style="width:0;height:1.5pt" o:hralign="center" o:hrstd="t" o:hr="t"/>
        </w:pict>
      </w:r>
    </w:p>
    <w:p>
      <w:pPr>
        <w:pStyle w:val="Heading2"/>
      </w:pPr>
      <w:bookmarkStart w:id="38" w:name="document-log"/>
      <w:r>
        <w:t xml:space="preserve">12. Document log</w:t>
      </w:r>
      <w:bookmarkEnd w:id="38"/>
    </w:p>
    <w:p>
      <w:pPr>
        <w:numPr>
          <w:ilvl w:val="0"/>
          <w:numId w:val="1007"/>
        </w:numPr>
        <w:pStyle w:val="Compact"/>
      </w:pPr>
      <w:r>
        <w:rPr>
          <w:b/>
        </w:rPr>
        <w:t xml:space="preserve">Document:</w:t>
      </w:r>
      <w:r>
        <w:t xml:space="preserve"> </w:t>
      </w:r>
      <w:r>
        <w:t xml:space="preserve">Doc_01 — World Identification, Boundaries, and Orientation, World #1 (Post-Apostolic/Sub-Apostolic House-Church Christianity).</w:t>
      </w:r>
    </w:p>
    <w:p>
      <w:pPr>
        <w:numPr>
          <w:ilvl w:val="0"/>
          <w:numId w:val="1007"/>
        </w:numPr>
        <w:pStyle w:val="Compact"/>
      </w:pPr>
      <w:r>
        <w:rPr>
          <w:b/>
        </w:rPr>
        <w:t xml:space="preserve">Round 1 review outcome:</w:t>
      </w:r>
      <w:r>
        <w:t xml:space="preserve"> </w:t>
      </w:r>
      <w:r>
        <w:t xml:space="preserve">independent reviewer #1 (fresh subagent, no drafting context) found the document should not be finalized as drafted. Five findings, four called substantial, one leaning substantial: (1) mischaracterization of</w:t>
      </w:r>
      <w:r>
        <w:t xml:space="preserve"> </w:t>
      </w:r>
      <w:r>
        <w:t xml:space="preserve">“</w:t>
      </w:r>
      <w:r>
        <w:t xml:space="preserve">Ways That Never Parted</w:t>
      </w:r>
      <w:r>
        <w:t xml:space="preserve">”</w:t>
      </w:r>
      <w:r>
        <w:t xml:space="preserve"> </w:t>
      </w:r>
      <w:r>
        <w:t xml:space="preserve">scholarship — corrected (Section 2.1); (2) Ignatius-dating caveat not integrated into Strand A’s own claim — corrected (Section 6); (3) martyr-cult/piety disclosure too thin — expanded with specific textual evidence (Section 9); (4) Bagnall/Egypt dependency under-signaled relative to the Ignatius dependency — flagged with equivalent prominence (Section 3); (5) Justin Martyr internal date inconsistency and Ignatius-journey overclaim — both fixed (Sections 8.3 and 4). Revision count after this round: 1.</w:t>
      </w:r>
    </w:p>
    <w:p>
      <w:pPr>
        <w:numPr>
          <w:ilvl w:val="0"/>
          <w:numId w:val="1007"/>
        </w:numPr>
        <w:pStyle w:val="Compact"/>
      </w:pPr>
      <w:r>
        <w:rPr>
          <w:b/>
        </w:rPr>
        <w:t xml:space="preserve">Round 2 review outcome:</w:t>
      </w:r>
      <w:r>
        <w:t xml:space="preserve"> </w:t>
      </w:r>
      <w:r>
        <w:t xml:space="preserve">independent reviewer #2 (separate fresh subagent, no memory of reviewer #1 or the drafting process) independently verified all five round-1 fixes were genuine (re-checked the underlying sources, not just the document’s own claim to have fixed them) and found no fabricated or distorted citations anywhere spot-checked. Two new, minor issues surfaced as a byproduct of the round-1 fixes themselves: the Strand Determination topline finding didn’t yet reflect how much the section’s own body now questions the two-strand framing; and Section 2.1’s temporal-boundary caveat and Section 3’s Bauer-thesis caveat made two independent</w:t>
      </w:r>
      <w:r>
        <w:t xml:space="preserve"> </w:t>
      </w:r>
      <w:r>
        <w:t xml:space="preserve">“</w:t>
      </w:r>
      <w:r>
        <w:t xml:space="preserve">don’t over-read uniformity</w:t>
      </w:r>
      <w:r>
        <w:t xml:space="preserve">”</w:t>
      </w:r>
      <w:r>
        <w:t xml:space="preserve"> </w:t>
      </w:r>
      <w:r>
        <w:t xml:space="preserve">arguments without cross-referencing each other. Both classified</w:t>
      </w:r>
      <w:r>
        <w:t xml:space="preserve"> </w:t>
      </w:r>
      <w:r>
        <w:rPr>
          <w:b/>
        </w:rPr>
        <w:t xml:space="preserve">cosmetic</w:t>
      </w:r>
      <w:r>
        <w:t xml:space="preserve"> </w:t>
      </w:r>
      <w:r>
        <w:t xml:space="preserve">(no change to a claim’s substance, confidence rating, sourcing conclusion, or scope boundary) — applied directly per the build-cycle’s cosmetic-feedback rule, logged here, no further review cycle triggered.</w:t>
      </w:r>
    </w:p>
    <w:p>
      <w:pPr>
        <w:numPr>
          <w:ilvl w:val="0"/>
          <w:numId w:val="1007"/>
        </w:numPr>
        <w:pStyle w:val="Compact"/>
      </w:pPr>
      <w:r>
        <w:rPr>
          <w:b/>
        </w:rPr>
        <w:t xml:space="preserve">Disagreement log:</w:t>
      </w:r>
      <w:r>
        <w:t xml:space="preserve"> </w:t>
      </w:r>
      <w:r>
        <w:t xml:space="preserve">none. Reviewer #2 did not reopen anything reviewer #1 had cleared, and did not dispute reviewer #1’s substantial/cosmetic classifications.</w:t>
      </w:r>
    </w:p>
    <w:p>
      <w:pPr>
        <w:numPr>
          <w:ilvl w:val="0"/>
          <w:numId w:val="1007"/>
        </w:numPr>
        <w:pStyle w:val="Compact"/>
      </w:pPr>
      <w:r>
        <w:rPr>
          <w:b/>
        </w:rPr>
        <w:t xml:space="preserve">Reviewer-history disclosure, added upon independent cold review:</w:t>
      </w:r>
      <w:r>
        <w:t xml:space="preserve"> </w:t>
      </w:r>
      <w:r>
        <w:t xml:space="preserve">the Round 1 and Round 2 review entries above describe reviews conducted in-thread, early in this build, before this project established the practice of saving every review as its own independently-checkable file. No standalone review artifact exists for either round — unlike Doc_02, Doc_03, Doc_05, and Doc_06, which each have file-saved review records. This does not mean those reviews didn’t happen or that their conclusions are wrong (a genuinely cold, independent re-check below found the document’s actual historical content sound), but the specific process claims above (five findings, two-round independent verification) rest on this Document Log’s own narration alone and should be read as such, not as an independently verified record.</w:t>
      </w:r>
    </w:p>
    <w:p>
      <w:pPr>
        <w:numPr>
          <w:ilvl w:val="0"/>
          <w:numId w:val="1007"/>
        </w:numPr>
        <w:pStyle w:val="Compact"/>
      </w:pPr>
      <w:r>
        <w:rPr>
          <w:b/>
        </w:rPr>
        <w:t xml:space="preserve">Cold review, round 1 (first file-saved, genuinely independent review of this document):</w:t>
      </w:r>
      <w:r>
        <w:t xml:space="preserve"> </w:t>
      </w:r>
      <w:r>
        <w:t xml:space="preserve">dispatched with zero visibility into this document’s own drafting or review history, checking it cold against the Step 0 Conclusion, the Coach 3 critique, the Construction Framework, Constitution Articles 21/22, and independently-fetched primary sources. Full review saved at</w:t>
      </w:r>
      <w:r>
        <w:t xml:space="preserve"> </w:t>
      </w:r>
      <w:r>
        <w:rPr>
          <w:rStyle w:val="VerbatimChar"/>
        </w:rPr>
        <w:t xml:space="preserve">CiC_W1_Doc01_Cold_Review_Round1.md</w:t>
      </w:r>
      <w:r>
        <w:t xml:space="preserve">. Result: SUBSTANTIAL REVISION REQUIRED, narrow in scope. Two substantial findings: (1) this document’s governance citation named Formation World Construction Framework V7.4 (DRAFT) — a version explicitly marked</w:t>
      </w:r>
      <w:r>
        <w:t xml:space="preserve"> </w:t>
      </w:r>
      <w:r>
        <w:t xml:space="preserve">“</w:t>
      </w:r>
      <w:r>
        <w:t xml:space="preserve">not yet ratified</w:t>
      </w:r>
      <w:r>
        <w:t xml:space="preserve">”</w:t>
      </w:r>
      <w:r>
        <w:t xml:space="preserve"> </w:t>
      </w:r>
      <w:r>
        <w:t xml:space="preserve">that does not exist anywhere in this document’s own accessible project tree, only in a separate branch, which also sat in tension with this document’s own</w:t>
      </w:r>
      <w:r>
        <w:t xml:space="preserve"> </w:t>
      </w:r>
      <w:r>
        <w:t xml:space="preserve">“</w:t>
      </w:r>
      <w:r>
        <w:t xml:space="preserve">no other branch consulted</w:t>
      </w:r>
      <w:r>
        <w:t xml:space="preserve">”</w:t>
      </w:r>
      <w:r>
        <w:t xml:space="preserve"> </w:t>
      </w:r>
      <w:r>
        <w:t xml:space="preserve">claim; Part I’s actual text is byte-identical between V7.3 and V7.4_DRAFT, so no content was affected, but the citation itself was untraceable; (2) the Round 1/Round 2 review history above has no independent trace anywhere in the project — addressed via the disclosure entry immediately above. One cosmetic finding: Section 6 undercounted the Framework’s own Strand Determination test as three dimensions rather than four, dropping</w:t>
      </w:r>
      <w:r>
        <w:t xml:space="preserve"> </w:t>
      </w:r>
      <w:r>
        <w:t xml:space="preserve">“</w:t>
      </w:r>
      <w:r>
        <w:t xml:space="preserve">ecological orientation.</w:t>
      </w:r>
      <w:r>
        <w:t xml:space="preserve">”</w:t>
      </w:r>
      <w:r>
        <w:t xml:space="preserve"> </w:t>
      </w:r>
      <w:r>
        <w:t xml:space="preserve">Every primary-source quotation and secondary-scholarship attribution independently spot-checked (Ignatius, Martyrdom of Polycarp, 1 Clement, Bagnall, Lampe, Hübner/Lechner, the Deir Ali inscription, Raymond Brown, Minns and Parvis) came back accurate and honestly caveated; internal consistency with the Step 0 Conclusion and the Coach 3 critique was confirmed; Constitution Articles 21/22 compliance and Part I structural completeness were both confirmed; the file was independently confirmed not truncated.</w:t>
      </w:r>
    </w:p>
    <w:p>
      <w:pPr>
        <w:numPr>
          <w:ilvl w:val="0"/>
          <w:numId w:val="1007"/>
        </w:numPr>
        <w:pStyle w:val="Compact"/>
      </w:pPr>
      <w:r>
        <w:rPr>
          <w:b/>
        </w:rPr>
        <w:t xml:space="preserve">Cold review fixes applied:</w:t>
      </w:r>
      <w:r>
        <w:t xml:space="preserve"> </w:t>
      </w:r>
      <w:r>
        <w:t xml:space="preserve">governance citation corrected from V7.4 (DRAFT) to V7.3 — the version that actually governs this content and is traceable within this document’s own project tree (Part I text is identical between the two versions, so no substantive change resulted). Section 6 corrected to state all four Strand Determination dimensions and describe authority structure as</w:t>
      </w:r>
      <w:r>
        <w:t xml:space="preserve"> </w:t>
      </w:r>
      <w:r>
        <w:t xml:space="preserve">“</w:t>
      </w:r>
      <w:r>
        <w:t xml:space="preserve">the clearest of the four.</w:t>
      </w:r>
      <w:r>
        <w:t xml:space="preserve">”</w:t>
      </w:r>
      <w:r>
        <w:t xml:space="preserve"> </w:t>
      </w:r>
      <w:r>
        <w:t xml:space="preserve">The reviewer-history disclosure entry above was added to honestly frame the Round 1/Round 2 narration.</w:t>
      </w:r>
    </w:p>
    <w:p>
      <w:pPr>
        <w:numPr>
          <w:ilvl w:val="0"/>
          <w:numId w:val="1007"/>
        </w:numPr>
        <w:pStyle w:val="Compact"/>
      </w:pPr>
      <w:r>
        <w:rPr>
          <w:b/>
        </w:rPr>
        <w:t xml:space="preserve">Final status:</w:t>
      </w:r>
      <w:r>
        <w:t xml:space="preserve"> </w:t>
      </w:r>
      <w:r>
        <w:t xml:space="preserve">APPROVED TO PROCEED — signed off by the project lead on 2026-07-07 (see Project-lead sign-off entry below). Cold review round 1 (the first genuinely independent, file-saved review of this document) found two substantial findings, both narrow and mechanical (a citation-version correction with no content impact, and an honest disclosure of previously-unverifiable review-history narration), fixed directly per this project’s revision-decision test.</w:t>
      </w:r>
    </w:p>
    <w:p>
      <w:pPr>
        <w:numPr>
          <w:ilvl w:val="0"/>
          <w:numId w:val="1007"/>
        </w:numPr>
        <w:pStyle w:val="Compact"/>
      </w:pPr>
      <w:r>
        <w:rPr>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
        </w:rPr>
        <w:t xml:space="preserve">Status: APPROVED TO PROCEED.</w:t>
      </w:r>
    </w:p>
    <w:p>
      <w:pPr>
        <w:numPr>
          <w:ilvl w:val="0"/>
          <w:numId w:val="1007"/>
        </w:numPr>
        <w:pStyle w:val="Compact"/>
      </w:pPr>
      <w:r>
        <w:rPr>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p>
      <w:pPr>
        <w:numPr>
          <w:ilvl w:val="0"/>
          <w:numId w:val="1007"/>
        </w:numPr>
        <w:pStyle w:val="Compact"/>
      </w:pPr>
      <w:r>
        <w:rPr>
          <w:b/>
        </w:rPr>
        <w:t xml:space="preserve">Step 9 Validation &amp; Testing fix (2026-07-08):</w:t>
      </w:r>
      <w:r>
        <w:t xml:space="preserve"> </w:t>
      </w:r>
      <w:r>
        <w:t xml:space="preserve">the Part VI ecology-level testing pass caught a trivial date inconsistency — Pliny’s Letter 10.96 was dated</w:t>
      </w:r>
      <w:r>
        <w:t xml:space="preserve"> </w:t>
      </w:r>
      <w:r>
        <w:t xml:space="preserve">“</w:t>
      </w:r>
      <w:r>
        <w:t xml:space="preserve">c. 112 CE</w:t>
      </w:r>
      <w:r>
        <w:t xml:space="preserve">”</w:t>
      </w:r>
      <w:r>
        <w:t xml:space="preserve"> </w:t>
      </w:r>
      <w:r>
        <w:t xml:space="preserve">here (Section, Political subsection) but</w:t>
      </w:r>
      <w:r>
        <w:t xml:space="preserve"> </w:t>
      </w:r>
      <w:r>
        <w:t xml:space="preserve">“</w:t>
      </w:r>
      <w:r>
        <w:t xml:space="preserve">c. 111–113 CE</w:t>
      </w:r>
      <w:r>
        <w:t xml:space="preserve">”</w:t>
      </w:r>
      <w:r>
        <w:t xml:space="preserve"> </w:t>
      </w:r>
      <w:r>
        <w:t xml:space="preserve">everywhere else this letter is cited across the build (Doc_02, Doc_03, Doc_08, Doc_09). Corrected here to match the range used consistently elsewhere. No substantive change — same letter, same argument, only the date-range precision was unreconciled. The same testing pass also surfaced a genuine open item this document did not previously address: the exclusion of the Pastoral Epistles (1–2 Timothy, Titus) from this world’s Native evidentiary base was never argued anywhere in this document, despite their close thematic and geographic overlap with this world’s central authority gravity. See</w:t>
      </w:r>
      <w:r>
        <w:t xml:space="preserve"> </w:t>
      </w:r>
      <w:r>
        <w:rPr>
          <w:rStyle w:val="VerbatimChar"/>
        </w:rPr>
        <w:t xml:space="preserve">pahc_Validation_Testing.md</w:t>
      </w:r>
      <w:r>
        <w:t xml:space="preserve"> </w:t>
      </w:r>
      <w:r>
        <w:t xml:space="preserve">(Differentiation Testing, Finding 8) for the full analysis; this remains an open item pending the project lead’s review, not yet resolved here.</w:t>
      </w:r>
    </w:p>
    <w:p>
      <w:pPr>
        <w:numPr>
          <w:ilvl w:val="0"/>
          <w:numId w:val="1007"/>
        </w:numPr>
        <w:pStyle w:val="Compact"/>
      </w:pPr>
      <w:r>
        <w:rPr>
          <w:b/>
        </w:rPr>
        <w:t xml:space="preserve">Differentiation finding resolved (2026-07-08), batch-authorized by the project lead:</w:t>
      </w:r>
      <w:r>
        <w:t xml:space="preserve"> </w:t>
      </w:r>
      <w:r>
        <w:t xml:space="preserve">a cross-reference note added to Section 4’s Social subsection, and a full world-specific rationale added at Doc_02 §1.7, closing the open item logged directly above. No content in this document’s own claims changed; the Pastorals were always cited here only as secondary-scholarship background, never as Native evidence, and this document now says so explicitly rather than leaving that distinction implicit.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2026-07-08T15:05:28Z</dcterms:created>
  <dcterms:modified xsi:type="dcterms:W3CDTF">2026-07-08T15:05:28Z</dcterms:modified>
</cp:coreProperties>
</file>

<file path=docProps/custom.xml><?xml version="1.0" encoding="utf-8"?>
<Properties xmlns="http://schemas.openxmlformats.org/officeDocument/2006/custom-properties" xmlns:vt="http://schemas.openxmlformats.org/officeDocument/2006/docPropsVTypes"/>
</file>