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2-source-ecology"/>
      <w:r>
        <w:t xml:space="preserve">Doc_02 — Source Ecology</w:t>
      </w:r>
      <w:bookmarkEnd w:id="20"/>
    </w:p>
    <w:p>
      <w:pPr>
        <w:pStyle w:val="FirstParagraph"/>
      </w:pPr>
      <w:r>
        <w:rPr>
          <w:b/>
        </w:rPr>
        <w:t xml:space="preserve">World #1: Post-Apostolic/Sub-Apostolic House-Church Christianity</w:t>
      </w:r>
    </w:p>
    <w:p>
      <w:pPr>
        <w:pStyle w:val="BodyText"/>
      </w:pPr>
      <w:r>
        <w:rPr>
          <w:b/>
        </w:rPr>
        <w:t xml:space="preserve">Status:</w:t>
      </w:r>
      <w:r>
        <w:t xml:space="preserve"> </w:t>
      </w:r>
      <w:r>
        <w:t xml:space="preserve">FINALIZED — signed off by the project lead (Mark) on 2026-07-07, via explicit confirmation in this build’s conversation record. Corrected a missed Ignatius</w:t>
      </w:r>
      <w:r>
        <w:t xml:space="preserve"> </w:t>
      </w:r>
      <w:r>
        <w:rPr>
          <w:i/>
        </w:rPr>
        <w:t xml:space="preserve">Smyrnaeans</w:t>
      </w:r>
      <w:r>
        <w:t xml:space="preserve"> </w:t>
      </w:r>
      <w:r>
        <w:t xml:space="preserve">8 love-feast citation and an adjacent Philadelphians/Smyrnaeans misattribution in Section 4; two Registry rows added (S56, S57) and propagated to all derived views. Cleared 2 fresh cold-independent-review rounds (both saved as standalone files) on top of the prior 5-round history. This document’s FINALIZED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V7.4 (DRAFT), Part II, Step 2; Constitution Articles 16, 17, 20, 26; the Source Registry Template (L3B-World-Build-Methodology); the</w:t>
      </w:r>
      <w:r>
        <w:t xml:space="preserve"> </w:t>
      </w:r>
      <w:r>
        <w:rPr>
          <w:rStyle w:val="VerbatimChar"/>
        </w:rPr>
        <w:t xml:space="preserve">cic-source-registry</w:t>
      </w:r>
      <w:r>
        <w:t xml:space="preserve"> </w:t>
      </w:r>
      <w:r>
        <w:t xml:space="preserve">skill.</w:t>
      </w:r>
    </w:p>
    <w:p>
      <w:pPr>
        <w:pStyle w:val="BodyText"/>
      </w:pPr>
      <w:r>
        <w:rPr>
          <w:b/>
        </w:rPr>
        <w:t xml:space="preserve">Built from:</w:t>
      </w:r>
      <w:r>
        <w:t xml:space="preserve"> </w:t>
      </w:r>
      <w:r>
        <w:t xml:space="preserve">Doc_01 (finalized) for this world’s own boundaries and open items; a five-angle deep-research pass covering manuscript transmission histories, primary liturgical evidence, material culture/archaeology, the secondary scholarship landscape, and source asymmetry/outside witnesses. The companion Source Registry (separate workbook) is developed from the same evidentiary work as this document, per Step 2’s requirement that both be produced together in one pass.</w:t>
      </w:r>
    </w:p>
    <w:p>
      <w:pPr>
        <w:pStyle w:val="BodyText"/>
      </w:pPr>
      <w:r>
        <w:rPr>
          <w:b/>
        </w:rPr>
        <w:t xml:space="preserve">Confidence vocabulary used throughout:</w:t>
      </w:r>
      <w:r>
        <w:t xml:space="preserve"> </w:t>
      </w:r>
      <w:r>
        <w:t xml:space="preserve">Documented (direct primary attestation, minimal inference) / Widely Accepted (near-consensus modern reconstruction) / Dominant Modern Reconstruction (majority scholarly view, real but minority dissent exists) / Contested (genuine, live scholarly split) / Inferential-Thin (argued from silence, analogy, or a single fragile data point).</w:t>
      </w:r>
    </w:p>
    <w:p>
      <w:r>
        <w:pict>
          <v:rect style="width:0;height:1.5pt" o:hralign="center" o:hrstd="t" o:hr="t"/>
        </w:pict>
      </w:r>
    </w:p>
    <w:p>
      <w:pPr>
        <w:pStyle w:val="Heading2"/>
      </w:pPr>
      <w:bookmarkStart w:id="21" w:name="primary-voices-author-gravity-assessment"/>
      <w:r>
        <w:t xml:space="preserve">1. Primary Voices — Author Gravity Assessment</w:t>
      </w:r>
      <w:bookmarkEnd w:id="21"/>
    </w:p>
    <w:p>
      <w:pPr>
        <w:pStyle w:val="FirstParagraph"/>
      </w:pPr>
      <w:r>
        <w:t xml:space="preserve">Six primary voices anchor this world’s evidentiary base. Each is assessed on all five required dimensions: Visibility, Representativeness, Influence, Limitations, Transmission History.</w:t>
      </w:r>
    </w:p>
    <w:p>
      <w:pPr>
        <w:pStyle w:val="Heading3"/>
      </w:pPr>
      <w:bookmarkStart w:id="22" w:name="X9449329dd5f115c93a39fce6b8dea63ac202533"/>
      <w:r>
        <w:t xml:space="preserve">1.1 The Didache (anonymous, composite; Syria, likely, though provenance is itself unresolved)</w:t>
      </w:r>
      <w:bookmarkEnd w:id="22"/>
    </w:p>
    <w:p>
      <w:pPr>
        <w:numPr>
          <w:ilvl w:val="0"/>
          <w:numId w:val="1001"/>
        </w:numPr>
        <w:pStyle w:val="Compact"/>
      </w:pPr>
      <w:r>
        <w:rPr>
          <w:b/>
        </w:rPr>
        <w:t xml:space="preserve">Visibility:</w:t>
      </w:r>
      <w:r>
        <w:t xml:space="preserve"> </w:t>
      </w:r>
      <w:r>
        <w:t xml:space="preserve">Nearly invisible for eighteen centuries — the text was effectively lost, known only through indirect echoes (Apostolic Constitutions Book VII reworks it) until 1873. Its modern visibility is therefore a 19th-century event, not a continuous transmission the way Ignatius’s letters were continuously read and cited by later fathers.</w:t>
      </w:r>
    </w:p>
    <w:p>
      <w:pPr>
        <w:numPr>
          <w:ilvl w:val="0"/>
          <w:numId w:val="1001"/>
        </w:numPr>
        <w:pStyle w:val="Compact"/>
      </w:pPr>
      <w:r>
        <w:rPr>
          <w:b/>
        </w:rPr>
        <w:t xml:space="preserve">Representativeness:</w:t>
      </w:r>
      <w:r>
        <w:t xml:space="preserve"> </w:t>
      </w:r>
      <w:r>
        <w:t xml:space="preserve">Uncertain. It reads as a church-order manual for a specific, plausibly Syrian community, not a universally-circulated document — there is no evidence any other community in this world’s own network (Rome, Asia Minor) knew or used it. It should not be treated as representative of the whole network’s practice, only of one (likely Syrian) community’s own.</w:t>
      </w:r>
    </w:p>
    <w:p>
      <w:pPr>
        <w:numPr>
          <w:ilvl w:val="0"/>
          <w:numId w:val="1001"/>
        </w:numPr>
        <w:pStyle w:val="Compact"/>
      </w:pPr>
      <w:r>
        <w:rPr>
          <w:b/>
        </w:rPr>
        <w:t xml:space="preserve">Influence:</w:t>
      </w:r>
      <w:r>
        <w:t xml:space="preserve"> </w:t>
      </w:r>
      <w:r>
        <w:t xml:space="preserve">Retrospectively enormous once rediscovered (it reshaped 20th-century scholarly understanding of earliest church order and liturgy), but zero influence on how any other ancient community in this world understood itself, since it was not in circulation among them.</w:t>
      </w:r>
    </w:p>
    <w:p>
      <w:pPr>
        <w:numPr>
          <w:ilvl w:val="0"/>
          <w:numId w:val="1001"/>
        </w:numPr>
        <w:pStyle w:val="Compact"/>
      </w:pPr>
      <w:r>
        <w:rPr>
          <w:b/>
        </w:rPr>
        <w:t xml:space="preserve">Limitations:</w:t>
      </w:r>
      <w:r>
        <w:t xml:space="preserve"> </w:t>
      </w:r>
      <w:r>
        <w:t xml:space="preserve">Composite, layered document (Two Ways catechism plus church-order material); the text cannot securely date any specific instruction to a specific year, only to a broad final-form window.</w:t>
      </w:r>
    </w:p>
    <w:p>
      <w:pPr>
        <w:numPr>
          <w:ilvl w:val="0"/>
          <w:numId w:val="1001"/>
        </w:numPr>
        <w:pStyle w:val="Compact"/>
      </w:pPr>
      <w:r>
        <w:rPr>
          <w:b/>
        </w:rPr>
        <w:t xml:space="preserve">Transmission History — the single most important calibration fact about this source.</w:t>
      </w:r>
      <w:r>
        <w:t xml:space="preserve"> </w:t>
      </w:r>
      <w:r>
        <w:t xml:space="preserve">Roughly 90% of the text depends on one manuscript: Codex Hierosolymitanus (the</w:t>
      </w:r>
      <w:r>
        <w:t xml:space="preserve"> </w:t>
      </w:r>
      <w:r>
        <w:t xml:space="preserve">“</w:t>
      </w:r>
      <w:r>
        <w:t xml:space="preserve">Bryennios manuscript,</w:t>
      </w:r>
      <w:r>
        <w:t xml:space="preserve">”</w:t>
      </w:r>
      <w:r>
        <w:t xml:space="preserve"> </w:t>
      </w:r>
      <w:r>
        <w:t xml:space="preserve">Panaghiou Taphou 54), copied by a scribe named Leon and dated by its own colophon to 11 June 1056 CE. It sat in Constantinople (not Jerusalem, despite the name) until 1887, and was found there by Philotheos Bryennios in 1873; his editio princeps appeared in 1883. Partial, independent corroboration exists but is thinner than often implied: a Coptic (Middle Egyptian/Fayyumic, not Sahidic) parchment fragment covering only Did. 10:3b–12:2a; a fragmentary Oxyrhynchus papyrus (P.Oxy. 1782, late 4th century) covering two small discontinuous scraps; a disputed Georgian collation from a since-destroyed manuscript; and the Latin</w:t>
      </w:r>
      <w:r>
        <w:t xml:space="preserve"> </w:t>
      </w:r>
      <w:r>
        <w:t xml:space="preserve">“</w:t>
      </w:r>
      <w:r>
        <w:t xml:space="preserve">Doctrina Apostolorum</w:t>
      </w:r>
      <w:r>
        <w:t xml:space="preserve">”</w:t>
      </w:r>
      <w:r>
        <w:t xml:space="preserve"> </w:t>
      </w:r>
      <w:r>
        <w:t xml:space="preserve">(two manuscripts), an independent witness to the underlying</w:t>
      </w:r>
      <w:r>
        <w:t xml:space="preserve"> </w:t>
      </w:r>
      <w:r>
        <w:t xml:space="preserve">“</w:t>
      </w:r>
      <w:r>
        <w:t xml:space="preserve">Two Ways</w:t>
      </w:r>
      <w:r>
        <w:t xml:space="preserve">”</w:t>
      </w:r>
      <w:r>
        <w:t xml:space="preserve"> </w:t>
      </w:r>
      <w:r>
        <w:t xml:space="preserve">source rather than to the Didache itself.</w:t>
      </w:r>
      <w:r>
        <w:t xml:space="preserve"> </w:t>
      </w:r>
      <w:r>
        <w:rPr>
          <w:b/>
        </w:rPr>
        <w:t xml:space="preserve">This is a genuine single-point-of-failure transmission chain for the great majority of the text.</w:t>
      </w:r>
      <w:r>
        <w:t xml:space="preserve"> </w:t>
      </w:r>
      <w:r>
        <w:rPr>
          <w:i/>
        </w:rPr>
        <w:t xml:space="preserve">[Confidence on the manuscript facts themselves: Documented. Confidence on the text’s own representativeness and dating: Contested/Inferential-Thin.]</w:t>
      </w:r>
    </w:p>
    <w:p>
      <w:pPr>
        <w:pStyle w:val="Heading3"/>
      </w:pPr>
      <w:bookmarkStart w:id="23" w:name="Xeaca19b93bc77e19200edf970eec057609190c5"/>
      <w:r>
        <w:t xml:space="preserve">1.2 1 Clement (traditionally Clement of Rome; anonymous in its own text)</w:t>
      </w:r>
      <w:bookmarkEnd w:id="23"/>
    </w:p>
    <w:p>
      <w:pPr>
        <w:numPr>
          <w:ilvl w:val="0"/>
          <w:numId w:val="1002"/>
        </w:numPr>
        <w:pStyle w:val="Compact"/>
      </w:pPr>
      <w:r>
        <w:rPr>
          <w:b/>
        </w:rPr>
        <w:t xml:space="preserve">Visibility:</w:t>
      </w:r>
      <w:r>
        <w:t xml:space="preserve"> </w:t>
      </w:r>
      <w:r>
        <w:t xml:space="preserve">High and continuous — cited as scripture-adjacent by several ancient authorities (included in Codex Alexandrinus alongside the New Testament) and never lost.</w:t>
      </w:r>
    </w:p>
    <w:p>
      <w:pPr>
        <w:numPr>
          <w:ilvl w:val="0"/>
          <w:numId w:val="1002"/>
        </w:numPr>
        <w:pStyle w:val="Compact"/>
      </w:pPr>
      <w:r>
        <w:rPr>
          <w:b/>
        </w:rPr>
        <w:t xml:space="preserve">Representativeness:</w:t>
      </w:r>
      <w:r>
        <w:t xml:space="preserve"> </w:t>
      </w:r>
      <w:r>
        <w:t xml:space="preserve">Strong for Rome specifically — this is Rome writing with real, exercised corrective authority to Corinth, the best-attested single act of translocal authority in this world’s early decades. Not representative of Antioch or Asia Minor, which have no equivalent Roman-style document this early.</w:t>
      </w:r>
    </w:p>
    <w:p>
      <w:pPr>
        <w:numPr>
          <w:ilvl w:val="0"/>
          <w:numId w:val="1002"/>
        </w:numPr>
        <w:pStyle w:val="Compact"/>
      </w:pPr>
      <w:r>
        <w:rPr>
          <w:b/>
        </w:rPr>
        <w:t xml:space="preserve">Influence:</w:t>
      </w:r>
      <w:r>
        <w:t xml:space="preserve"> </w:t>
      </w:r>
      <w:r>
        <w:t xml:space="preserve">Substantial and traceable — its own account of church order (interchangeable episkopos/presbyteros for a plural governing college, chs. 42, 44) is the single strongest textual anchor for this document’s Strand B finding in Doc_01.</w:t>
      </w:r>
    </w:p>
    <w:p>
      <w:pPr>
        <w:numPr>
          <w:ilvl w:val="0"/>
          <w:numId w:val="1002"/>
        </w:numPr>
        <w:pStyle w:val="Compact"/>
      </w:pPr>
      <w:r>
        <w:rPr>
          <w:b/>
        </w:rPr>
        <w:t xml:space="preserve">Limitations:</w:t>
      </w:r>
      <w:r>
        <w:t xml:space="preserve"> </w:t>
      </w:r>
      <w:r>
        <w:t xml:space="preserve">Its date is more contested than textbook treatments suggest (see Transmission/dating note below); its rhetorical purpose (settling a specific Corinthian leadership dispute) may shape how it presents church order, possibly overstating settled hierarchy for persuasive effect.</w:t>
      </w:r>
    </w:p>
    <w:p>
      <w:pPr>
        <w:numPr>
          <w:ilvl w:val="0"/>
          <w:numId w:val="1002"/>
        </w:numPr>
        <w:pStyle w:val="Compact"/>
      </w:pPr>
      <w:r>
        <w:rPr>
          <w:b/>
        </w:rPr>
        <w:t xml:space="preserve">Transmission History:</w:t>
      </w:r>
      <w:r>
        <w:t xml:space="preserve"> </w:t>
      </w:r>
      <w:r>
        <w:t xml:space="preserve">Codex Alexandrinus (5th century) preserves the letter but loses a leaf, breaking off at 1 Clement 57:7 through the end of ch. 63; Codex Hierosolymitanus (the same 1056 CE manuscript as the Didache) supplies the complete text, including the missing prayer material at the end. A Syriac copy (Cambridge Add. 1700, 1169/1170 CE) and two Akhmimic Coptic witnesses (not Sahidic, and not British Library, correcting a common error) also survive. An ancient Latin translation does exist (Namur, Ms. Sem. 37, 11th-century copy, first published 1894), plausibly reflecting a translation as early as the 2nd century.</w:t>
      </w:r>
      <w:r>
        <w:t xml:space="preserve"> </w:t>
      </w:r>
      <w:r>
        <w:rPr>
          <w:b/>
        </w:rPr>
        <w:t xml:space="preserve">Risk calibration:</w:t>
      </w:r>
      <w:r>
        <w:t xml:space="preserve"> </w:t>
      </w:r>
      <w:r>
        <w:t xml:space="preserve">thicker manuscript base than the Didache — Alexandrinus and Hierosolymitanus cross-check most of the text independently; only the chs. 57–63 lacuna in Alexandrinus depends solely on the later manuscript.</w:t>
      </w:r>
      <w:r>
        <w:t xml:space="preserve"> </w:t>
      </w:r>
      <w:r>
        <w:rPr>
          <w:i/>
        </w:rPr>
        <w:t xml:space="preserve">[Confidence on manuscript facts: Documented. Confidence on the traditional c. 96 CE/Domitianic date: Contested — see Doc_01 Section 10 and the expanded note in Section 10 below.]</w:t>
      </w:r>
    </w:p>
    <w:p>
      <w:pPr>
        <w:pStyle w:val="Heading3"/>
      </w:pPr>
      <w:bookmarkStart w:id="24" w:name="X6bc5a14ed7cf3e96941355397a81bb66fc6d501"/>
      <w:r>
        <w:t xml:space="preserve">1.3 Ignatius of Antioch’s letters (middle recension, 7 letters)</w:t>
      </w:r>
      <w:bookmarkEnd w:id="24"/>
    </w:p>
    <w:p>
      <w:pPr>
        <w:numPr>
          <w:ilvl w:val="0"/>
          <w:numId w:val="1003"/>
        </w:numPr>
        <w:pStyle w:val="Compact"/>
      </w:pPr>
      <w:r>
        <w:rPr>
          <w:b/>
        </w:rPr>
        <w:t xml:space="preserve">Visibility:</w:t>
      </w:r>
      <w:r>
        <w:t xml:space="preserve"> </w:t>
      </w:r>
      <w:r>
        <w:t xml:space="preserve">High, continuous, and unusually well-attested in the history of scholarship itself (a genuine centuries-long critical detective story — see Transmission below).</w:t>
      </w:r>
    </w:p>
    <w:p>
      <w:pPr>
        <w:numPr>
          <w:ilvl w:val="0"/>
          <w:numId w:val="1003"/>
        </w:numPr>
        <w:pStyle w:val="Compact"/>
      </w:pPr>
      <w:r>
        <w:rPr>
          <w:b/>
        </w:rPr>
        <w:t xml:space="preserve">Representativeness:</w:t>
      </w:r>
      <w:r>
        <w:t xml:space="preserve"> </w:t>
      </w:r>
      <w:r>
        <w:t xml:space="preserve">This is the most contested representativeness question in the whole source set, carried forward directly from Doc_01’s Strand Determination (Section 6): does Ignatius describe an already-secured monepiscopal reality in Antioch/Asia Minor, or is he the most aggressive advocate for a position not yet won even among his own addressees (Trevett, Maier, Brent)? Doc_01 already treats this as unresolved and provisional; this document does not re-litigate it, only carries the caveat forward.</w:t>
      </w:r>
    </w:p>
    <w:p>
      <w:pPr>
        <w:numPr>
          <w:ilvl w:val="0"/>
          <w:numId w:val="1003"/>
        </w:numPr>
        <w:pStyle w:val="Compact"/>
      </w:pPr>
      <w:r>
        <w:rPr>
          <w:b/>
        </w:rPr>
        <w:t xml:space="preserve">Influence:</w:t>
      </w:r>
      <w:r>
        <w:t xml:space="preserve"> </w:t>
      </w:r>
      <w:r>
        <w:t xml:space="preserve">Enormous on later church history (earliest sustained argument for monepiscopacy) but, per the representativeness caveat above, his own influence</w:t>
      </w:r>
      <w:r>
        <w:t xml:space="preserve"> </w:t>
      </w:r>
      <w:r>
        <w:rPr>
          <w:i/>
        </w:rPr>
        <w:t xml:space="preserve">within his own lifetime</w:t>
      </w:r>
      <w:r>
        <w:t xml:space="preserve"> </w:t>
      </w:r>
      <w:r>
        <w:t xml:space="preserve">on the communities he wrote to is less certain than his later canonical status implies.</w:t>
      </w:r>
    </w:p>
    <w:p>
      <w:pPr>
        <w:numPr>
          <w:ilvl w:val="0"/>
          <w:numId w:val="1003"/>
        </w:numPr>
        <w:pStyle w:val="Compact"/>
      </w:pPr>
      <w:r>
        <w:rPr>
          <w:b/>
        </w:rPr>
        <w:t xml:space="preserve">Limitations:</w:t>
      </w:r>
      <w:r>
        <w:t xml:space="preserve"> </w:t>
      </w:r>
      <w:r>
        <w:t xml:space="preserve">Authenticity/dating three-way split (see Section 10) directly limits how much historical weight any single claim drawn from these letters can bear.</w:t>
      </w:r>
    </w:p>
    <w:p>
      <w:pPr>
        <w:numPr>
          <w:ilvl w:val="0"/>
          <w:numId w:val="1003"/>
        </w:numPr>
        <w:pStyle w:val="Compact"/>
      </w:pPr>
      <w:r>
        <w:rPr>
          <w:b/>
        </w:rPr>
        <w:t xml:space="preserve">Transmission History:</w:t>
      </w:r>
      <w:r>
        <w:t xml:space="preserve"> </w:t>
      </w:r>
      <w:r>
        <w:t xml:space="preserve">Three recensions exist — long (4th-century expansion, 6 spurious additional letters, the only version known in the West before the 1640s), middle (7 letters, now consensus-authentic), and short (3-letter Syriac abridgment). The middle recension’s authentication is a genuine, documented critical-scholarship narrative: James Ussher, using two rediscovered Latin manuscripts (Caiensis, Cambridge Gonville &amp; Caius 395, and the now-lost Montacutianus), published his edition in 1644/1645; Isaac Vossius confirmed this with the Greek Codex Mediceo-Laurentianus (11th century, Florence) in 1646; Jean Daillé attacked even the middle recension as spurious in 1666; John Pearson refuted him in 1672, settling the question for two centuries; William Cureton’s 1843–45 discovery of Nitrian Syriac manuscripts reopened the debate by championing the shorter 3-letter Syriac text as most original, decisively refuted by Theodor Zahn (1873) and J.B. Lightfoot (1885/1889), whose</w:t>
      </w:r>
      <w:r>
        <w:t xml:space="preserve"> </w:t>
      </w:r>
      <w:r>
        <w:rPr>
          <w:i/>
        </w:rPr>
        <w:t xml:space="preserve">Apostolic Fathers, Part II</w:t>
      </w:r>
      <w:r>
        <w:t xml:space="preserve"> </w:t>
      </w:r>
      <w:r>
        <w:t xml:space="preserve">cemented the current consensus (Lightfoot himself started as a Curetonian sympathizer before reversing).</w:t>
      </w:r>
      <w:r>
        <w:t xml:space="preserve"> </w:t>
      </w:r>
      <w:r>
        <w:rPr>
          <w:b/>
        </w:rPr>
        <w:t xml:space="preserve">This is worth naming explicitly: the</w:t>
      </w:r>
      <w:r>
        <w:rPr>
          <w:b/>
        </w:rPr>
        <w:t xml:space="preserve"> </w:t>
      </w:r>
      <w:r>
        <w:rPr>
          <w:b/>
        </w:rPr>
        <w:t xml:space="preserve">“</w:t>
      </w:r>
      <w:r>
        <w:rPr>
          <w:b/>
        </w:rPr>
        <w:t xml:space="preserve">settled</w:t>
      </w:r>
      <w:r>
        <w:rPr>
          <w:b/>
        </w:rPr>
        <w:t xml:space="preserve">”</w:t>
      </w:r>
      <w:r>
        <w:rPr>
          <w:b/>
        </w:rPr>
        <w:t xml:space="preserve"> </w:t>
      </w:r>
      <w:r>
        <w:rPr>
          <w:b/>
        </w:rPr>
        <w:t xml:space="preserve">status of the middle recension is itself the product of a two-century critical dispute, not an unbroken assumption.</w:t>
      </w:r>
      <w:r>
        <w:t xml:space="preserve"> </w:t>
      </w:r>
      <w:r>
        <w:rPr>
          <w:i/>
        </w:rPr>
        <w:t xml:space="preserve">[Confidence on the recension/manuscript history: Documented. Confidence on dating/provenance of the letters themselves: Contested — see Section 10.]</w:t>
      </w:r>
    </w:p>
    <w:p>
      <w:pPr>
        <w:pStyle w:val="Heading3"/>
      </w:pPr>
      <w:bookmarkStart w:id="25" w:name="Xe3a935010736e70e97c5d6d157605d9d17e10ba"/>
      <w:r>
        <w:t xml:space="preserve">1.4 Polycarp of Smyrna’s Letter to the Philippians</w:t>
      </w:r>
      <w:bookmarkEnd w:id="25"/>
    </w:p>
    <w:p>
      <w:pPr>
        <w:numPr>
          <w:ilvl w:val="0"/>
          <w:numId w:val="1004"/>
        </w:numPr>
        <w:pStyle w:val="Compact"/>
      </w:pPr>
      <w:r>
        <w:rPr>
          <w:b/>
        </w:rPr>
        <w:t xml:space="preserve">Visibility:</w:t>
      </w:r>
      <w:r>
        <w:t xml:space="preserve"> </w:t>
      </w:r>
      <w:r>
        <w:t xml:space="preserve">Continuous but textually incomplete (see Transmission below).</w:t>
      </w:r>
    </w:p>
    <w:p>
      <w:pPr>
        <w:numPr>
          <w:ilvl w:val="0"/>
          <w:numId w:val="1004"/>
        </w:numPr>
        <w:pStyle w:val="Compact"/>
      </w:pPr>
      <w:r>
        <w:rPr>
          <w:b/>
        </w:rPr>
        <w:t xml:space="preserve">Representativeness:</w:t>
      </w:r>
      <w:r>
        <w:t xml:space="preserve"> </w:t>
      </w:r>
      <w:r>
        <w:t xml:space="preserve">Important cross-check on Strand A (Doc_01, Section 6) — Polycarp identifies himself only with</w:t>
      </w:r>
      <w:r>
        <w:t xml:space="preserve"> </w:t>
      </w:r>
      <w:r>
        <w:t xml:space="preserve">“</w:t>
      </w:r>
      <w:r>
        <w:t xml:space="preserve">the presbyters,</w:t>
      </w:r>
      <w:r>
        <w:t xml:space="preserve">”</w:t>
      </w:r>
      <w:r>
        <w:t xml:space="preserve"> </w:t>
      </w:r>
      <w:r>
        <w:t xml:space="preserve">not a bishop’s title, in his own letter, despite Ignatius separately addressing him as Smyrna’s bishop.</w:t>
      </w:r>
    </w:p>
    <w:p>
      <w:pPr>
        <w:numPr>
          <w:ilvl w:val="0"/>
          <w:numId w:val="1004"/>
        </w:numPr>
        <w:pStyle w:val="Compact"/>
      </w:pPr>
      <w:r>
        <w:rPr>
          <w:b/>
        </w:rPr>
        <w:t xml:space="preserve">Influence:</w:t>
      </w:r>
      <w:r>
        <w:t xml:space="preserve"> </w:t>
      </w:r>
      <w:r>
        <w:t xml:space="preserve">Moderate in its own era (forwarded alongside Ignatius’s letters at the Philippians’ own request, per its own ch. 13); retrospectively significant as cross-generational evidence linking the Ignatian and later-2nd-century church (Irenaeus knew Polycarp personally).</w:t>
      </w:r>
    </w:p>
    <w:p>
      <w:pPr>
        <w:numPr>
          <w:ilvl w:val="0"/>
          <w:numId w:val="1004"/>
        </w:numPr>
        <w:pStyle w:val="Compact"/>
      </w:pPr>
      <w:r>
        <w:rPr>
          <w:b/>
        </w:rPr>
        <w:t xml:space="preserve">Limitations:</w:t>
      </w:r>
      <w:r>
        <w:t xml:space="preserve"> </w:t>
      </w:r>
      <w:r>
        <w:t xml:space="preserve">The unity-vs-two-letter-splice debate (Harrison 1936 vs. Hartog/Holmes’s unity argument, with Berding’s middle position) affects how confidently any single passage can be dated within Polycarp’s own lifetime.</w:t>
      </w:r>
    </w:p>
    <w:p>
      <w:pPr>
        <w:numPr>
          <w:ilvl w:val="0"/>
          <w:numId w:val="1004"/>
        </w:numPr>
        <w:pStyle w:val="Compact"/>
      </w:pPr>
      <w:r>
        <w:rPr>
          <w:b/>
        </w:rPr>
        <w:t xml:space="preserve">Transmission History:</w:t>
      </w:r>
      <w:r>
        <w:t xml:space="preserve"> </w:t>
      </w:r>
      <w:r>
        <w:t xml:space="preserve">All Greek manuscripts (fifteen – six in family alpha, nine in family beta, counted directly from the University of Helsinki’s HULCE critical edition manuscripts list, Myllykoski, 2022-24, corrected this revision from an earlier hedged</w:t>
      </w:r>
      <w:r>
        <w:t xml:space="preserve"> </w:t>
      </w:r>
      <w:r>
        <w:t xml:space="preserve">“</w:t>
      </w:r>
      <w:r>
        <w:t xml:space="preserve">12-15</w:t>
      </w:r>
      <w:r>
        <w:t xml:space="preserve">”</w:t>
      </w:r>
      <w:r>
        <w:t xml:space="preserve"> </w:t>
      </w:r>
      <w:r>
        <w:t xml:space="preserve">estimate –</w:t>
      </w:r>
      <w:r>
        <w:t xml:space="preserve"> </w:t>
      </w:r>
      <w:r>
        <w:rPr>
          <w:b/>
        </w:rPr>
        <w:t xml:space="preserve">qualified per round-5 review</w:t>
      </w:r>
      <w:r>
        <w:t xml:space="preserve">: this is a full physical-witness count including several manuscripts that are direct copies of other witnesses already on the list (the HULCE stemma itself shows o&lt;v, f&lt;o, p&lt;f, e&lt;f); Paul Hartog’s 2013 Oxford critical edition, using a stemmatically-filtered count of independently significant witnesses rather than all physical copies, reports</w:t>
      </w:r>
      <w:r>
        <w:t xml:space="preserve"> </w:t>
      </w:r>
      <w:r>
        <w:t xml:space="preserve">“</w:t>
      </w:r>
      <w:r>
        <w:t xml:space="preserve">eight</w:t>
      </w:r>
      <w:r>
        <w:t xml:space="preserve">”</w:t>
      </w:r>
      <w:r>
        <w:t xml:space="preserve"> </w:t>
      </w:r>
      <w:r>
        <w:t xml:space="preserve">Greek manuscripts – both figures are correct under their own respective counting conventions, and this document uses the fuller HULCE count while flagging the convention difference so a reader cross-checking Hartog’s edition does not encounter an unexplained apparent contradiction) derive from one and the same Renaissance-era archetype and break off at 9.2, mid-sentence, fused directly to Barnabas 5.7 due to a lost quire. Chapters roughly 10–14 survive only via a Latin translation (oldest copy 9th century). Eusebius quotes chapters 9 and 13 in Greek (</w:t>
      </w:r>
      <w:r>
        <w:rPr>
          <w:i/>
        </w:rPr>
        <w:t xml:space="preserve">Historia Ecclesiastica</w:t>
      </w:r>
      <w:r>
        <w:t xml:space="preserve"> </w:t>
      </w:r>
      <w:r>
        <w:t xml:space="preserve">III.36.13–15) — since ch. 9 falls within the Greek-manuscript-attested zone, this cross-checks manuscript fidelity there, but ch. 13 falls inside the lacuna, making Eusebius the sole check on the Latin translator’s accuracy for that section.</w:t>
      </w:r>
      <w:r>
        <w:t xml:space="preserve"> </w:t>
      </w:r>
      <w:r>
        <w:rPr>
          <w:b/>
        </w:rPr>
        <w:t xml:space="preserve">Risk calibration:</w:t>
      </w:r>
      <w:r>
        <w:t xml:space="preserve"> </w:t>
      </w:r>
      <w:r>
        <w:t xml:space="preserve">roughly a third of the letter (chs. 10–14) has no independent Greek check beyond a single ancient translation and one patristic quotation.</w:t>
      </w:r>
      <w:r>
        <w:t xml:space="preserve"> </w:t>
      </w:r>
      <w:r>
        <w:rPr>
          <w:i/>
        </w:rPr>
        <w:t xml:space="preserve">[Confidence on manuscript facts: Documented. Confidence on unity/dating: Contested.]</w:t>
      </w:r>
    </w:p>
    <w:p>
      <w:pPr>
        <w:pStyle w:val="Heading3"/>
      </w:pPr>
      <w:bookmarkStart w:id="26" w:name="the-shepherd-of-hermas-hermas-rome"/>
      <w:r>
        <w:t xml:space="preserve">1.5 The Shepherd of Hermas (Hermas, Rome)</w:t>
      </w:r>
      <w:bookmarkEnd w:id="26"/>
    </w:p>
    <w:p>
      <w:pPr>
        <w:numPr>
          <w:ilvl w:val="0"/>
          <w:numId w:val="1005"/>
        </w:numPr>
        <w:pStyle w:val="Compact"/>
      </w:pPr>
      <w:r>
        <w:rPr>
          <w:b/>
        </w:rPr>
        <w:t xml:space="preserve">Visibility:</w:t>
      </w:r>
      <w:r>
        <w:t xml:space="preserve"> </w:t>
      </w:r>
      <w:r>
        <w:t xml:space="preserve">High in antiquity — cited as scripture by Irenaeus, Clement of Alexandria, and Origen; included in Codex Sinaiticus; only later excluded by Athanasius. Its canonical status was genuinely fluid, not settled from the start.</w:t>
      </w:r>
    </w:p>
    <w:p>
      <w:pPr>
        <w:numPr>
          <w:ilvl w:val="0"/>
          <w:numId w:val="1005"/>
        </w:numPr>
        <w:pStyle w:val="Compact"/>
      </w:pPr>
      <w:r>
        <w:rPr>
          <w:b/>
        </w:rPr>
        <w:t xml:space="preserve">Representativeness:</w:t>
      </w:r>
      <w:r>
        <w:t xml:space="preserve"> </w:t>
      </w:r>
      <w:r>
        <w:t xml:space="preserve">Strong for Rome specifically, reinforcing 1 Clement’s plural-presbyter picture (</w:t>
      </w:r>
      <w:r>
        <w:rPr>
          <w:i/>
        </w:rPr>
        <w:t xml:space="preserve">Vision</w:t>
      </w:r>
      <w:r>
        <w:t xml:space="preserve"> </w:t>
      </w:r>
      <w:r>
        <w:t xml:space="preserve">2.4.3 explicitly addresses plural</w:t>
      </w:r>
      <w:r>
        <w:t xml:space="preserve"> </w:t>
      </w:r>
      <w:r>
        <w:t xml:space="preserve">“</w:t>
      </w:r>
      <w:r>
        <w:t xml:space="preserve">presbyters who preside over the Church</w:t>
      </w:r>
      <w:r>
        <w:t xml:space="preserve">”</w:t>
      </w:r>
      <w:r>
        <w:t xml:space="preserve">).</w:t>
      </w:r>
    </w:p>
    <w:p>
      <w:pPr>
        <w:numPr>
          <w:ilvl w:val="0"/>
          <w:numId w:val="1005"/>
        </w:numPr>
        <w:pStyle w:val="Compact"/>
      </w:pPr>
      <w:r>
        <w:rPr>
          <w:b/>
        </w:rPr>
        <w:t xml:space="preserve">Influence:</w:t>
      </w:r>
      <w:r>
        <w:t xml:space="preserve"> </w:t>
      </w:r>
      <w:r>
        <w:t xml:space="preserve">Substantial in its own era given its near-canonical status for over a century; a valuable window into ordinary Roman penitential and ethical concerns rather than doctrinal argument.</w:t>
      </w:r>
    </w:p>
    <w:p>
      <w:pPr>
        <w:numPr>
          <w:ilvl w:val="0"/>
          <w:numId w:val="1005"/>
        </w:numPr>
        <w:pStyle w:val="Compact"/>
      </w:pPr>
      <w:r>
        <w:rPr>
          <w:b/>
        </w:rPr>
        <w:t xml:space="preserve">Limitations:</w:t>
      </w:r>
      <w:r>
        <w:t xml:space="preserve"> </w:t>
      </w:r>
      <w:r>
        <w:t xml:space="preserve">Composite, multi-stage composition likely spanning decades; no single date can be assigned to the whole work.</w:t>
      </w:r>
    </w:p>
    <w:p>
      <w:pPr>
        <w:numPr>
          <w:ilvl w:val="0"/>
          <w:numId w:val="1005"/>
        </w:numPr>
        <w:pStyle w:val="Compact"/>
      </w:pPr>
      <w:r>
        <w:rPr>
          <w:b/>
        </w:rPr>
        <w:t xml:space="preserve">Transmission History:</w:t>
      </w:r>
      <w:r>
        <w:t xml:space="preserve"> </w:t>
      </w:r>
      <w:r>
        <w:t xml:space="preserve">No Greek manuscript preserves the whole text — this is an explicitly eclectic, patchwork reconstruction, arguably the thinnest base of the six primary voices alongside the Didache. Codex Sinaiticus (4th century) preserves only Vision 1.1 through Mandate 4.3.6; Codex Athous (Mount Athos, 14th–15th century per Holmes, though Kirsopp Lake’s earlier 8th–9th century proposal is now a superseded minority view) is the fullest Greek copy, running to Similitude 9.30.3 before also breaking off — losing the end of Similitude 9 and all of Similitude 10. Its own transmission has a documented complication: the forger Constantine Simonides stole three leaves from Athos and made a transcript in 1855, later sold to and published by Leipzig scholars in 1856 — a separate episode from Simonides’s later, rejected claim to have written Codex Sinaiticus itself. A 3rd-century Michigan papyrus (P.Mich. 129) covers Similitudes 2–9; Bodmer Papyrus 38 (Greek) covers Visions 1–3. Two distinct ancient Latin versions exist (the complete</w:t>
      </w:r>
      <w:r>
        <w:t xml:space="preserve"> </w:t>
      </w:r>
      <w:r>
        <w:t xml:space="preserve">“</w:t>
      </w:r>
      <w:r>
        <w:t xml:space="preserve">Vulgata</w:t>
      </w:r>
      <w:r>
        <w:t xml:space="preserve">”</w:t>
      </w:r>
      <w:r>
        <w:t xml:space="preserve"> </w:t>
      </w:r>
      <w:r>
        <w:t xml:space="preserve">and the partial</w:t>
      </w:r>
      <w:r>
        <w:t xml:space="preserve"> </w:t>
      </w:r>
      <w:r>
        <w:t xml:space="preserve">“</w:t>
      </w:r>
      <w:r>
        <w:t xml:space="preserve">Palatina</w:t>
      </w:r>
      <w:r>
        <w:t xml:space="preserve">”</w:t>
      </w:r>
      <w:r>
        <w:t xml:space="preserve">); Sahidic and Akhmimic Coptic fragments survive; the Ethiopic version’s completeness is itself disputed among specialists.</w:t>
      </w:r>
      <w:r>
        <w:t xml:space="preserve"> </w:t>
      </w:r>
      <w:r>
        <w:rPr>
          <w:b/>
        </w:rPr>
        <w:t xml:space="preserve">The ending of Similitudes 9–10 rests on Latin alone, with no Greek check at all.</w:t>
      </w:r>
      <w:r>
        <w:t xml:space="preserve"> </w:t>
      </w:r>
      <w:r>
        <w:rPr>
          <w:i/>
        </w:rPr>
        <w:t xml:space="preserve">[Confidence on manuscript facts: Documented, with the Simonides episode itself a documented forgery-adjacent complication worth flagging for any reviewer checking Athos-derived readings. Confidence on composition dating: Contested.]</w:t>
      </w:r>
    </w:p>
    <w:p>
      <w:pPr>
        <w:pStyle w:val="Heading3"/>
      </w:pPr>
      <w:bookmarkStart w:id="27" w:name="justin-martyr"/>
      <w:r>
        <w:t xml:space="preserve">1.6 Justin Martyr</w:t>
      </w:r>
      <w:bookmarkEnd w:id="27"/>
    </w:p>
    <w:p>
      <w:pPr>
        <w:numPr>
          <w:ilvl w:val="0"/>
          <w:numId w:val="1006"/>
        </w:numPr>
        <w:pStyle w:val="Compact"/>
      </w:pPr>
      <w:r>
        <w:rPr>
          <w:b/>
        </w:rPr>
        <w:t xml:space="preserve">Visibility:</w:t>
      </w:r>
      <w:r>
        <w:t xml:space="preserve"> </w:t>
      </w:r>
      <w:r>
        <w:t xml:space="preserve">High, continuous, well-attested — the best-anchored dating in this entire source set (First Apology c. 153–157 CE, per Minns and Parvis’s Oxford edition, 2009; Dialogue with Trypho before his death c. 165 CE).</w:t>
      </w:r>
    </w:p>
    <w:p>
      <w:pPr>
        <w:numPr>
          <w:ilvl w:val="0"/>
          <w:numId w:val="1006"/>
        </w:numPr>
        <w:pStyle w:val="Compact"/>
      </w:pPr>
      <w:r>
        <w:rPr>
          <w:b/>
        </w:rPr>
        <w:t xml:space="preserve">Representativeness:</w:t>
      </w:r>
      <w:r>
        <w:t xml:space="preserve"> </w:t>
      </w:r>
      <w:r>
        <w:t xml:space="preserve">His First Apology 65–67 is the fullest early description of Sunday worship (readings, homily, common prayer, kiss of peace, eucharist, distribution to the absent by deacons, collection for the needy) — but current scholarship (Paul Bradshaw’s diversity thesis) treats this as one Roman data point, not a network-wide template; more traditional surveys (Ferguson) use it as if it were a common-core description. This document follows Bradshaw’s caution: Justin’s own description should not be silently generalized to Antioch or Asia Minor.</w:t>
      </w:r>
    </w:p>
    <w:p>
      <w:pPr>
        <w:numPr>
          <w:ilvl w:val="0"/>
          <w:numId w:val="1006"/>
        </w:numPr>
        <w:pStyle w:val="Compact"/>
      </w:pPr>
      <w:r>
        <w:rPr>
          <w:b/>
        </w:rPr>
        <w:t xml:space="preserve">Influence:</w:t>
      </w:r>
      <w:r>
        <w:t xml:space="preserve"> </w:t>
      </w:r>
      <w:r>
        <w:t xml:space="preserve">Substantial — the earliest sustained Christian philosophical apologetic, and (per Doc_01 Section 2.2) itself one marker of this world’s own closing transition into a new theological-institutional mode.</w:t>
      </w:r>
    </w:p>
    <w:p>
      <w:pPr>
        <w:numPr>
          <w:ilvl w:val="0"/>
          <w:numId w:val="1006"/>
        </w:numPr>
        <w:pStyle w:val="Compact"/>
      </w:pPr>
      <w:r>
        <w:rPr>
          <w:b/>
        </w:rPr>
        <w:t xml:space="preserve">Limitations:</w:t>
      </w:r>
      <w:r>
        <w:t xml:space="preserve"> </w:t>
      </w:r>
      <w:r>
        <w:t xml:space="preserve">Writing for an outside (imperial) audience, in a genre (apologetic) designed to present Christian practice as maximally respectable to Roman sensibilities — his description of worship may be shaped by that persuasive purpose, not a neutral ethnographic account.</w:t>
      </w:r>
    </w:p>
    <w:p>
      <w:pPr>
        <w:numPr>
          <w:ilvl w:val="0"/>
          <w:numId w:val="1006"/>
        </w:numPr>
        <w:pStyle w:val="Compact"/>
      </w:pPr>
      <w:r>
        <w:rPr>
          <w:b/>
        </w:rPr>
        <w:t xml:space="preserve">Transmission History:</w:t>
      </w:r>
      <w:r>
        <w:t xml:space="preserve"> </w:t>
      </w:r>
      <w:r>
        <w:t xml:space="preserve">Textually thinner than his high visibility might suggest — the corpus rests essentially on a single 1364 CE manuscript (Parisinus graecus 450) for most of the First and Second Apologies, partially cross-checked against a 4th-century papyrus scrap.</w:t>
      </w:r>
      <w:r>
        <w:t xml:space="preserve"> </w:t>
      </w:r>
      <w:r>
        <w:rPr>
          <w:i/>
        </w:rPr>
        <w:t xml:space="preserve">[Confidence on dating: Widely Accepted, the strongest anchor in this set. Confidence on representativeness of the liturgical description: Contested.]</w:t>
      </w:r>
    </w:p>
    <w:p>
      <w:r>
        <w:pict>
          <v:rect style="width:0;height:1.5pt" o:hralign="center" o:hrstd="t" o:hr="t"/>
        </w:pict>
      </w:r>
    </w:p>
    <w:p>
      <w:pPr>
        <w:pStyle w:val="Heading2"/>
      </w:pPr>
      <w:bookmarkStart w:id="28" w:name="Xe8c1daee70a22d0654e80dd5e089c4a3c13a33b"/>
      <w:r>
        <w:t xml:space="preserve">2. Secondary Voices — Secondary Scholarship Assessment</w:t>
      </w:r>
      <w:bookmarkEnd w:id="28"/>
    </w:p>
    <w:p>
      <w:pPr>
        <w:pStyle w:val="FirstParagraph"/>
      </w:pPr>
      <w:r>
        <w:t xml:space="preserve">Organized by sub-topic, with each scholar’s actual center of expertise verified rather than assumed from name-recognition alone, per the</w:t>
      </w:r>
      <w:r>
        <w:t xml:space="preserve"> </w:t>
      </w:r>
      <w:r>
        <w:rPr>
          <w:rStyle w:val="VerbatimChar"/>
        </w:rPr>
        <w:t xml:space="preserve">cic-source-registry</w:t>
      </w:r>
      <w:r>
        <w:t xml:space="preserve"> </w:t>
      </w:r>
      <w:r>
        <w:t xml:space="preserve">skill’s explicit discipline.</w:t>
      </w:r>
    </w:p>
    <w:p>
      <w:pPr>
        <w:pStyle w:val="BodyText"/>
      </w:pPr>
      <w:r>
        <w:rPr>
          <w:b/>
        </w:rPr>
        <w:t xml:space="preserve">General/synthetic treatments:</w:t>
      </w:r>
      <w:r>
        <w:t xml:space="preserve"> </w:t>
      </w:r>
      <w:r>
        <w:t xml:space="preserve">Raymond E. Brown,</w:t>
      </w:r>
      <w:r>
        <w:t xml:space="preserve"> </w:t>
      </w:r>
      <w:r>
        <w:rPr>
          <w:i/>
        </w:rPr>
        <w:t xml:space="preserve">The Churches the Apostles Left Behind</w:t>
      </w:r>
      <w:r>
        <w:t xml:space="preserve"> </w:t>
      </w:r>
      <w:r>
        <w:t xml:space="preserve">(1984) — Brown was primarily a Johannine specialist; this book extends his Johannine-community method outward, touching Ignatius/Clement territory at the margins rather than as his own core focus. Bart D. Ehrman’s Loeb</w:t>
      </w:r>
      <w:r>
        <w:t xml:space="preserve"> </w:t>
      </w:r>
      <w:r>
        <w:rPr>
          <w:i/>
        </w:rPr>
        <w:t xml:space="preserve">Apostolic Fathers</w:t>
      </w:r>
      <w:r>
        <w:t xml:space="preserve"> </w:t>
      </w:r>
      <w:r>
        <w:t xml:space="preserve">(2003) is a direct, core-relevant critical edition; his</w:t>
      </w:r>
      <w:r>
        <w:t xml:space="preserve"> </w:t>
      </w:r>
      <w:r>
        <w:rPr>
          <w:i/>
        </w:rPr>
        <w:t xml:space="preserve">Lost Christianities</w:t>
      </w:r>
      <w:r>
        <w:t xml:space="preserve"> </w:t>
      </w:r>
      <w:r>
        <w:t xml:space="preserve">(2003) is adjacent but oriented toward later 2nd–4th century heterodoxy. Michael W. Holmes’s</w:t>
      </w:r>
      <w:r>
        <w:t xml:space="preserve"> </w:t>
      </w:r>
      <w:r>
        <w:rPr>
          <w:i/>
        </w:rPr>
        <w:t xml:space="preserve">Apostolic Fathers</w:t>
      </w:r>
      <w:r>
        <w:t xml:space="preserve"> </w:t>
      </w:r>
      <w:r>
        <w:t xml:space="preserve">(3rd ed. 2007) is the standard one-volume critical text/translation and a genuine, narrow specialization. Larry Hurtado’s</w:t>
      </w:r>
      <w:r>
        <w:t xml:space="preserve"> </w:t>
      </w:r>
      <w:r>
        <w:rPr>
          <w:i/>
        </w:rPr>
        <w:t xml:space="preserve">Lord Jesus Christ</w:t>
      </w:r>
      <w:r>
        <w:t xml:space="preserve"> </w:t>
      </w:r>
      <w:r>
        <w:t xml:space="preserve">(2003) and</w:t>
      </w:r>
      <w:r>
        <w:t xml:space="preserve"> </w:t>
      </w:r>
      <w:r>
        <w:rPr>
          <w:i/>
        </w:rPr>
        <w:t xml:space="preserve">At the Origins of Christian Worship</w:t>
      </w:r>
      <w:r>
        <w:t xml:space="preserve"> </w:t>
      </w:r>
      <w:r>
        <w:t xml:space="preserve">(1999) explicitly cover this window (c. 30–170 CE) and remain standard, actively-debated references.</w:t>
      </w:r>
    </w:p>
    <w:p>
      <w:pPr>
        <w:pStyle w:val="BodyText"/>
      </w:pPr>
      <w:r>
        <w:rPr>
          <w:b/>
        </w:rPr>
        <w:t xml:space="preserve">Roman Christianity:</w:t>
      </w:r>
      <w:r>
        <w:t xml:space="preserve"> </w:t>
      </w:r>
      <w:r>
        <w:t xml:space="preserve">Peter Lampe,</w:t>
      </w:r>
      <w:r>
        <w:t xml:space="preserve"> </w:t>
      </w:r>
      <w:r>
        <w:rPr>
          <w:i/>
        </w:rPr>
        <w:t xml:space="preserve">From Paul to Valentinus</w:t>
      </w:r>
      <w:r>
        <w:t xml:space="preserve"> </w:t>
      </w:r>
      <w:r>
        <w:t xml:space="preserve">(Eng. trans. 2003) — unchallenged as the reference monograph on Roman house-church topography; no rival synthesis has emerged.</w:t>
      </w:r>
    </w:p>
    <w:p>
      <w:pPr>
        <w:pStyle w:val="BodyText"/>
      </w:pPr>
      <w:r>
        <w:rPr>
          <w:b/>
        </w:rPr>
        <w:t xml:space="preserve">Ignatius/Antioch/Asia Minor:</w:t>
      </w:r>
      <w:r>
        <w:t xml:space="preserve"> </w:t>
      </w:r>
      <w:r>
        <w:t xml:space="preserve">Allen Brent (genuine specialist, Second Sophistic reading), Christine Trevett (genuine Ignatius/Montanism specialist), Harry Maier (genuine, patronage/household sociology reading), Paul Foster (genuine, sustained Apostolic Fathers/Ignatius strand).</w:t>
      </w:r>
      <w:r>
        <w:t xml:space="preserve"> </w:t>
      </w:r>
      <w:r>
        <w:rPr>
          <w:b/>
        </w:rPr>
        <w:t xml:space="preserve">Flag:</w:t>
      </w:r>
      <w:r>
        <w:t xml:space="preserve"> </w:t>
      </w:r>
      <w:r>
        <w:t xml:space="preserve">Timothy D. Barnes is not primarily an Ignatius scholar — his career and reputation rest overwhelmingly on 4th-century material (</w:t>
      </w:r>
      <w:r>
        <w:rPr>
          <w:i/>
        </w:rPr>
        <w:t xml:space="preserve">Constantine and Eusebius</w:t>
      </w:r>
      <w:r>
        <w:t xml:space="preserve">,</w:t>
      </w:r>
      <w:r>
        <w:t xml:space="preserve"> </w:t>
      </w:r>
      <w:r>
        <w:rPr>
          <w:i/>
        </w:rPr>
        <w:t xml:space="preserve">Athanasius and Constantius</w:t>
      </w:r>
      <w:r>
        <w:t xml:space="preserve">); his Ignatius contribution is a single 2008 article. Cite him as a supporting voice for the redating position, not as an Ignatius specialist in his own right. Reinhard Hübner and Thomas Lechner are confirmed as the core</w:t>
      </w:r>
      <w:r>
        <w:t xml:space="preserve"> </w:t>
      </w:r>
      <w:r>
        <w:t xml:space="preserve">“</w:t>
      </w:r>
      <w:r>
        <w:t xml:space="preserve">Munich school</w:t>
      </w:r>
      <w:r>
        <w:t xml:space="preserve">”</w:t>
      </w:r>
      <w:r>
        <w:t xml:space="preserve"> </w:t>
      </w:r>
      <w:r>
        <w:t xml:space="preserve">pseudepigraphy/redating camp.</w:t>
      </w:r>
    </w:p>
    <w:p>
      <w:pPr>
        <w:pStyle w:val="BodyText"/>
      </w:pPr>
      <w:r>
        <w:rPr>
          <w:b/>
        </w:rPr>
        <w:t xml:space="preserve">Household/social structure:</w:t>
      </w:r>
      <w:r>
        <w:t xml:space="preserve"> </w:t>
      </w:r>
      <w:r>
        <w:t xml:space="preserve">Wayne Meeks’s</w:t>
      </w:r>
      <w:r>
        <w:t xml:space="preserve"> </w:t>
      </w:r>
      <w:r>
        <w:rPr>
          <w:i/>
        </w:rPr>
        <w:t xml:space="preserve">The First Urban Christians</w:t>
      </w:r>
      <w:r>
        <w:t xml:space="preserve"> </w:t>
      </w:r>
      <w:r>
        <w:t xml:space="preserve">is foundational methodologically, but his own direct textual coverage is strictly Pauline/1st-century — later scholars explicitly extended his method into the 2nd century, rather than Meeks himself having done so. Roger Gehring is a genuine oikos-structure specialist. Carolyn Osiek is the strongest match in this group — her Hermeneia commentary on the Shepherd of Hermas (1999) is the only full-length English commentary on that text. David Balch is a genuine household-codes specialist. Margaret MacDonald’s expertise spans Pauline through deutero-Pauline material, less centered specifically on this world’s own core texts.</w:t>
      </w:r>
    </w:p>
    <w:p>
      <w:pPr>
        <w:pStyle w:val="BodyText"/>
      </w:pPr>
      <w:r>
        <w:rPr>
          <w:b/>
        </w:rPr>
        <w:t xml:space="preserve">Didache scholarship:</w:t>
      </w:r>
      <w:r>
        <w:t xml:space="preserve"> </w:t>
      </w:r>
      <w:r>
        <w:t xml:space="preserve">Kurt Niederwimmer’s Hermeneia commentary (1998) remains a major standard reference (a fixed historical contribution, not live ongoing scholarship, since Niederwimmer died in 2015).</w:t>
      </w:r>
      <w:r>
        <w:t xml:space="preserve"> </w:t>
      </w:r>
      <w:r>
        <w:rPr>
          <w:b/>
        </w:rPr>
        <w:t xml:space="preserve">Flag:</w:t>
      </w:r>
      <w:r>
        <w:t xml:space="preserve"> </w:t>
      </w:r>
      <w:r>
        <w:t xml:space="preserve">Aaron Milavec’s 2003/2004 commentaries remain valid as scholarship, but his current professional identity has shifted to gender studies — citing him as an active Didache scholar today would be outdated. Clayton Jefford is the most consistently active current Didache/Apostolic Fathers specialist.</w:t>
      </w:r>
    </w:p>
    <w:p>
      <w:pPr>
        <w:pStyle w:val="BodyText"/>
      </w:pPr>
      <w:r>
        <w:rPr>
          <w:b/>
        </w:rPr>
        <w:t xml:space="preserve">Misattribution risks flagged for this world, per the skill’s explicit requirement to verify rather than assume:</w:t>
      </w:r>
      <w:r>
        <w:t xml:space="preserve"> </w:t>
      </w:r>
      <w:r>
        <w:t xml:space="preserve">-</w:t>
      </w:r>
      <w:r>
        <w:t xml:space="preserve"> </w:t>
      </w:r>
      <w:r>
        <w:rPr>
          <w:b/>
        </w:rPr>
        <w:t xml:space="preserve">G.W.H. Lampe (Cambridge, d. 1980) vs. Peter Lampe</w:t>
      </w:r>
      <w:r>
        <w:t xml:space="preserve"> </w:t>
      </w:r>
      <w:r>
        <w:t xml:space="preserve">— highest-priority flag. G.W.H. Lampe compiled</w:t>
      </w:r>
      <w:r>
        <w:t xml:space="preserve"> </w:t>
      </w:r>
      <w:r>
        <w:rPr>
          <w:i/>
        </w:rPr>
        <w:t xml:space="preserve">A Patristic Greek Lexicon</w:t>
      </w:r>
      <w:r>
        <w:t xml:space="preserve">, a philological reference spanning the 2nd–8th centuries — a different person, era, and genre from Peter Lampe’s historical-sociological monograph on Roman house churches. The near-identical surname creates a real citation-confusion risk that should be checked every time</w:t>
      </w:r>
      <w:r>
        <w:t xml:space="preserve"> </w:t>
      </w:r>
      <w:r>
        <w:t xml:space="preserve">“</w:t>
      </w:r>
      <w:r>
        <w:t xml:space="preserve">Lampe</w:t>
      </w:r>
      <w:r>
        <w:t xml:space="preserve">”</w:t>
      </w:r>
      <w:r>
        <w:t xml:space="preserve"> </w:t>
      </w:r>
      <w:r>
        <w:t xml:space="preserve">is cited in this world’s future documents.</w:t>
      </w:r>
      <w:r>
        <w:t xml:space="preserve"> </w:t>
      </w:r>
      <w:r>
        <w:t xml:space="preserve">-</w:t>
      </w:r>
      <w:r>
        <w:t xml:space="preserve"> </w:t>
      </w:r>
      <w:r>
        <w:rPr>
          <w:b/>
        </w:rPr>
        <w:t xml:space="preserve">Andrew Louth</w:t>
      </w:r>
      <w:r>
        <w:t xml:space="preserve"> </w:t>
      </w:r>
      <w:r>
        <w:t xml:space="preserve">— specializes in Byzantine/later patristic mystical theology (5th–8th century); genuinely different period, easily mis-dropped into a 2nd-century bibliography.</w:t>
      </w:r>
      <w:r>
        <w:t xml:space="preserve"> </w:t>
      </w:r>
      <w:r>
        <w:t xml:space="preserve">-</w:t>
      </w:r>
      <w:r>
        <w:t xml:space="preserve"> </w:t>
      </w:r>
      <w:r>
        <w:rPr>
          <w:b/>
        </w:rPr>
        <w:t xml:space="preserve">Frances Young</w:t>
      </w:r>
      <w:r>
        <w:t xml:space="preserve"> </w:t>
      </w:r>
      <w:r>
        <w:t xml:space="preserve">—</w:t>
      </w:r>
      <w:r>
        <w:t xml:space="preserve"> </w:t>
      </w:r>
      <w:r>
        <w:rPr>
          <w:i/>
        </w:rPr>
        <w:t xml:space="preserve">From Nicaea to Chalcedon</w:t>
      </w:r>
      <w:r>
        <w:t xml:space="preserve"> </w:t>
      </w:r>
      <w:r>
        <w:t xml:space="preserve">centers on 4th–5th century material despite</w:t>
      </w:r>
      <w:r>
        <w:t xml:space="preserve"> </w:t>
      </w:r>
      <w:r>
        <w:t xml:space="preserve">“</w:t>
      </w:r>
      <w:r>
        <w:t xml:space="preserve">early church</w:t>
      </w:r>
      <w:r>
        <w:t xml:space="preserve">”</w:t>
      </w:r>
      <w:r>
        <w:t xml:space="preserve"> </w:t>
      </w:r>
      <w:r>
        <w:t xml:space="preserve">branding.</w:t>
      </w:r>
      <w:r>
        <w:t xml:space="preserve"> </w:t>
      </w:r>
      <w:r>
        <w:t xml:space="preserve">-</w:t>
      </w:r>
      <w:r>
        <w:t xml:space="preserve"> </w:t>
      </w:r>
      <w:r>
        <w:rPr>
          <w:b/>
        </w:rPr>
        <w:t xml:space="preserve">J.N.D. Kelly</w:t>
      </w:r>
      <w:r>
        <w:t xml:space="preserve"> </w:t>
      </w:r>
      <w:r>
        <w:t xml:space="preserve">—</w:t>
      </w:r>
      <w:r>
        <w:t xml:space="preserve"> </w:t>
      </w:r>
      <w:r>
        <w:rPr>
          <w:i/>
        </w:rPr>
        <w:t xml:space="preserve">Early Christian Doctrines</w:t>
      </w:r>
      <w:r>
        <w:t xml:space="preserve"> </w:t>
      </w:r>
      <w:r>
        <w:t xml:space="preserve">nominally spans 1st–5th century, but its center of gravity is Nicene/post-Nicene doctrine; usable here only with pinpoint early-chapter citations, never as a general authority.</w:t>
      </w:r>
      <w:r>
        <w:t xml:space="preserve"> </w:t>
      </w:r>
      <w:r>
        <w:t xml:space="preserve">-</w:t>
      </w:r>
      <w:r>
        <w:t xml:space="preserve"> </w:t>
      </w:r>
      <w:r>
        <w:rPr>
          <w:b/>
        </w:rPr>
        <w:t xml:space="preserve">Henry Chadwick</w:t>
      </w:r>
      <w:r>
        <w:t xml:space="preserve"> </w:t>
      </w:r>
      <w:r>
        <w:t xml:space="preserve">— moderate risk; his Justin/Clement/Origen work is genuinely relevant, but his flagship monographs (Augustine, Priscillian, Boethius) are 4th–6th century.</w:t>
      </w:r>
    </w:p>
    <w:p>
      <w:r>
        <w:pict>
          <v:rect style="width:0;height:1.5pt" o:hralign="center" o:hrstd="t" o:hr="t"/>
        </w:pict>
      </w:r>
    </w:p>
    <w:p>
      <w:pPr>
        <w:pStyle w:val="Heading2"/>
      </w:pPr>
      <w:bookmarkStart w:id="29" w:name="institutional-evidence"/>
      <w:r>
        <w:t xml:space="preserve">3. Institutional Evidence</w:t>
      </w:r>
      <w:bookmarkEnd w:id="29"/>
    </w:p>
    <w:p>
      <w:pPr>
        <w:pStyle w:val="FirstParagraph"/>
      </w:pPr>
      <w:r>
        <w:t xml:space="preserve">What exists: 1 Clement’s extended Levitical-priestly analogy for church order (chs. 40–44); Ignatius’s explicit threefold-office program (bishop, presbyters, deacons) urged onto multiple Asia Minor churches; the Didache’s own instructions for transitioning from itinerant apostles/prophets/teachers toward locally-appointed bishops and deacons (Did. 15:1) — read by scholars as evidence of an office structure still actively forming, not yet standardized.</w:t>
      </w:r>
      <w:r>
        <w:t xml:space="preserve"> </w:t>
      </w:r>
      <w:r>
        <w:rPr>
          <w:i/>
        </w:rPr>
        <w:t xml:space="preserve">[Documented that these texts contain this content; Widely Accepted that Did. 15:1 marks a transitional moment away from itinerant ministry, per the scholarly consensus Doc_02’s own secondary-voice assessment (Section 2) draws on.]</w:t>
      </w:r>
    </w:p>
    <w:p>
      <w:pPr>
        <w:pStyle w:val="BodyText"/>
      </w:pPr>
      <w:r>
        <w:t xml:space="preserve">What does not exist: no institutional records, membership rolls, council minutes, or administrative documents of any kind survive from this world in this window. Everything institutional we know is reconstructed from occasional, persuasive, or polemical correspondence — never from the institution’s own routine self-documentation. This is a structural limitation on everything claimed in Doc_01’s Strand Determination and should be read as such.</w:t>
      </w:r>
      <w:r>
        <w:t xml:space="preserve"> </w:t>
      </w:r>
      <w:r>
        <w:rPr>
          <w:i/>
        </w:rPr>
        <w:t xml:space="preserve">[Documented that no institutional self-documentation survives; Inferential-Thin as to why — the legal-risk explanation offered in Section 9 below is this document’s own inference, not a directly-attested cause.]</w:t>
      </w:r>
    </w:p>
    <w:p>
      <w:r>
        <w:pict>
          <v:rect style="width:0;height:1.5pt" o:hralign="center" o:hrstd="t" o:hr="t"/>
        </w:pict>
      </w:r>
    </w:p>
    <w:p>
      <w:pPr>
        <w:pStyle w:val="Heading2"/>
      </w:pPr>
      <w:bookmarkStart w:id="30" w:name="liturgical-evidence"/>
      <w:r>
        <w:t xml:space="preserve">4. Liturgical Evidence</w:t>
      </w:r>
      <w:bookmarkEnd w:id="30"/>
    </w:p>
    <w:p>
      <w:pPr>
        <w:pStyle w:val="FirstParagraph"/>
      </w:pPr>
      <w:r>
        <w:t xml:space="preserve">Justin Martyr’s</w:t>
      </w:r>
      <w:r>
        <w:t xml:space="preserve"> </w:t>
      </w:r>
      <w:r>
        <w:rPr>
          <w:i/>
        </w:rPr>
        <w:t xml:space="preserve">First Apology</w:t>
      </w:r>
      <w:r>
        <w:t xml:space="preserve"> </w:t>
      </w:r>
      <w:r>
        <w:t xml:space="preserve">65–67 (c. 153–157 CE, Rome) is the fullest early description: Sunday assembly, readings from</w:t>
      </w:r>
      <w:r>
        <w:t xml:space="preserve"> </w:t>
      </w:r>
      <w:r>
        <w:t xml:space="preserve">“</w:t>
      </w:r>
      <w:r>
        <w:t xml:space="preserve">the memoirs of the apostles or the writings of the prophets,</w:t>
      </w:r>
      <w:r>
        <w:t xml:space="preserve">”</w:t>
      </w:r>
      <w:r>
        <w:t xml:space="preserve"> </w:t>
      </w:r>
      <w:r>
        <w:t xml:space="preserve">a president’s homily, common prayer, the kiss of peace, bread/wine/water offered with thanksgiving, distribution including to the absent via deacons, and a voluntary collection for orphans, widows, the sick, prisoners, and travelers.</w:t>
      </w:r>
      <w:r>
        <w:t xml:space="preserve"> </w:t>
      </w:r>
      <w:r>
        <w:rPr>
          <w:i/>
        </w:rPr>
        <w:t xml:space="preserve">[Widely Accepted as an accurate description of Roman practice; Contested as a network-wide template — see Bradshaw’s diversity thesis above.]</w:t>
      </w:r>
    </w:p>
    <w:p>
      <w:pPr>
        <w:pStyle w:val="BodyText"/>
      </w:pPr>
      <w:r>
        <w:t xml:space="preserve">The Didache (chs. 7–10, 14) gives an independent, textually earlier-feeling liturgical layer —</w:t>
      </w:r>
      <w:r>
        <w:t xml:space="preserve"> </w:t>
      </w:r>
      <w:r>
        <w:rPr>
          <w:b/>
        </w:rPr>
        <w:t xml:space="preserve">read here with the Section 1.1 representativeness caveat kept in view throughout, not only as a trailing bracket, per round-4 review’s note that the hedge should not be separable from the claim it qualifies</w:t>
      </w:r>
      <w:r>
        <w:t xml:space="preserve">: baptism in running water preferred, pouring as an explicit fallback; a cup-before-bread eucharistic order with no institution narrative at all (strikingly different from later, Pauline-institution-narrative-based liturgies); Wednesday/Friday fasting explicitly distinguished from</w:t>
      </w:r>
      <w:r>
        <w:t xml:space="preserve"> </w:t>
      </w:r>
      <w:r>
        <w:t xml:space="preserve">“</w:t>
      </w:r>
      <w:r>
        <w:t xml:space="preserve">the hypocrites’</w:t>
      </w:r>
      <w:r>
        <w:t xml:space="preserve">”</w:t>
      </w:r>
      <w:r>
        <w:t xml:space="preserve"> </w:t>
      </w:r>
      <w:r>
        <w:t xml:space="preserve">(Pharisaic) Monday/Thursday practice; and ch. 14’s instruction to confess transgressions before breaking bread on the Lord’s Day</w:t>
      </w:r>
      <w:r>
        <w:t xml:space="preserve"> </w:t>
      </w:r>
      <w:r>
        <w:t xml:space="preserve">“</w:t>
      </w:r>
      <w:r>
        <w:t xml:space="preserve">that your sacrifice may be pure.</w:t>
      </w:r>
      <w:r>
        <w:t xml:space="preserve">”</w:t>
      </w:r>
      <w:r>
        <w:t xml:space="preserve"> </w:t>
      </w:r>
      <w:r>
        <w:t xml:space="preserve">Andrew McGowan reads this as a genuinely primitive liturgical stratum predating institution-narrative eucharists, a reading this document notes but does not adopt as settled; Bradshaw counsels more caution given the Didache’s own uncertain, possibly localized (Syrian) provenance and Contested/Inferential-Thin representativeness (Section 1.1 above), and this document follows Bradshaw’s caution here as it does throughout.</w:t>
      </w:r>
      <w:r>
        <w:t xml:space="preserve"> </w:t>
      </w:r>
      <w:r>
        <w:rPr>
          <w:i/>
        </w:rPr>
        <w:t xml:space="preserve">[Contested, both on dating and on how far this can be generalized beyond its likely single community of origin — McGowan’s reading should not be taken as carrying more confidence than Section 1.1’s own representativeness tag licenses.]</w:t>
      </w:r>
    </w:p>
    <w:p>
      <w:pPr>
        <w:pStyle w:val="BodyText"/>
      </w:pPr>
      <w:r>
        <w:t xml:space="preserve">1 Clement 40–44 argues from Levitical/priestly analogy for proper order and</w:t>
      </w:r>
      <w:r>
        <w:t xml:space="preserve"> </w:t>
      </w:r>
      <w:r>
        <w:t xml:space="preserve">“</w:t>
      </w:r>
      <w:r>
        <w:t xml:space="preserve">acceptable</w:t>
      </w:r>
      <w:r>
        <w:t xml:space="preserve">”</w:t>
      </w:r>
      <w:r>
        <w:t xml:space="preserve"> </w:t>
      </w:r>
      <w:r>
        <w:t xml:space="preserve">sacrifice-language around worship, but Allen Brent and Paul Bradshaw both caution this is a rhetorical, analogical argument deployed to settle a governance dispute (the deposed Corinthian presbyters), not a neutral liturgical description in its own right.</w:t>
      </w:r>
      <w:r>
        <w:t xml:space="preserve"> </w:t>
      </w:r>
      <w:r>
        <w:rPr>
          <w:i/>
        </w:rPr>
        <w:t xml:space="preserve">[Contested as direct liturgical evidence; Widely Accepted as evidence of how Rome argued for legitimate order.]</w:t>
      </w:r>
    </w:p>
    <w:p>
      <w:pPr>
        <w:pStyle w:val="BodyText"/>
      </w:pPr>
      <w:r>
        <w:t xml:space="preserve">Pliny’s Letter 10.96 (c. 111–113 CE, Bithynia-Pontus) supplies the only outside, non-Christian liturgical description in this world: a pre-dawn meeting, a hymn</w:t>
      </w:r>
      <w:r>
        <w:t xml:space="preserve"> </w:t>
      </w:r>
      <w:r>
        <w:t xml:space="preserve">“</w:t>
      </w:r>
      <w:r>
        <w:t xml:space="preserve">to Christ as to a god</w:t>
      </w:r>
      <w:r>
        <w:t xml:space="preserve">”</w:t>
      </w:r>
      <w:r>
        <w:t xml:space="preserve"> </w:t>
      </w:r>
      <w:r>
        <w:t xml:space="preserve">sung antiphonally, a moral oath, and a later reassembly for an ordinary shared meal. Whether this</w:t>
      </w:r>
      <w:r>
        <w:t xml:space="preserve"> </w:t>
      </w:r>
      <w:r>
        <w:t xml:space="preserve">“</w:t>
      </w:r>
      <w:r>
        <w:t xml:space="preserve">meal</w:t>
      </w:r>
      <w:r>
        <w:t xml:space="preserve">”</w:t>
      </w:r>
      <w:r>
        <w:t xml:space="preserve"> </w:t>
      </w:r>
      <w:r>
        <w:t xml:space="preserve">is the eucharist proper, an agape/love-feast, or a strategic split of the two to evade Trajan’s ban on political dining-clubs (</w:t>
      </w:r>
      <w:r>
        <w:rPr>
          <w:i/>
        </w:rPr>
        <w:t xml:space="preserve">hetaeriae</w:t>
      </w:r>
      <w:r>
        <w:t xml:space="preserve">) remains a live, unresolved scholarly question. The information itself came from two enslaved women, called</w:t>
      </w:r>
      <w:r>
        <w:t xml:space="preserve"> </w:t>
      </w:r>
      <w:r>
        <w:rPr>
          <w:i/>
        </w:rPr>
        <w:t xml:space="preserve">ministrae</w:t>
      </w:r>
      <w:r>
        <w:t xml:space="preserve">, under torture — a method ancient jurists themselves distrusted, and a serious limitation on how much weight this single source can bear.</w:t>
      </w:r>
      <w:r>
        <w:t xml:space="preserve"> </w:t>
      </w:r>
      <w:r>
        <w:rPr>
          <w:i/>
        </w:rPr>
        <w:t xml:space="preserve">[Documented that Pliny wrote this; Contested on what the</w:t>
      </w:r>
      <w:r>
        <w:rPr>
          <w:i/>
        </w:rPr>
        <w:t xml:space="preserve"> </w:t>
      </w:r>
      <w:r>
        <w:rPr>
          <w:i/>
        </w:rPr>
        <w:t xml:space="preserve">“</w:t>
      </w:r>
      <w:r>
        <w:rPr>
          <w:i/>
        </w:rPr>
        <w:t xml:space="preserve">meal</w:t>
      </w:r>
      <w:r>
        <w:rPr>
          <w:i/>
        </w:rPr>
        <w:t xml:space="preserve">”</w:t>
      </w:r>
      <w:r>
        <w:rPr>
          <w:i/>
        </w:rPr>
        <w:t xml:space="preserve"> </w:t>
      </w:r>
      <w:r>
        <w:rPr>
          <w:i/>
        </w:rPr>
        <w:t xml:space="preserve">specifically was; the torture-derived nature of the testimony is a standing limitation, not merely a footnote.]</w:t>
      </w:r>
    </w:p>
    <w:p>
      <w:pPr>
        <w:pStyle w:val="BodyText"/>
      </w:pPr>
      <w:r>
        <w:t xml:space="preserve">Ignatius’s own letters supply eucharistic language:</w:t>
      </w:r>
      <w:r>
        <w:t xml:space="preserve"> </w:t>
      </w:r>
      <w:r>
        <w:rPr>
          <w:i/>
        </w:rPr>
        <w:t xml:space="preserve">Philadelphians</w:t>
      </w:r>
      <w:r>
        <w:t xml:space="preserve"> </w:t>
      </w:r>
      <w:r>
        <w:t xml:space="preserve">4’s</w:t>
      </w:r>
      <w:r>
        <w:t xml:space="preserve"> </w:t>
      </w:r>
      <w:r>
        <w:t xml:space="preserve">“</w:t>
      </w:r>
      <w:r>
        <w:t xml:space="preserve">one eucharist</w:t>
      </w:r>
      <w:r>
        <w:t xml:space="preserve">”</w:t>
      </w:r>
      <w:r>
        <w:t xml:space="preserve"> </w:t>
      </w:r>
      <w:r>
        <w:t xml:space="preserve">instruction (</w:t>
      </w:r>
      <w:r>
        <w:t xml:space="preserve">“</w:t>
      </w:r>
      <w:r>
        <w:t xml:space="preserve">Take heed, then, to have but one Eucharist… one cup… one altar; as there is one bishop</w:t>
      </w:r>
      <w:r>
        <w:t xml:space="preserve">”</w:t>
      </w:r>
      <w:r>
        <w:t xml:space="preserve">), and, separately,</w:t>
      </w:r>
      <w:r>
        <w:t xml:space="preserve"> </w:t>
      </w:r>
      <w:r>
        <w:rPr>
          <w:i/>
        </w:rPr>
        <w:t xml:space="preserve">Smyrnaeans</w:t>
      </w:r>
      <w:r>
        <w:t xml:space="preserve"> </w:t>
      </w:r>
      <w:r>
        <w:t xml:space="preserve">8’s own requirement that a valid eucharist be administered only by or with the bishop’s authorization.</w:t>
      </w:r>
      <w:r>
        <w:t xml:space="preserve"> </w:t>
      </w:r>
      <w:r>
        <w:rPr>
          <w:b/>
        </w:rPr>
        <w:t xml:space="preserve">Corrected this revision</w:t>
      </w:r>
      <w:r>
        <w:t xml:space="preserve"> </w:t>
      </w:r>
      <w:r>
        <w:t xml:space="preserve">(a misattribution in the prior text had reversed these two citations, crediting</w:t>
      </w:r>
      <w:r>
        <w:t xml:space="preserve"> </w:t>
      </w:r>
      <w:r>
        <w:t xml:space="preserve">“</w:t>
      </w:r>
      <w:r>
        <w:t xml:space="preserve">one eucharist</w:t>
      </w:r>
      <w:r>
        <w:t xml:space="preserve">”</w:t>
      </w:r>
      <w:r>
        <w:t xml:space="preserve"> </w:t>
      </w:r>
      <w:r>
        <w:t xml:space="preserve">to</w:t>
      </w:r>
      <w:r>
        <w:t xml:space="preserve"> </w:t>
      </w:r>
      <w:r>
        <w:rPr>
          <w:i/>
        </w:rPr>
        <w:t xml:space="preserve">Smyrnaeans</w:t>
      </w:r>
      <w:r>
        <w:t xml:space="preserve"> </w:t>
      </w:r>
      <w:r>
        <w:t xml:space="preserve">8; this was independently caught during a downstream cold review and verified against two translation traditions — Doc_03’s own lexicon-candidate work had already made this same correction independently, without this document itself having been updated to match). Per Section 1.3 above, how much either clause reflects settled practice versus an aspirational program is exactly the open question Doc_01’s Strand Determination already carries forward.</w:t>
      </w:r>
    </w:p>
    <w:p>
      <w:pPr>
        <w:pStyle w:val="BodyText"/>
      </w:pPr>
      <w:r>
        <w:rPr>
          <w:b/>
        </w:rPr>
        <w:t xml:space="preserve">Correction, new primary-text engagement performed at this revision:</w:t>
      </w:r>
      <w:r>
        <w:t xml:space="preserve"> </w:t>
      </w:r>
      <w:r>
        <w:rPr>
          <w:i/>
        </w:rPr>
        <w:t xml:space="preserve">Smyrnaeans</w:t>
      </w:r>
      <w:r>
        <w:t xml:space="preserve"> </w:t>
      </w:r>
      <w:r>
        <w:t xml:space="preserve">8, already cited immediately above for its bishop-authorization requirement over the eucharist, extends the identical requirement to a further practice in the same chapter:</w:t>
      </w:r>
      <w:r>
        <w:t xml:space="preserve"> </w:t>
      </w:r>
      <w:r>
        <w:t xml:space="preserve">“</w:t>
      </w:r>
      <w:r>
        <w:t xml:space="preserve">It is not lawful without the bishop either to baptize or to celebrate a love-feast</w:t>
      </w:r>
      <w:r>
        <w:t xml:space="preserve">”</w:t>
      </w:r>
      <w:r>
        <w:t xml:space="preserve"> </w:t>
      </w:r>
      <w:r>
        <w:t xml:space="preserve">(ἀγάπην ποιεῖν). This is web-verified against both the Roberts-Donaldson/ANF translation (newadvent.org/fathers/0109.htm) and the Lightfoot &amp; Harmer translation. This matters directly for how this document (and, downstream, Doc_03’s lexicon-candidate treatment) characterizes the</w:t>
      </w:r>
      <w:r>
        <w:t xml:space="preserve"> </w:t>
      </w:r>
      <w:r>
        <w:t xml:space="preserve">“</w:t>
      </w:r>
      <w:r>
        <w:t xml:space="preserve">agape/love-feast</w:t>
      </w:r>
      <w:r>
        <w:t xml:space="preserve">”</w:t>
      </w:r>
      <w:r>
        <w:t xml:space="preserve"> </w:t>
      </w:r>
      <w:r>
        <w:t xml:space="preserve">label discussed two paragraphs above in connection with Pliny’s letter: that discussion is accurate as far as it goes (Pliny’s own</w:t>
      </w:r>
      <w:r>
        <w:t xml:space="preserve"> </w:t>
      </w:r>
      <w:r>
        <w:t xml:space="preserve">“</w:t>
      </w:r>
      <w:r>
        <w:t xml:space="preserve">meal</w:t>
      </w:r>
      <w:r>
        <w:t xml:space="preserve">”</w:t>
      </w:r>
      <w:r>
        <w:t xml:space="preserve"> </w:t>
      </w:r>
      <w:r>
        <w:t xml:space="preserve">identity remains genuinely unresolved among the three competing readings), but it should not be read, and should not license Doc_03 reading it, as meaning the term</w:t>
      </w:r>
      <w:r>
        <w:t xml:space="preserve"> </w:t>
      </w:r>
      <w:r>
        <w:t xml:space="preserve">“</w:t>
      </w:r>
      <w:r>
        <w:t xml:space="preserve">agape/love-feast</w:t>
      </w:r>
      <w:r>
        <w:t xml:space="preserve">”</w:t>
      </w:r>
      <w:r>
        <w:t xml:space="preserve"> </w:t>
      </w:r>
      <w:r>
        <w:t xml:space="preserve">itself has</w:t>
      </w:r>
      <w:r>
        <w:t xml:space="preserve"> </w:t>
      </w:r>
      <w:r>
        <w:rPr>
          <w:i/>
        </w:rPr>
        <w:t xml:space="preserve">no</w:t>
      </w:r>
      <w:r>
        <w:t xml:space="preserve"> </w:t>
      </w:r>
      <w:r>
        <w:t xml:space="preserve">primary-source anchor at all. Ignatius — an inside, Native voice already load-bearing throughout this document — uses the term for a real communal practice requiring the bishop’s own authorization, independent of and prior to any modern scholarly labeling exercise applied to Pliny’s outside description. Whether Ignatius’s love-feast and Pliny’s</w:t>
      </w:r>
      <w:r>
        <w:t xml:space="preserve"> </w:t>
      </w:r>
      <w:r>
        <w:t xml:space="preserve">“</w:t>
      </w:r>
      <w:r>
        <w:t xml:space="preserve">ordinary meal</w:t>
      </w:r>
      <w:r>
        <w:t xml:space="preserve">”</w:t>
      </w:r>
      <w:r>
        <w:t xml:space="preserve"> </w:t>
      </w:r>
      <w:r>
        <w:t xml:space="preserve">are the same practice, related practices, or unconnected is not resolved by this finding and is not addressed here — this correction only establishes that the label has genuine primary-source grounding somewhere in this world’s own evidentiary base, a distinction Doc_03 should carry into its own candidate-term treatment rather than treating the label as purely a modern retrofit.</w:t>
      </w:r>
      <w:r>
        <w:t xml:space="preserve"> </w:t>
      </w:r>
      <w:r>
        <w:rPr>
          <w:i/>
        </w:rPr>
        <w:t xml:space="preserve">[Documented that Ignatius uses this term in this passage; Contested/unresolved how this practice relates to Pliny’s</w:t>
      </w:r>
      <w:r>
        <w:rPr>
          <w:i/>
        </w:rPr>
        <w:t xml:space="preserve"> </w:t>
      </w:r>
      <w:r>
        <w:rPr>
          <w:i/>
        </w:rPr>
        <w:t xml:space="preserve">“</w:t>
      </w:r>
      <w:r>
        <w:rPr>
          <w:i/>
        </w:rPr>
        <w:t xml:space="preserve">ordinary meal.</w:t>
      </w:r>
      <w:r>
        <w:rPr>
          <w:i/>
        </w:rPr>
        <w:t xml:space="preserve">”</w:t>
      </w:r>
      <w:r>
        <w:rPr>
          <w:i/>
        </w:rPr>
        <w:t xml:space="preserve">]</w:t>
      </w:r>
    </w:p>
    <w:p>
      <w:pPr>
        <w:pStyle w:val="BodyText"/>
      </w:pPr>
      <w:r>
        <w:rPr>
          <w:b/>
        </w:rPr>
        <w:t xml:space="preserve">Overall calibration for this section:</w:t>
      </w:r>
      <w:r>
        <w:t xml:space="preserve"> </w:t>
      </w:r>
      <w:r>
        <w:t xml:space="preserve">current scholarship (Bradshaw, McGowan) converges on treating regional liturgical diversity as the better-supported default for this period, against older surveys (Ferguson) that risk treating any single description as a common-core template. This document adopts the diversity-first reading.</w:t>
      </w:r>
      <w:r>
        <w:t xml:space="preserve"> </w:t>
      </w:r>
      <w:r>
        <w:rPr>
          <w:i/>
        </w:rPr>
        <w:t xml:space="preserve">[Confidence tag added per round-5 review, which correctly noted this document’s own five-level vocabulary includes</w:t>
      </w:r>
      <w:r>
        <w:rPr>
          <w:i/>
        </w:rPr>
        <w:t xml:space="preserve"> </w:t>
      </w:r>
      <w:r>
        <w:rPr>
          <w:i/>
        </w:rPr>
        <w:t xml:space="preserve">“</w:t>
      </w:r>
      <w:r>
        <w:rPr>
          <w:i/>
        </w:rPr>
        <w:t xml:space="preserve">Dominant Modern Reconstruction</w:t>
      </w:r>
      <w:r>
        <w:rPr>
          <w:i/>
        </w:rPr>
        <w:t xml:space="preserve">”</w:t>
      </w:r>
      <w:r>
        <w:rPr>
          <w:i/>
        </w:rPr>
        <w:t xml:space="preserve"> </w:t>
      </w:r>
      <w:r>
        <w:rPr>
          <w:i/>
        </w:rPr>
        <w:t xml:space="preserve">but this document had never used it: the diversity-first reading itself is Dominant Modern Reconstruction – a majority current scholarly position with real, named minority dissent (Ferguson), distinct from Widely Accepted’s near-consensus and from Contested’s live even split. Individual sub-claims within this reading (e.g., the Didache’s own specific dating/generalizability) remain separately tagged Contested/Inferential-Thin as before – this tag applies to the overall diversity-vs-common-core framing choice, not to every claim beneath it.]</w:t>
      </w:r>
    </w:p>
    <w:p>
      <w:r>
        <w:pict>
          <v:rect style="width:0;height:1.5pt" o:hralign="center" o:hrstd="t" o:hr="t"/>
        </w:pict>
      </w:r>
    </w:p>
    <w:p>
      <w:pPr>
        <w:pStyle w:val="Heading2"/>
      </w:pPr>
      <w:bookmarkStart w:id="31" w:name="material-evidence"/>
      <w:r>
        <w:t xml:space="preserve">5. Material Evidence</w:t>
      </w:r>
      <w:bookmarkEnd w:id="31"/>
    </w:p>
    <w:p>
      <w:pPr>
        <w:pStyle w:val="FirstParagraph"/>
      </w:pPr>
      <w:r>
        <w:t xml:space="preserve">This section requires unusual honesty about how thin the evidentiary category actually is. Current scholarship converges — this is close to mainstream consensus among specialists in early Christian archaeology, not a fringe minimalist position — that for Rome, Antioch, and Asia Minor in this specific 70–200 CE window, the record is essentially archaeologically invisible.</w:t>
      </w:r>
    </w:p>
    <w:p>
      <w:pPr>
        <w:pStyle w:val="BodyText"/>
      </w:pPr>
      <w:r>
        <w:t xml:space="preserve">No securely-dated, unambiguously Christian architecture, funerary material, or epigraphy exists before the very last years of the 2nd century, and even the</w:t>
      </w:r>
      <w:r>
        <w:t xml:space="preserve"> </w:t>
      </w:r>
      <w:r>
        <w:t xml:space="preserve">“</w:t>
      </w:r>
      <w:r>
        <w:t xml:space="preserve">boundary</w:t>
      </w:r>
      <w:r>
        <w:t xml:space="preserve">”</w:t>
      </w:r>
      <w:r>
        <w:t xml:space="preserve"> </w:t>
      </w:r>
      <w:r>
        <w:t xml:space="preserve">cases cluster at or just after 200 CE:</w:t>
      </w:r>
    </w:p>
    <w:p>
      <w:pPr>
        <w:numPr>
          <w:ilvl w:val="0"/>
          <w:numId w:val="1007"/>
        </w:numPr>
        <w:pStyle w:val="Compact"/>
      </w:pPr>
      <w:r>
        <w:rPr>
          <w:b/>
        </w:rPr>
        <w:t xml:space="preserve">Architecture:</w:t>
      </w:r>
      <w:r>
        <w:t xml:space="preserve"> </w:t>
      </w:r>
      <w:r>
        <w:t xml:space="preserve">L. Michael White’s periodization treats specially-renovated Christian meeting space (</w:t>
      </w:r>
      <w:r>
        <w:rPr>
          <w:i/>
        </w:rPr>
        <w:t xml:space="preserve">domus ecclesiae</w:t>
      </w:r>
      <w:r>
        <w:t xml:space="preserve">) as a third-century-and-later phenomenon; Kristina Sessa’s more recent work argues every site conventionally called</w:t>
      </w:r>
      <w:r>
        <w:t xml:space="preserve"> </w:t>
      </w:r>
      <w:r>
        <w:rPr>
          <w:i/>
        </w:rPr>
        <w:t xml:space="preserve">domus ecclesiae</w:t>
      </w:r>
      <w:r>
        <w:t xml:space="preserve"> </w:t>
      </w:r>
      <w:r>
        <w:t xml:space="preserve">except Dura-Europos actually postdates Constantine. Dura-Europos itself (Syria) is dated c. 232–256 CE — three-plus decades after this world’s own closing boundary — and must not be used as evidence for this world’s own period. Claimed early Roman</w:t>
      </w:r>
      <w:r>
        <w:t xml:space="preserve"> </w:t>
      </w:r>
      <w:r>
        <w:rPr>
          <w:i/>
        </w:rPr>
        <w:t xml:space="preserve">tituli</w:t>
      </w:r>
      <w:r>
        <w:t xml:space="preserve"> </w:t>
      </w:r>
      <w:r>
        <w:t xml:space="preserve">(San Clemente, Santi Giovanni e Paolo, Santa Prisca) as 1st/2nd-century house-churches are now rejected or unsupported by archaeologists. No candidate site exists at all for Antioch or Ephesus/Smyrna in this window.</w:t>
      </w:r>
    </w:p>
    <w:p>
      <w:pPr>
        <w:numPr>
          <w:ilvl w:val="0"/>
          <w:numId w:val="1007"/>
        </w:numPr>
        <w:pStyle w:val="Compact"/>
      </w:pPr>
      <w:r>
        <w:rPr>
          <w:b/>
        </w:rPr>
        <w:t xml:space="preserve">Funerary evidence:</w:t>
      </w:r>
      <w:r>
        <w:t xml:space="preserve"> </w:t>
      </w:r>
      <w:r>
        <w:t xml:space="preserve">No catacomb galleries are securely Christian before the late 2nd century at the earliest; modern scholarship has walked back earlier (De Rossi/Wilpert) claims of 1st-century Christian catacomb material. Éric Rebillard’s work argues burial in this period was organized by family, not ecclesial identity, with Christian, Jewish, and pagan remains physically intermingled without distinguishing markers well into the 3rd century.</w:t>
      </w:r>
    </w:p>
    <w:p>
      <w:pPr>
        <w:numPr>
          <w:ilvl w:val="0"/>
          <w:numId w:val="1007"/>
        </w:numPr>
        <w:pStyle w:val="Compact"/>
      </w:pPr>
      <w:r>
        <w:rPr>
          <w:b/>
        </w:rPr>
        <w:t xml:space="preserve">Epigraphy:</w:t>
      </w:r>
      <w:r>
        <w:t xml:space="preserve"> </w:t>
      </w:r>
      <w:r>
        <w:t xml:space="preserve">The best candidate, the Abercius inscription (Hierapolis, Phrygia), is dated c. 192–216 CE — right at or just after this world’s own boundary — and is written in coded, non-explicit language. A 19th-century historiographic dispute existed over whether it is even Christian (Cybele/Attis-priest epitaph theories from Ficker and Dieterich);</w:t>
      </w:r>
      <w:r>
        <w:t xml:space="preserve"> </w:t>
      </w:r>
      <w:r>
        <w:rPr>
          <w:b/>
        </w:rPr>
        <w:t xml:space="preserve">recalibrated per round-4 review</w:t>
      </w:r>
      <w:r>
        <w:t xml:space="preserve">, current mainstream scholarship treats those alternative readings as largely refuted and leans toward accepting the Christian identification as fairly secure, though the coded language means no unambiguous, explicit Christian inscription is securely dated before 200 CE regardless of the Abercius question specifically.</w:t>
      </w:r>
    </w:p>
    <w:p>
      <w:pPr>
        <w:numPr>
          <w:ilvl w:val="0"/>
          <w:numId w:val="1007"/>
        </w:numPr>
        <w:pStyle w:val="Compact"/>
      </w:pPr>
      <w:r>
        <w:rPr>
          <w:b/>
        </w:rPr>
        <w:t xml:space="preserve">Papyrology/numismatics:</w:t>
      </w:r>
      <w:r>
        <w:t xml:space="preserve"> </w:t>
      </w:r>
      <w:r>
        <w:t xml:space="preserve">No documentary (non-literary) papyrus mentioning Christians survives from before 200 CE. The Alexamenos graffito (anti-Christian mockery) is itself only</w:t>
      </w:r>
      <w:r>
        <w:t xml:space="preserve"> </w:t>
      </w:r>
      <w:r>
        <w:t xml:space="preserve">“</w:t>
      </w:r>
      <w:r>
        <w:t xml:space="preserve">c. 200 CE,</w:t>
      </w:r>
      <w:r>
        <w:t xml:space="preserve">”</w:t>
      </w:r>
      <w:r>
        <w:t xml:space="preserve"> </w:t>
      </w:r>
      <w:r>
        <w:t xml:space="preserve">borderline at best.</w:t>
      </w:r>
    </w:p>
    <w:p>
      <w:pPr>
        <w:pStyle w:val="FirstParagraph"/>
      </w:pPr>
      <w:r>
        <w:rPr>
          <w:b/>
        </w:rPr>
        <w:t xml:space="preserve">Disposition:</w:t>
      </w:r>
      <w:r>
        <w:t xml:space="preserve"> </w:t>
      </w:r>
      <w:r>
        <w:t xml:space="preserve">this document treats the material-evidence category for World #1 as thin-to-absent by design of the evidence itself, not by any failure of research. Doc_02’s own confidence vocabulary should mark any material-culture claim for this world as, at best, Inferential-Thin, and future documents should resist the temptation to borrow richer 3rd-century material evidence (Dura-Europos above all) backward into this world’s own reconstruction.</w:t>
      </w:r>
    </w:p>
    <w:p>
      <w:r>
        <w:pict>
          <v:rect style="width:0;height:1.5pt" o:hralign="center" o:hrstd="t" o:hr="t"/>
        </w:pict>
      </w:r>
    </w:p>
    <w:p>
      <w:pPr>
        <w:pStyle w:val="Heading2"/>
      </w:pPr>
      <w:bookmarkStart w:id="32" w:name="X409a77cb408402a3d5036bc3c8237f84e9b1c83"/>
      <w:r>
        <w:t xml:space="preserve">6. Ordinary Participant Evidence and Outside Witnesses</w:t>
      </w:r>
      <w:bookmarkEnd w:id="32"/>
    </w:p>
    <w:p>
      <w:pPr>
        <w:pStyle w:val="FirstParagraph"/>
      </w:pPr>
      <w:r>
        <w:t xml:space="preserve">No source in this category is written by an ordinary participant in their own voice. All are either elite outside observers or later elite Christian leaders describing others. Four outside/hostile witnesses supply the only non-Christian-authored evidence for this world:</w:t>
      </w:r>
    </w:p>
    <w:p>
      <w:pPr>
        <w:numPr>
          <w:ilvl w:val="0"/>
          <w:numId w:val="1008"/>
        </w:numPr>
        <w:pStyle w:val="Compact"/>
      </w:pPr>
      <w:r>
        <w:rPr>
          <w:b/>
        </w:rPr>
        <w:t xml:space="preserve">Pliny the Younger,</w:t>
      </w:r>
      <w:r>
        <w:rPr>
          <w:b/>
        </w:rPr>
        <w:t xml:space="preserve"> </w:t>
      </w:r>
      <w:r>
        <w:rPr>
          <w:i/>
          <w:b/>
        </w:rPr>
        <w:t xml:space="preserve">Letters</w:t>
      </w:r>
      <w:r>
        <w:rPr>
          <w:b/>
        </w:rPr>
        <w:t xml:space="preserve"> </w:t>
      </w:r>
      <w:r>
        <w:rPr>
          <w:b/>
        </w:rPr>
        <w:t xml:space="preserve">10.96–97</w:t>
      </w:r>
      <w:r>
        <w:t xml:space="preserve"> </w:t>
      </w:r>
      <w:r>
        <w:t xml:space="preserve">(c. 111–113 CE) — see Section 4 above for content; as evidence of lived practice, it is filtered through elite Roman</w:t>
      </w:r>
      <w:r>
        <w:t xml:space="preserve"> </w:t>
      </w:r>
      <w:r>
        <w:rPr>
          <w:i/>
        </w:rPr>
        <w:t xml:space="preserve">superstitio</w:t>
      </w:r>
      <w:r>
        <w:t xml:space="preserve"> </w:t>
      </w:r>
      <w:r>
        <w:t xml:space="preserve">prejudice and, for its most granular detail, through torture-extracted testimony from two enslaved women.</w:t>
      </w:r>
      <w:r>
        <w:t xml:space="preserve"> </w:t>
      </w:r>
      <w:r>
        <w:rPr>
          <w:i/>
        </w:rPr>
        <w:t xml:space="preserve">[Documented as a text; Contested/limited as a reliable window into internal Christian experience.]</w:t>
      </w:r>
    </w:p>
    <w:p>
      <w:pPr>
        <w:numPr>
          <w:ilvl w:val="0"/>
          <w:numId w:val="1008"/>
        </w:numPr>
        <w:pStyle w:val="Compact"/>
      </w:pPr>
      <w:r>
        <w:rPr>
          <w:b/>
        </w:rPr>
        <w:t xml:space="preserve">Tacitus,</w:t>
      </w:r>
      <w:r>
        <w:rPr>
          <w:b/>
        </w:rPr>
        <w:t xml:space="preserve"> </w:t>
      </w:r>
      <w:r>
        <w:rPr>
          <w:i/>
          <w:b/>
        </w:rPr>
        <w:t xml:space="preserve">Annals</w:t>
      </w:r>
      <w:r>
        <w:rPr>
          <w:b/>
        </w:rPr>
        <w:t xml:space="preserve"> </w:t>
      </w:r>
      <w:r>
        <w:rPr>
          <w:b/>
        </w:rPr>
        <w:t xml:space="preserve">15.44</w:t>
      </w:r>
      <w:r>
        <w:t xml:space="preserve"> </w:t>
      </w:r>
      <w:r>
        <w:t xml:space="preserve">(Great Fire, 64 CE) — describes Nero scapegoating Christians, names</w:t>
      </w:r>
      <w:r>
        <w:t xml:space="preserve"> </w:t>
      </w:r>
      <w:r>
        <w:t xml:space="preserve">“</w:t>
      </w:r>
      <w:r>
        <w:t xml:space="preserve">Christus</w:t>
      </w:r>
      <w:r>
        <w:t xml:space="preserve">”</w:t>
      </w:r>
      <w:r>
        <w:t xml:space="preserve"> </w:t>
      </w:r>
      <w:r>
        <w:t xml:space="preserve">executed under Pilate, and describes brutal executions for</w:t>
      </w:r>
      <w:r>
        <w:t xml:space="preserve"> </w:t>
      </w:r>
      <w:r>
        <w:t xml:space="preserve">“</w:t>
      </w:r>
      <w:r>
        <w:t xml:space="preserve">hatred of the human race.</w:t>
      </w:r>
      <w:r>
        <w:t xml:space="preserve">”</w:t>
      </w:r>
      <w:r>
        <w:t xml:space="preserve"> </w:t>
      </w:r>
      <w:r>
        <w:t xml:space="preserve">The passage’s basic authenticity is not seriously disputed among specialists (fringe interpolation claims exist but have little scholarly uptake); a separate, genuinely live, non-fringe debate (Brent Shaw vs. Christopher Jones) concerns whether a discrete, fire-linked persecution of Christians</w:t>
      </w:r>
      <w:r>
        <w:t xml:space="preserve"> </w:t>
      </w:r>
      <w:r>
        <w:rPr>
          <w:i/>
        </w:rPr>
        <w:t xml:space="preserve">as a named group</w:t>
      </w:r>
      <w:r>
        <w:t xml:space="preserve"> </w:t>
      </w:r>
      <w:r>
        <w:t xml:space="preserve">actually occurred, distinct from the passage’s textual authenticity.</w:t>
      </w:r>
      <w:r>
        <w:t xml:space="preserve"> </w:t>
      </w:r>
      <w:r>
        <w:rPr>
          <w:i/>
        </w:rPr>
        <w:t xml:space="preserve">[Documented as authentic text; Contested on the specific historical event it describes.]</w:t>
      </w:r>
    </w:p>
    <w:p>
      <w:pPr>
        <w:numPr>
          <w:ilvl w:val="0"/>
          <w:numId w:val="1008"/>
        </w:numPr>
        <w:pStyle w:val="Compact"/>
      </w:pPr>
      <w:r>
        <w:rPr>
          <w:b/>
        </w:rPr>
        <w:t xml:space="preserve">Suetonius</w:t>
      </w:r>
      <w:r>
        <w:t xml:space="preserve"> </w:t>
      </w:r>
      <w:r>
        <w:t xml:space="preserve">—</w:t>
      </w:r>
      <w:r>
        <w:t xml:space="preserve"> </w:t>
      </w:r>
      <w:r>
        <w:rPr>
          <w:i/>
        </w:rPr>
        <w:t xml:space="preserve">Life of Claudius</w:t>
      </w:r>
      <w:r>
        <w:t xml:space="preserve"> </w:t>
      </w:r>
      <w:r>
        <w:t xml:space="preserve">25.4’s</w:t>
      </w:r>
      <w:r>
        <w:t xml:space="preserve"> </w:t>
      </w:r>
      <w:r>
        <w:t xml:space="preserve">“</w:t>
      </w:r>
      <w:r>
        <w:t xml:space="preserve">Chrestus</w:t>
      </w:r>
      <w:r>
        <w:t xml:space="preserve">”</w:t>
      </w:r>
      <w:r>
        <w:t xml:space="preserve"> </w:t>
      </w:r>
      <w:r>
        <w:t xml:space="preserve">reference (c. 49 CE) is majority-read as a garbled</w:t>
      </w:r>
      <w:r>
        <w:t xml:space="preserve"> </w:t>
      </w:r>
      <w:r>
        <w:t xml:space="preserve">“</w:t>
      </w:r>
      <w:r>
        <w:t xml:space="preserve">Christus</w:t>
      </w:r>
      <w:r>
        <w:t xml:space="preserve">”</w:t>
      </w:r>
      <w:r>
        <w:t xml:space="preserve"> </w:t>
      </w:r>
      <w:r>
        <w:t xml:space="preserve">reflecting messianic disputes within Roman synagogues (Dunn, Brown/Meier, Smallwood), but this is genuinely disputed among classicists (Barbara Levick; Heikki Solin’s documentation of 126 Romans actually named Chrestus, a common name among slaves/freedmen).</w:t>
      </w:r>
      <w:r>
        <w:t xml:space="preserve"> </w:t>
      </w:r>
      <w:r>
        <w:rPr>
          <w:i/>
        </w:rPr>
        <w:t xml:space="preserve">Life of Nero</w:t>
      </w:r>
      <w:r>
        <w:t xml:space="preserve"> </w:t>
      </w:r>
      <w:r>
        <w:t xml:space="preserve">16.2 notes Christians punished among a list of public-order measures, with no explicit fire connection stated — the link to 64 CE is inferred from context, not stated in the text.</w:t>
      </w:r>
      <w:r>
        <w:t xml:space="preserve"> </w:t>
      </w:r>
      <w:r>
        <w:rPr>
          <w:i/>
        </w:rPr>
        <w:t xml:space="preserve">[Contested on the Chrestus identification; Inferential-Thin on the Nero 16.2/fire connection specifically.]</w:t>
      </w:r>
    </w:p>
    <w:p>
      <w:pPr>
        <w:numPr>
          <w:ilvl w:val="0"/>
          <w:numId w:val="1008"/>
        </w:numPr>
        <w:pStyle w:val="Compact"/>
      </w:pPr>
      <w:r>
        <w:rPr>
          <w:b/>
        </w:rPr>
        <w:t xml:space="preserve">Lucian of Samosata,</w:t>
      </w:r>
      <w:r>
        <w:rPr>
          <w:b/>
        </w:rPr>
        <w:t xml:space="preserve"> </w:t>
      </w:r>
      <w:r>
        <w:rPr>
          <w:i/>
          <w:b/>
        </w:rPr>
        <w:t xml:space="preserve">The Passing of Peregrinus</w:t>
      </w:r>
      <w:r>
        <w:t xml:space="preserve"> </w:t>
      </w:r>
      <w:r>
        <w:t xml:space="preserve">(c. 165 CE) — a satire, not a neutral account, but one that independent scholarship (Jones, Bremmer) reads as preserving genuine communal practices beneath its mockery: widows and orphans waiting at the prison, officials bribed, visitors traveling from across Asia at communal expense,</w:t>
      </w:r>
      <w:r>
        <w:t xml:space="preserve"> </w:t>
      </w:r>
      <w:r>
        <w:t xml:space="preserve">“</w:t>
      </w:r>
      <w:r>
        <w:t xml:space="preserve">sacred books</w:t>
      </w:r>
      <w:r>
        <w:t xml:space="preserve">”</w:t>
      </w:r>
      <w:r>
        <w:t xml:space="preserve"> </w:t>
      </w:r>
      <w:r>
        <w:t xml:space="preserve">read aloud.</w:t>
      </w:r>
      <w:r>
        <w:t xml:space="preserve"> </w:t>
      </w:r>
      <w:r>
        <w:rPr>
          <w:b/>
        </w:rPr>
        <w:t xml:space="preserve">Flagged per round-4 review:</w:t>
      </w:r>
      <w:r>
        <w:t xml:space="preserve"> </w:t>
      </w:r>
      <w:r>
        <w:t xml:space="preserve">the specific move of reading Tertullian’s later</w:t>
      </w:r>
      <w:r>
        <w:t xml:space="preserve"> </w:t>
      </w:r>
      <w:r>
        <w:rPr>
          <w:i/>
        </w:rPr>
        <w:t xml:space="preserve">Apology</w:t>
      </w:r>
      <w:r>
        <w:t xml:space="preserve"> </w:t>
      </w:r>
      <w:r>
        <w:t xml:space="preserve">39 (on the communal fund) as corroboration of Lucian’s account is this document’s own synthesis, not a citation to a specific scholar who makes that exact triangulation — both texts independently attest mutual-aid practice, but the document has not verified that Jones or Bremmer themselves draw this particular cross-text link, and this should not be read as more sourced than it is.</w:t>
      </w:r>
      <w:r>
        <w:t xml:space="preserve"> </w:t>
      </w:r>
      <w:r>
        <w:rPr>
          <w:i/>
        </w:rPr>
        <w:t xml:space="preserve">[High confidence on mutual-aid/prisoner-care as a real underlying practice, attested independently in both texts; the specific characterization of</w:t>
      </w:r>
      <w:r>
        <w:rPr>
          <w:i/>
        </w:rPr>
        <w:t xml:space="preserve"> </w:t>
      </w:r>
      <w:r>
        <w:rPr>
          <w:i/>
        </w:rPr>
        <w:t xml:space="preserve">“</w:t>
      </w:r>
      <w:r>
        <w:rPr>
          <w:i/>
        </w:rPr>
        <w:t xml:space="preserve">Peregrinus</w:t>
      </w:r>
      <w:r>
        <w:rPr>
          <w:i/>
        </w:rPr>
        <w:t xml:space="preserve">”</w:t>
      </w:r>
      <w:r>
        <w:rPr>
          <w:i/>
        </w:rPr>
        <w:t xml:space="preserve"> </w:t>
      </w:r>
      <w:r>
        <w:rPr>
          <w:i/>
        </w:rPr>
        <w:t xml:space="preserve">himself is inseparable from Lucian’s explicit satirical intent; the Lucian-Tertullian connection specifically is this document’s own synthesis.]</w:t>
      </w:r>
    </w:p>
    <w:p>
      <w:r>
        <w:pict>
          <v:rect style="width:0;height:1.5pt" o:hralign="center" o:hrstd="t" o:hr="t"/>
        </w:pict>
      </w:r>
    </w:p>
    <w:p>
      <w:pPr>
        <w:pStyle w:val="Heading2"/>
      </w:pPr>
      <w:bookmarkStart w:id="33" w:name="source-asymmetry-and-missing-voices"/>
      <w:r>
        <w:t xml:space="preserve">7. Source Asymmetry and Missing Voices</w:t>
      </w:r>
      <w:bookmarkEnd w:id="33"/>
    </w:p>
    <w:p>
      <w:pPr>
        <w:pStyle w:val="FirstParagraph"/>
      </w:pPr>
      <w:r>
        <w:rPr>
          <w:b/>
        </w:rPr>
        <w:t xml:space="preserve">Women.</w:t>
      </w:r>
      <w:r>
        <w:t xml:space="preserve"> </w:t>
      </w:r>
      <w:r>
        <w:t xml:space="preserve">Named exceptions (Phoebe, Prisca, Junia, Lydia, and this world’s own Pliny-attested</w:t>
      </w:r>
      <w:r>
        <w:t xml:space="preserve"> </w:t>
      </w:r>
      <w:r>
        <w:rPr>
          <w:i/>
        </w:rPr>
        <w:t xml:space="preserve">ministrae</w:t>
      </w:r>
      <w:r>
        <w:t xml:space="preserve">) are real but should not stand in for the invisible ordinary majority — Osiek, MacDonald, and Tulloch’s own work explicitly flags this gap. Pre-4th-century female ministry was not yet a sex-distinguished formal office: no 1st–2nd-century Asia Minor inscription names a woman deacon (the epigraphic record for that specific title only begins in the 4th–6th centuries), and the</w:t>
      </w:r>
      <w:r>
        <w:t xml:space="preserve"> </w:t>
      </w:r>
      <w:r>
        <w:t xml:space="preserve">“</w:t>
      </w:r>
      <w:r>
        <w:t xml:space="preserve">deaconess</w:t>
      </w:r>
      <w:r>
        <w:t xml:space="preserve">”</w:t>
      </w:r>
      <w:r>
        <w:t xml:space="preserve"> </w:t>
      </w:r>
      <w:r>
        <w:t xml:space="preserve">references sometimes attributed to Ignatius at Antioch actually come from the spurious Pseudo-Ignatian long recension, not his authentic letters — a distinction this document flags explicitly so it is not repeated as an error in later documents. Ordinary women’s participation is, per Clark, Kraemer, and Brooten, structurally unrecoverable except through inference, archaeology, or hostile outsider polemic (i.e., Pliny).</w:t>
      </w:r>
    </w:p>
    <w:p>
      <w:pPr>
        <w:pStyle w:val="BodyText"/>
      </w:pPr>
      <w:r>
        <w:rPr>
          <w:b/>
        </w:rPr>
        <w:t xml:space="preserve">Enslaved people.</w:t>
      </w:r>
      <w:r>
        <w:t xml:space="preserve"> </w:t>
      </w:r>
      <w:r>
        <w:t xml:space="preserve">Household codes (Colossians 3, Ephesians 6, 1 Peter 2) address enslaved members directly, proving their real presence in this world’s congregations, but are authored by free leaders instructing enslaved people toward obedience, never contesting owners’ control over their bodies (Jennifer Glancy’s framing, itself contested on method by J. Albert Harrill, who argues for a more literary and less experiential reading — a genuine, unresolved scholarly disagreement worth naming rather than picking a side on prematurely). Kyle Harper’s demographic estimates (roughly 10–20% of the imperial population enslaved) imply substantial enslaved membership in these urban congregations, with no surviving voice of their own.</w:t>
      </w:r>
    </w:p>
    <w:p>
      <w:pPr>
        <w:pStyle w:val="BodyText"/>
      </w:pPr>
      <w:r>
        <w:rPr>
          <w:b/>
        </w:rPr>
        <w:t xml:space="preserve">Non-literate, non-elite members generally.</w:t>
      </w:r>
      <w:r>
        <w:t xml:space="preserve"> </w:t>
      </w:r>
      <w:r>
        <w:t xml:space="preserve">Literacy estimates for the wider Greco-Roman world run 10–20% (Harris); applied to Christian congregations c. 100 CE, Keith Hopkins estimated only roughly 2% were fluent enough to have produced texts like these, with female literacy statistically negligible. Every surviving text in this world’s source base — Ignatius, Polycarp, Justin, 1 Clement’s own author, the Didache’s compiler(s) — represents a narrow literate leadership stratum. No non-elite authorial voice survives from this world at all.</w:t>
      </w:r>
    </w:p>
    <w:p>
      <w:r>
        <w:pict>
          <v:rect style="width:0;height:1.5pt" o:hralign="center" o:hrstd="t" o:hr="t"/>
        </w:pict>
      </w:r>
    </w:p>
    <w:p>
      <w:pPr>
        <w:pStyle w:val="Heading2"/>
      </w:pPr>
      <w:bookmarkStart w:id="34" w:name="affirmative-duty-constitution-article-20"/>
      <w:r>
        <w:t xml:space="preserve">8. Affirmative Duty (Constitution Article 20)</w:t>
      </w:r>
      <w:bookmarkEnd w:id="34"/>
    </w:p>
    <w:p>
      <w:pPr>
        <w:pStyle w:val="FirstParagraph"/>
      </w:pPr>
      <w:r>
        <w:t xml:space="preserve">Named explicitly, per the Article 20 requirement that this world’s own Ecology work name whose voices its source record structurally suppresses and why: this world’s evidence base systematically privileges literate, male, urban, leadership-tier voices (bishops, prominent teachers, one wealthy apologist) over enslaved people, women outside a small named set of patrons/hosts, and the large non-literate majority implied but never heard from directly. This is not a gap this document can close — no lost text will restore these voices — but it must be named rather than allowed to read as though the surviving sources exhaust this world’s actual population.</w:t>
      </w:r>
    </w:p>
    <w:p>
      <w:r>
        <w:pict>
          <v:rect style="width:0;height:1.5pt" o:hralign="center" o:hrstd="t" o:hr="t"/>
        </w:pict>
      </w:r>
    </w:p>
    <w:p>
      <w:pPr>
        <w:pStyle w:val="Heading2"/>
      </w:pPr>
      <w:bookmarkStart w:id="35" w:name="X131361a23372aed2ec82f82f6b1d588d4e5a275"/>
      <w:r>
        <w:t xml:space="preserve">9. Forces Lens Applied to Source Ecology (Forces Framework Step 2)</w:t>
      </w:r>
      <w:bookmarkEnd w:id="35"/>
    </w:p>
    <w:p>
      <w:pPr>
        <w:pStyle w:val="FirstParagraph"/>
      </w:pPr>
      <w:r>
        <w:t xml:space="preserve">Which sources speak to external forces: Pliny’s letter is the clearest direct evidence of state pressure and its lived stakes (interrogation, execution for</w:t>
      </w:r>
      <w:r>
        <w:t xml:space="preserve"> </w:t>
      </w:r>
      <w:r>
        <w:rPr>
          <w:i/>
        </w:rPr>
        <w:t xml:space="preserve">pertinacia</w:t>
      </w:r>
      <w:r>
        <w:t xml:space="preserve">, the specific test of cursing Christ); Ignatius’s own letters are themselves artifacts of that pressure (written under armed guard, from a condemned man). What silences reveal: the complete absence of institutional self-documentation (Section 3) may itself reflect the practical risk of producing durable, seizable records under an environment of local, unpredictable legal exposure, not merely accidental non-survival. Survivorship patterns: the texts that survived best (Ignatius, Justin, eventually 1 Clement via inclusion in a biblical codex) are precisely the ones with either strong institutional backing (canonical-adjacent status) or apologetic value to later, more secure generations of the church — suggesting this world’s own most vulnerable or marginal material (a hypothetical Didache-like text from Rome, or any text produced by or for enslaved members) was structurally less likely to survive regardless of its original prevalence.</w:t>
      </w:r>
      <w:r>
        <w:t xml:space="preserve"> </w:t>
      </w:r>
      <w:r>
        <w:rPr>
          <w:i/>
        </w:rPr>
        <w:t xml:space="preserve">[Documented that Pliny’s letter and Ignatius’s own corpus attest state pressure directly; Inferential-Thin on the institutional-silence-as-legal-risk mechanism and on the survivorship-pattern argument, both of which are this document’s own inference from absence rather than directly attested.]</w:t>
      </w:r>
    </w:p>
    <w:p>
      <w:r>
        <w:pict>
          <v:rect style="width:0;height:1.5pt" o:hralign="center" o:hrstd="t" o:hr="t"/>
        </w:pict>
      </w:r>
    </w:p>
    <w:p>
      <w:pPr>
        <w:pStyle w:val="Heading2"/>
      </w:pPr>
      <w:bookmarkStart w:id="36" w:name="X00dae3f3c06889f321e988f9b3b5784d36939d5"/>
      <w:r>
        <w:t xml:space="preserve">10. Sourcing and confidence notes (expanding Doc_01 Section 10)</w:t>
      </w:r>
      <w:bookmarkEnd w:id="36"/>
    </w:p>
    <w:p>
      <w:pPr>
        <w:pStyle w:val="FirstParagraph"/>
      </w:pPr>
      <w:r>
        <w:t xml:space="preserve">Doc_01 already flagged the core dating uncertainties for this source set. This document adds, from the fresh manuscript-transmission research above: the Didache’s near-total dependence on a single 1056 CE manuscript; the Shepherd of Hermas’s fully eclectic reconstruction with no single complete Greek witness and a documented forgery-adjacent complication (Simonides) in its Athos transmission; and Ignatius’s authenticity question as a genuine two-century-long critical dispute (Ussher/Vossius/Pearson vs. Daillé, then Cureton vs. Zahn/Lightfoot), not a settled inheritance. These transmission facts do not change any of Doc_01’s dating conclusions, but they add a second, independent axis of uncertainty (how the text reached us) alongside the first (when it was composed) that Doc_04’s Confidence/Gravity Cross-Check should track separately.</w:t>
      </w:r>
    </w:p>
    <w:p>
      <w:pPr>
        <w:pStyle w:val="BodyText"/>
      </w:pPr>
      <w:r>
        <w:rPr>
          <w:b/>
        </w:rPr>
        <w:t xml:space="preserve">The Bagnall/Egypt dependency, surfaced directly rather than left visible only in the Registry, sharpened per round-4 review.</w:t>
      </w:r>
      <w:r>
        <w:t xml:space="preserve"> </w:t>
      </w:r>
      <w:r>
        <w:t xml:space="preserve">Doc_01 Section 3’s exclusion of Egypt/Alexandria from this world’s own geographic boundary rests on a single cited source: Roger Bagnall’s</w:t>
      </w:r>
      <w:r>
        <w:t xml:space="preserve"> </w:t>
      </w:r>
      <w:r>
        <w:rPr>
          <w:i/>
        </w:rPr>
        <w:t xml:space="preserve">Early Christian Books in Egypt</w:t>
      </w:r>
      <w:r>
        <w:t xml:space="preserve"> </w:t>
      </w:r>
      <w:r>
        <w:t xml:space="preserve">(2009, Registry row S27) as the sole authority for treating Egypt’s early Christian evidentiary landscape as different enough in kind to justify a separate world rather than folding it into this one. Naming the flag as merely</w:t>
      </w:r>
      <w:r>
        <w:t xml:space="preserve"> </w:t>
      </w:r>
      <w:r>
        <w:t xml:space="preserve">“</w:t>
      </w:r>
      <w:r>
        <w:t xml:space="preserve">one source, Contested</w:t>
      </w:r>
      <w:r>
        <w:t xml:space="preserve">”</w:t>
      </w:r>
      <w:r>
        <w:t xml:space="preserve"> </w:t>
      </w:r>
      <w:r>
        <w:t xml:space="preserve">understates the risk: Bagnall’s specific argument is a demographic/statistical inference – modeling the expected growth of Egypt’s Christian population against the surviving literary-papyrus record – used to argue that several papyri conventionally dated to the early 2nd century (including dating questions touching P52-type material) should be dated later than the traditional consensus, on the ground that the number of</w:t>
      </w:r>
      <w:r>
        <w:t xml:space="preserve"> </w:t>
      </w:r>
      <w:r>
        <w:t xml:space="preserve">“</w:t>
      </w:r>
      <w:r>
        <w:t xml:space="preserve">early</w:t>
      </w:r>
      <w:r>
        <w:t xml:space="preserve">”</w:t>
      </w:r>
      <w:r>
        <w:t xml:space="preserve"> </w:t>
      </w:r>
      <w:r>
        <w:t xml:space="preserve">Christian literary papyri we currently have is statistically implausible for the period. This specific statistical-inference method for redating papyri, not merely the existence of one monograph, is what is Contested within papyrology – the dependency is therefore a single source whose</w:t>
      </w:r>
      <w:r>
        <w:t xml:space="preserve"> </w:t>
      </w:r>
      <w:r>
        <w:rPr>
          <w:i/>
        </w:rPr>
        <w:t xml:space="preserve">own central mechanism</w:t>
      </w:r>
      <w:r>
        <w:t xml:space="preserve"> </w:t>
      </w:r>
      <w:r>
        <w:t xml:space="preserve">is a live methodological dispute, a compound risk beyond simple single-source thinness. This document cannot independently verify or reopen Doc_01’s own boundary decision without exceeding this step’s scope, but the dependency should not remain visible only in the Registry’s Notes field — a builder reading this document’s own dependency-tracking section should see it named here directly, alongside the Didache/Hermas/Ignatius transmission dependencies above, rather than having to cross-check the Registry by hand to discover it. If Doc_05 or a later step develops independent evidence bearing on the Egypt exclusion, this dependency should be revisited rather than assumed settled.</w:t>
      </w:r>
    </w:p>
    <w:p>
      <w:r>
        <w:pict>
          <v:rect style="width:0;height:1.5pt" o:hralign="center" o:hrstd="t" o:hr="t"/>
        </w:pict>
      </w:r>
    </w:p>
    <w:p>
      <w:pPr>
        <w:pStyle w:val="Heading2"/>
      </w:pPr>
      <w:bookmarkStart w:id="37" w:name="independent-verification-notes"/>
      <w:r>
        <w:t xml:space="preserve">11. Independent verification notes</w:t>
      </w:r>
      <w:bookmarkEnd w:id="37"/>
    </w:p>
    <w:p>
      <w:pPr>
        <w:pStyle w:val="FirstParagraph"/>
      </w:pPr>
      <w:r>
        <w:t xml:space="preserve">Spot-checked directly against primary/secondary sources during this research pass (not merely inherited from the drafting sources’ own citations): the Bryennios manuscript’s exact discovery date/location and the Constantinople/Jerusalem naming confusion; the Ussher–Vossius–Daillé–Pearson–Cureton–Zahn–Lightfoot sequence in Ignatius scholarship; the Simonides forgery episode in the Shepherd of Hermas’s transmission; Eusebius’s actual citation location for Polycarp (</w:t>
      </w:r>
      <w:r>
        <w:rPr>
          <w:i/>
        </w:rPr>
        <w:t xml:space="preserve">HE</w:t>
      </w:r>
      <w:r>
        <w:t xml:space="preserve"> </w:t>
      </w:r>
      <w:r>
        <w:t xml:space="preserve">III.36.13–15, not IV.14 as sometimes assumed elsewhere); the Abercius inscription’s contested Christian identification and its 192–216 CE date; and the G.W.H. Lampe / Peter Lampe distinction. No fabricated or unverifiable citation was knowingly retained in this document.</w:t>
      </w:r>
    </w:p>
    <w:p>
      <w:r>
        <w:pict>
          <v:rect style="width:0;height:1.5pt" o:hralign="center" o:hrstd="t" o:hr="t"/>
        </w:pict>
      </w:r>
    </w:p>
    <w:p>
      <w:pPr>
        <w:pStyle w:val="Heading2"/>
      </w:pPr>
      <w:bookmarkStart w:id="38" w:name="open-items-carried-to-doc_03-and-doc_04"/>
      <w:r>
        <w:t xml:space="preserve">12. Open items carried to Doc_03 and Doc_04</w:t>
      </w:r>
      <w:bookmarkEnd w:id="38"/>
    </w:p>
    <w:p>
      <w:pPr>
        <w:numPr>
          <w:ilvl w:val="0"/>
          <w:numId w:val="1009"/>
        </w:numPr>
        <w:pStyle w:val="Compact"/>
      </w:pPr>
      <w:r>
        <w:t xml:space="preserve">Whether the Didache’s likely-Syrian, likely-single-community provenance should limit its use as evidence for this world’s</w:t>
      </w:r>
      <w:r>
        <w:t xml:space="preserve"> </w:t>
      </w:r>
      <w:r>
        <w:rPr>
          <w:i/>
        </w:rPr>
        <w:t xml:space="preserve">network-wide</w:t>
      </w:r>
      <w:r>
        <w:t xml:space="preserve"> </w:t>
      </w:r>
      <w:r>
        <w:t xml:space="preserve">practice in Doc_03’s lexicon work and Doc_05’s ecological reconstruction, rather than treating it as generally representative.</w:t>
      </w:r>
    </w:p>
    <w:p>
      <w:pPr>
        <w:numPr>
          <w:ilvl w:val="0"/>
          <w:numId w:val="1009"/>
        </w:numPr>
        <w:pStyle w:val="Compact"/>
      </w:pPr>
      <w:r>
        <w:t xml:space="preserve">The Bradshaw-diversity-thesis-versus-Ferguson-common-core-template question should be explicitly resolved (or explicitly left open) before Doc_05 attempts a unified liturgical reconstruction.</w:t>
      </w:r>
    </w:p>
    <w:p>
      <w:pPr>
        <w:numPr>
          <w:ilvl w:val="0"/>
          <w:numId w:val="1009"/>
        </w:numPr>
        <w:pStyle w:val="Compact"/>
      </w:pPr>
      <w:r>
        <w:t xml:space="preserve">The Harrill/Glancy methodological disagreement on how to read household-code silence about enslaved people’s interiority is unresolved and should not be silently resolved in either direction in later documents.</w:t>
      </w:r>
    </w:p>
    <w:p>
      <w:pPr>
        <w:numPr>
          <w:ilvl w:val="0"/>
          <w:numId w:val="1009"/>
        </w:numPr>
        <w:pStyle w:val="Compact"/>
      </w:pPr>
      <w:r>
        <w:t xml:space="preserve">Material culture’s near-total absence (Section 5) should be treated as a standing constraint on Doc_05 and Doc_09 (Story Inventory) — no story or ecological claim should quietly import 3rd-century material evidence backward into this world.</w:t>
      </w:r>
    </w:p>
    <w:p>
      <w:pPr>
        <w:numPr>
          <w:ilvl w:val="0"/>
          <w:numId w:val="1009"/>
        </w:numPr>
        <w:pStyle w:val="Compact"/>
      </w:pPr>
      <w:r>
        <w:rPr>
          <w:b/>
        </w:rPr>
        <w:t xml:space="preserve">New, added this revision:</w:t>
      </w:r>
      <w:r>
        <w:t xml:space="preserve"> </w:t>
      </w:r>
      <w:r>
        <w:t xml:space="preserve">the Bagnall/S27 Egypt-boundary dependency (Section 10 above) should be re-examined if Doc_05 or any later step develops independent evidence on Egypt/Alexandria’s relationship to this world’s own network.</w:t>
      </w:r>
    </w:p>
    <w:p>
      <w:r>
        <w:pict>
          <v:rect style="width:0;height:1.5pt" o:hralign="center" o:hrstd="t" o:hr="t"/>
        </w:pict>
      </w:r>
    </w:p>
    <w:p>
      <w:pPr>
        <w:pStyle w:val="Heading2"/>
      </w:pPr>
      <w:bookmarkStart w:id="39" w:name="document-log"/>
      <w:r>
        <w:t xml:space="preserve">13. Document log</w:t>
      </w:r>
      <w:bookmarkEnd w:id="39"/>
    </w:p>
    <w:p>
      <w:pPr>
        <w:numPr>
          <w:ilvl w:val="0"/>
          <w:numId w:val="1010"/>
        </w:numPr>
      </w:pPr>
      <w:r>
        <w:rPr>
          <w:b/>
        </w:rPr>
        <w:t xml:space="preserve">Document:</w:t>
      </w:r>
      <w:r>
        <w:t xml:space="preserve"> </w:t>
      </w:r>
      <w:r>
        <w:t xml:space="preserve">Doc_02 — Source Ecology, World #1 (Post-Apostolic/Sub-Apostolic House-Church Christianity), developed alongside the companion Source Registry per Framework V7.4 Step 2.</w:t>
      </w:r>
    </w:p>
    <w:p>
      <w:pPr>
        <w:numPr>
          <w:ilvl w:val="0"/>
          <w:numId w:val="1010"/>
        </w:numPr>
      </w:pPr>
      <w:r>
        <w:rPr>
          <w:b/>
        </w:rPr>
        <w:t xml:space="preserve">Round 1 review outcome:</w:t>
      </w:r>
      <w:r>
        <w:t xml:space="preserve"> </w:t>
      </w:r>
      <w:r>
        <w:t xml:space="preserve">independent reviewer found the narrative text factually accurate on every spot-checked claim, with Doc_01’s findings carried forward faithfully — no revision needed to the narrative. The companion Source Registry, however, failed the document’s own checkpoint rule (</w:t>
      </w:r>
      <w:r>
        <w:t xml:space="preserve">“</w:t>
      </w:r>
      <w:r>
        <w:t xml:space="preserve">Doc_02 may not name a source in support of a specific claim unless that source has a corresponding Registry row</w:t>
      </w:r>
      <w:r>
        <w:t xml:space="preserve">”</w:t>
      </w:r>
      <w:r>
        <w:t xml:space="preserve">): at least 15 named sources supporting specific claims (the Ignatius authenticity sequence, Bryennios/Leon, Minns &amp; Parvis, McGowan, Ferguson, De Rossi/Wilpert, Harrison/Hartog/Berding, Eusebius, Kirsopp Lake, Simonides, the Chrestus-debate scholars, Jones/Bremmer, Tertullian) had no registry row. The Priority Review Queue’s flagging logic also didn’t match its own stated rule (P11, S17 flagged despite being above the stated confidence threshold; P13, S06 Contested and vivid but unflagged), and S26 (Chadwick) was internally self-contradictory (wholesale Excluded while partially Licensed For Native use).</w:t>
      </w:r>
    </w:p>
    <w:p>
      <w:pPr>
        <w:numPr>
          <w:ilvl w:val="0"/>
          <w:numId w:val="1010"/>
        </w:numPr>
      </w:pPr>
      <w:r>
        <w:rPr>
          <w:b/>
        </w:rPr>
        <w:t xml:space="preserve">Fixes applied:</w:t>
      </w:r>
      <w:r>
        <w:t xml:space="preserve"> </w:t>
      </w:r>
      <w:r>
        <w:t xml:space="preserve">17 new Registry rows added (P14-P15, S41-S55, including one additional gap — Paul Bradshaw — caught during the fix pass, not by the round-1 reviewer, since Bradshaw’s own</w:t>
      </w:r>
      <w:r>
        <w:t xml:space="preserve"> </w:t>
      </w:r>
      <w:r>
        <w:t xml:space="preserve">“</w:t>
      </w:r>
      <w:r>
        <w:t xml:space="preserve">diversity thesis</w:t>
      </w:r>
      <w:r>
        <w:t xml:space="preserve">”</w:t>
      </w:r>
      <w:r>
        <w:t xml:space="preserve"> </w:t>
      </w:r>
      <w:r>
        <w:t xml:space="preserve">is cited repeatedly in this document’s own liturgical calibration without a row); the Priority Review Flag rule was made explicit as two distinct, auditable criteria (Contested/Inferential-Thin supporting a vivid claim, OR Documented/Widely-Accepted carrying a distinct downstream-misuse risk), with P13 and S06 corrected to Yes and the P11/S17 flags re-justified under the second criterion rather than removed; S26 was split into S26 (Excluded, Chadwick’s 4th-6th century flagship work) and S55 (Native, his genuinely relevant Justin/Clement/Origen scholarship). Registry total: 70 rows (up from 53), 32 flagged for priority review (up from 21, reflecting both the corrected flags and the new rows’ own flags).</w:t>
      </w:r>
    </w:p>
    <w:p>
      <w:pPr>
        <w:numPr>
          <w:ilvl w:val="0"/>
          <w:numId w:val="1010"/>
        </w:numPr>
      </w:pPr>
      <w:r>
        <w:rPr>
          <w:b/>
        </w:rPr>
        <w:t xml:space="preserve">Round 2 review outcome:</w:t>
      </w:r>
      <w:r>
        <w:t xml:space="preserve"> </w:t>
      </w:r>
      <w:r>
        <w:t xml:space="preserve">independent reviewer verified the round-1 fixes were genuine (all 15 previously-missing sources now traceable to real, specific Registry rows, confirmed via independent web-search spot-check of the Bryennios/Leon and Ussher–Vossius–Daillé–Pearson entries) and confirmed the Paul Bradshaw self-caught addition was necessary and correctly done. It found three further problems, none affecting the narrative: (1) a self-caught-but-unresolved hedge in S54’s own Notes (</w:t>
      </w:r>
      <w:r>
        <w:t xml:space="preserve">“</w:t>
      </w:r>
      <w:r>
        <w:t xml:space="preserve">possible same-name risk… pending confirmation</w:t>
      </w:r>
      <w:r>
        <w:t xml:space="preserve">”</w:t>
      </w:r>
      <w:r>
        <w:t xml:space="preserve">) between the Christopher P. Jones of S54 (Lucian/Peregrinus) and the Christopher Jones of S34 (Shaw/Jones Tacitus debate) — independently confirmed by the reviewer via web search to be the same Harvard classicist, left unresolved rather than closed; (2) the Priority Review Queue’s two-criterion rule, while conceptually sound, had only been run against the two rows under prior scrutiny (P11, S17) rather than the full Native row set — spot-checking turned up comparable unflagged risk profiles at S16, S29, S30, and S40; (3) the S26/S55 split resolved the logical contradiction but created a citation-routing hazard (a builder scanning by name could land on S26, read</w:t>
      </w:r>
      <w:r>
        <w:t xml:space="preserve"> </w:t>
      </w:r>
      <w:r>
        <w:t xml:space="preserve">“</w:t>
      </w:r>
      <w:r>
        <w:t xml:space="preserve">Excluded, NONE,</w:t>
      </w:r>
      <w:r>
        <w:t xml:space="preserve">”</w:t>
      </w:r>
      <w:r>
        <w:t xml:space="preserve"> </w:t>
      </w:r>
      <w:r>
        <w:t xml:space="preserve">and miss S55 entirely). A factual spot-check of S41, S42, and S45 confirmed the underlying claims accurate, but flagged S45’s citation as too thin to rule out conflating the Hermas-bearing Athos manuscript (Grigoriou 96) with an unrelated, similarly-named Gospels manuscript (Codex Athous Lavrensis / GA 044). Reviewer verdict: narrow third round needed, not a wholesale redo.</w:t>
      </w:r>
    </w:p>
    <w:p>
      <w:pPr>
        <w:numPr>
          <w:ilvl w:val="0"/>
          <w:numId w:val="1010"/>
        </w:numPr>
      </w:pPr>
      <w:r>
        <w:rPr>
          <w:b/>
        </w:rPr>
        <w:t xml:space="preserve">Round 3 fixes applied:</w:t>
      </w:r>
      <w:r>
        <w:t xml:space="preserve"> </w:t>
      </w:r>
      <w:r>
        <w:t xml:space="preserve">S54/S34 Jones collision resolved definitively (both rows’ Notes rewritten to state plainly that this is the same person, cross-referenced each other, and S54 given its own Priority Review Flag under the same disambiguation-risk logic already used for the Lampe/Lampe split); the Priority Review Queue’s flagging rule was re-run against every Native and Excluded row using an auditable version of the two-part test (flag if the row’s own Notes field discloses a specific representativeness, genre, dating, or demographic-estimate caveat, in addition to the original Contested-plus-vivid-claim test) — twelve further rows flagged (P06, P10, P15, S16, S28, S29, S30, S37, S38, S40, S45, S51), each with its own stated justification, and the refined rule itself written into the Priority Review Queue sheet’s own title-note cell so it is auditable without reading this log; S26’s Author/Voice field now carries its own forward-pointer to S55 (not buried only in Exclusion Reason), so a name-based scan cannot miss the split; S45 disambiguated explicitly (Grigoriou 96 vs. the unrelated GA 044) and kept flagged given how load-bearing it is for Hermas’s transmission integrity. Registry total: still 70 rows; 45 flagged for priority review (up from 32).</w:t>
      </w:r>
      <w:r>
        <w:t xml:space="preserve"> </w:t>
      </w:r>
      <w:r>
        <w:rPr>
          <w:rStyle w:val="VerbatimChar"/>
        </w:rPr>
        <w:t xml:space="preserve">recalc.py</w:t>
      </w:r>
      <w:r>
        <w:t xml:space="preserve"> </w:t>
      </w:r>
      <w:r>
        <w:t xml:space="preserve">confirms 0 errors post-fix.</w:t>
      </w:r>
    </w:p>
    <w:p>
      <w:pPr>
        <w:numPr>
          <w:ilvl w:val="0"/>
          <w:numId w:val="1010"/>
        </w:numPr>
      </w:pPr>
      <w:r>
        <w:rPr>
          <w:b/>
        </w:rPr>
        <w:t xml:space="preserve">Round 3 review outcome:</w:t>
      </w:r>
      <w:r>
        <w:t xml:space="preserve"> </w:t>
      </w:r>
      <w:r>
        <w:t xml:space="preserve">independent reviewer verified all four round-2 items were substantively closed, not papered over: the S54/S34 Christopher P. Jones collision was fully resolved (plain mutual confirmation, bidirectional cross-reference, flag asymmetry corrected); the Priority Queue’s re-applied two-criterion rule was found genuinely more rigorous (demonstrably reproduced round 2’s own four named gaps — S16, S29, S30, S40 — plus eight more, each individually justified, with the rule itself now written into the sheet’s own title-note cell rather than living only in this log); the S26/S55 routing hazard was closed by the S26 forward-pointer, and inspection showed S55 already carried a working reverse-pointer in its own Licensed For/Notes fields; and the Grigoriou 96 / GA 044 manuscript disambiguation was independently verified via web search as accurate (different monastery, different century, unrelated content-family). Verdict: ready to finalize; no fourth review round required. Two cosmetic residues were noted (S28’s justification leaned on analogy to S29 rather than a self-contained rule application; GA 044’s content scope was under-described as</w:t>
      </w:r>
      <w:r>
        <w:t xml:space="preserve"> </w:t>
      </w:r>
      <w:r>
        <w:t xml:space="preserve">“</w:t>
      </w:r>
      <w:r>
        <w:t xml:space="preserve">Gospels</w:t>
      </w:r>
      <w:r>
        <w:t xml:space="preserve">”</w:t>
      </w:r>
      <w:r>
        <w:t xml:space="preserve"> </w:t>
      </w:r>
      <w:r>
        <w:t xml:space="preserve">only when it also contains Acts and the Pauline epistles) — both applied directly per the build-cycle’s cosmetic-fix rule, no fresh review triggered.</w:t>
      </w:r>
    </w:p>
    <w:p>
      <w:pPr>
        <w:numPr>
          <w:ilvl w:val="0"/>
          <w:numId w:val="1010"/>
        </w:numPr>
      </w:pPr>
      <w:r>
        <w:rPr>
          <w:b/>
        </w:rPr>
        <w:t xml:space="preserve">Status after round 3:</w:t>
      </w:r>
      <w:r>
        <w:t xml:space="preserve"> </w:t>
      </w:r>
      <w:r>
        <w:t xml:space="preserve">FINALIZED, revision count 2. Registry: 70 rows, 45 flagged for priority review, 0 recalculation errors.</w:t>
      </w:r>
    </w:p>
    <w:p>
      <w:pPr>
        <w:numPr>
          <w:ilvl w:val="0"/>
          <w:numId w:val="1010"/>
        </w:numPr>
      </w:pPr>
      <w:r>
        <w:rPr>
          <w:b/>
        </w:rPr>
        <w:t xml:space="preserve">Round 4 — reopened following a fresh external review pass.</w:t>
      </w:r>
      <w:r>
        <w:t xml:space="preserve"> </w:t>
      </w:r>
      <w:r>
        <w:t xml:space="preserve">The review claimed several substantial gaps: missing Registry rows for Bradshaw, Ferguson, McGowan, Minns &amp; Parvis, Kirsopp Lake, Harrison/Hartog/Berding, Bremmer, and Tertullian (plus the Chrestus-identification cluster: Levick, Solin, Dunn, Brown/Meier, Smallwood); an invisible Bagnall/Egypt (S27) dependency; a P12/P13 Priority Review Queue inconsistency; an unresolved S26 hybrid; and an under-specified S18 Licensed For field. Direct verification against the actual current Registry and narrative found: the scholar-row gaps were already resolved in rounds 1-3 (corrected row mapping, see Round 5 below); the P12/P13 inconsistency was already resolved; the S26 hybrid was already structurally resolved via the round-2 S26/S55 split. Two items were genuinely still open and were fixed this pass: the S27/Bagnall dependency was surfaced in Section 10; S18’s Licensed For field was tightened.</w:t>
      </w:r>
    </w:p>
    <w:p>
      <w:pPr>
        <w:numPr>
          <w:ilvl w:val="0"/>
          <w:numId w:val="1010"/>
        </w:numPr>
      </w:pPr>
      <w:r>
        <w:rPr>
          <w:b/>
        </w:rPr>
        <w:t xml:space="preserve">Round 4 review outcome:</w:t>
      </w:r>
      <w:r>
        <w:t xml:space="preserve"> </w:t>
      </w:r>
      <w:r>
        <w:t xml:space="preserve">independent reviewer confirmed the Bagnall/S27 surfacing and S18 tightening were genuine, good-faith improvements needing one refinement each, and confirmed no scholar was entirely unregistered — but found three further problems: (1) this document’s own Round 4 log entry misstated the Registry row mapping (writing</w:t>
      </w:r>
      <w:r>
        <w:t xml:space="preserve"> </w:t>
      </w:r>
      <w:r>
        <w:t xml:space="preserve">“</w:t>
      </w:r>
      <w:r>
        <w:t xml:space="preserve">Bradshaw S49/S50, Ferguson S48/S49, McGowan S48/S49,</w:t>
      </w:r>
      <w:r>
        <w:t xml:space="preserve">”</w:t>
      </w:r>
      <w:r>
        <w:t xml:space="preserve"> </w:t>
      </w:r>
      <w:r>
        <w:t xml:space="preserve">which reads as three scholars overlapping on two rows) — checked directly against the actual Registry, this was purely an error in how this log abbreviated the mapping, not a defect in the Registry itself: the correct mapping is S48 = McGowan, S49 = Ferguson, S50 = Bradshaw, three distinct rows, no overlap. The reviewer could not distinguish a log-writing error from a real Registry defect without file access, and correctly declined to assume either way — flagging it as unverifiable from the document alone and therefore blocking finalization until confirmed. (2) The Polycarp manuscript count in Section 1.4 (</w:t>
      </w:r>
      <w:r>
        <w:t xml:space="preserve">“</w:t>
      </w:r>
      <w:r>
        <w:t xml:space="preserve">12-15 by the current Helsinki critical edition’s count</w:t>
      </w:r>
      <w:r>
        <w:t xml:space="preserve">”</w:t>
      </w:r>
      <w:r>
        <w:t xml:space="preserve">) could not be confirmed against external sources, which converge on 8-9 or 10-11 for older manuscript catalogs. (3) The Bagnall/S27 paragraph named</w:t>
      </w:r>
      <w:r>
        <w:t xml:space="preserve"> </w:t>
      </w:r>
      <w:r>
        <w:t xml:space="preserve">“</w:t>
      </w:r>
      <w:r>
        <w:t xml:space="preserve">one source, Contested</w:t>
      </w:r>
      <w:r>
        <w:t xml:space="preserve">”</w:t>
      </w:r>
      <w:r>
        <w:t xml:space="preserve"> </w:t>
      </w:r>
      <w:r>
        <w:t xml:space="preserve">without specifying what makes it Contested, understating a compound risk. Two cosmetic items were also flagged: the Abercius</w:t>
      </w:r>
      <w:r>
        <w:t xml:space="preserve"> </w:t>
      </w:r>
      <w:r>
        <w:t xml:space="preserve">“</w:t>
      </w:r>
      <w:r>
        <w:t xml:space="preserve">disputed whether even Christian</w:t>
      </w:r>
      <w:r>
        <w:t xml:space="preserve">”</w:t>
      </w:r>
      <w:r>
        <w:t xml:space="preserve"> </w:t>
      </w:r>
      <w:r>
        <w:t xml:space="preserve">hedge reads more skeptical than current scholarly consensus, and the Lucian-Tertullian corroboration move in Section 6 may be this document’s own synthesis rather than a sourced claim. Verdict: substantial revision required, not ready to finalize.</w:t>
      </w:r>
    </w:p>
    <w:p>
      <w:pPr>
        <w:numPr>
          <w:ilvl w:val="0"/>
          <w:numId w:val="1010"/>
        </w:numPr>
      </w:pPr>
      <w:r>
        <w:rPr>
          <w:b/>
        </w:rPr>
        <w:t xml:space="preserve">Round 5 fixes applied:</w:t>
      </w:r>
      <w:r>
        <w:t xml:space="preserve"> </w:t>
      </w:r>
      <w:r>
        <w:t xml:space="preserve">the S48/S49/S50 mapping was confirmed directly against the actual Registry file (not reconstructed from memory) — McGowan=S48, Ferguson=S49, Bradshaw=S50, three clean, distinct rows; the Round 4 log entry above is corrected to state this plainly rather than the ambiguous shorthand that triggered the reviewer’s concern. The Harrison/Hartog/Berding (S44) and Chrestus-cluster (S52/S53) rows were confirmed as a deliberate</w:t>
      </w:r>
      <w:r>
        <w:t xml:space="preserve"> </w:t>
      </w:r>
      <w:r>
        <w:t xml:space="preserve">“</w:t>
      </w:r>
      <w:r>
        <w:t xml:space="preserve">position-cluster</w:t>
      </w:r>
      <w:r>
        <w:t xml:space="preserve">”</w:t>
      </w:r>
      <w:r>
        <w:t xml:space="preserve"> </w:t>
      </w:r>
      <w:r>
        <w:t xml:space="preserve">registry convention (one row per shared scholarly position within a single named debate, licensed for one specific claim) rather than an omission — this convention is now stated explicitly in each of those rows’ own Notes field, not left to be inferred. The Polycarp manuscript count was checked directly against the University of Helsinki’s own HULCE critical-edition manuscripts page (Myllykoski, 2022-24): the current, authoritative count is fifteen Greek manuscripts (six in family alpha, nine in family beta, all descending from one Renaissance-era archetype) — the older</w:t>
      </w:r>
      <w:r>
        <w:t xml:space="preserve"> </w:t>
      </w:r>
      <w:r>
        <w:t xml:space="preserve">“</w:t>
      </w:r>
      <w:r>
        <w:t xml:space="preserve">8-9</w:t>
      </w:r>
      <w:r>
        <w:t xml:space="preserve">”</w:t>
      </w:r>
      <w:r>
        <w:t xml:space="preserve">/</w:t>
      </w:r>
      <w:r>
        <w:t xml:space="preserve">“</w:t>
      </w:r>
      <w:r>
        <w:t xml:space="preserve">10-11</w:t>
      </w:r>
      <w:r>
        <w:t xml:space="preserve">”</w:t>
      </w:r>
      <w:r>
        <w:t xml:space="preserve"> </w:t>
      </w:r>
      <w:r>
        <w:t xml:space="preserve">figures the reviewer found reflect pre-HULCE-project general reference works, not the current specialist edition. Section 1.4 corrected from the hedged</w:t>
      </w:r>
      <w:r>
        <w:t xml:space="preserve"> </w:t>
      </w:r>
      <w:r>
        <w:t xml:space="preserve">“</w:t>
      </w:r>
      <w:r>
        <w:t xml:space="preserve">12-15</w:t>
      </w:r>
      <w:r>
        <w:t xml:space="preserve">”</w:t>
      </w:r>
      <w:r>
        <w:t xml:space="preserve"> </w:t>
      </w:r>
      <w:r>
        <w:t xml:space="preserve">to the precise, sourced</w:t>
      </w:r>
      <w:r>
        <w:t xml:space="preserve"> </w:t>
      </w:r>
      <w:r>
        <w:t xml:space="preserve">“</w:t>
      </w:r>
      <w:r>
        <w:t xml:space="preserve">fifteen.</w:t>
      </w:r>
      <w:r>
        <w:t xml:space="preserve">”</w:t>
      </w:r>
      <w:r>
        <w:t xml:space="preserve"> </w:t>
      </w:r>
      <w:r>
        <w:t xml:space="preserve">The Bagnall/S27 paragraph in Section 10 was sharpened to name the specific mechanism (a demographic/statistical model of expected Christian-papyrus survival used to argue for later redating of several early-2nd-century-dated papyri) as the actual locus of scholarly dispute, not merely</w:t>
      </w:r>
      <w:r>
        <w:t xml:space="preserve"> </w:t>
      </w:r>
      <w:r>
        <w:t xml:space="preserve">“</w:t>
      </w:r>
      <w:r>
        <w:t xml:space="preserve">one monograph.</w:t>
      </w:r>
      <w:r>
        <w:t xml:space="preserve">”</w:t>
      </w:r>
      <w:r>
        <w:t xml:space="preserve"> </w:t>
      </w:r>
      <w:r>
        <w:t xml:space="preserve">S18 was further revised to state plainly that MacDonald is not load-bearing for any specific claim in this document, rather than merely naming which two passages cite her. Cosmetic fixes applied directly: the Abercius hedge was recalibrated to reflect that current scholarship treats the Cybele/Attis alternative readings as largely refuted; the Lucian-Tertullian triangulation in Section 6 was explicitly flagged as this document’s own synthesis rather than an attributed scholarly claim; the McGowan/Bradshaw hedge in Section 4 was reordered so the Contested/representativeness caveat is not separable from the claim it qualifies.</w:t>
      </w:r>
    </w:p>
    <w:p>
      <w:pPr>
        <w:numPr>
          <w:ilvl w:val="0"/>
          <w:numId w:val="1010"/>
        </w:numPr>
      </w:pPr>
      <w:r>
        <w:rPr>
          <w:b/>
        </w:rPr>
        <w:t xml:space="preserve">Round 5 review outcome:</w:t>
      </w:r>
      <w:r>
        <w:t xml:space="preserve"> </w:t>
      </w:r>
      <w:r>
        <w:t xml:space="preserve">independent reviewer independently verified the Polycarp count (</w:t>
      </w:r>
      <w:r>
        <w:t xml:space="preserve">“</w:t>
      </w:r>
      <w:r>
        <w:t xml:space="preserve">fifteen</w:t>
      </w:r>
      <w:r>
        <w:t xml:space="preserve">”</w:t>
      </w:r>
      <w:r>
        <w:t xml:space="preserve"> </w:t>
      </w:r>
      <w:r>
        <w:t xml:space="preserve">directly confirmed against the live HULCE manuscripts page) and the Bagnall demographic-model mechanism (confirmed via Bryn Mawr Classical Review) as accurate; confirmed the Registry row-ID fix and the S44/S52-S53 position-cluster convention as procedurally sound; confirmed the Sessa/Dura-Europos, Abercius, Tacitus/Shaw-Jones, and Suetonius/Chrestus claims as accurate and well-calibrated on independent check. It found one substantive gap (the</w:t>
      </w:r>
      <w:r>
        <w:t xml:space="preserve"> </w:t>
      </w:r>
      <w:r>
        <w:t xml:space="preserve">“</w:t>
      </w:r>
      <w:r>
        <w:t xml:space="preserve">fifteen</w:t>
      </w:r>
      <w:r>
        <w:t xml:space="preserve">”</w:t>
      </w:r>
      <w:r>
        <w:t xml:space="preserve"> </w:t>
      </w:r>
      <w:r>
        <w:t xml:space="preserve">Polycarp count, while accurate, needed a companion clause acknowledging Hartog’s 2013 Oxford edition reports</w:t>
      </w:r>
      <w:r>
        <w:t xml:space="preserve"> </w:t>
      </w:r>
      <w:r>
        <w:t xml:space="preserve">“</w:t>
      </w:r>
      <w:r>
        <w:t xml:space="preserve">eight</w:t>
      </w:r>
      <w:r>
        <w:t xml:space="preserve">”</w:t>
      </w:r>
      <w:r>
        <w:t xml:space="preserve"> </w:t>
      </w:r>
      <w:r>
        <w:t xml:space="preserve">under a different, stemmatically-filtered counting convention, since a reader cross-checking that edition would otherwise hit an unexplained apparent contradiction) and one new observation (the</w:t>
      </w:r>
      <w:r>
        <w:t xml:space="preserve"> </w:t>
      </w:r>
      <w:r>
        <w:t xml:space="preserve">“</w:t>
      </w:r>
      <w:r>
        <w:t xml:space="preserve">Dominant Modern Reconstruction</w:t>
      </w:r>
      <w:r>
        <w:t xml:space="preserve">”</w:t>
      </w:r>
      <w:r>
        <w:t xml:space="preserve"> </w:t>
      </w:r>
      <w:r>
        <w:t xml:space="preserve">confidence tier is defined in this document’s own vocabulary but was never actually used anywhere in it, including in a place — Section 4’s diversity-first summary — that reads like exactly the claim that tier exists for). The reviewer explicitly characterized both as</w:t>
      </w:r>
      <w:r>
        <w:t xml:space="preserve"> </w:t>
      </w:r>
      <w:r>
        <w:t xml:space="preserve">“</w:t>
      </w:r>
      <w:r>
        <w:t xml:space="preserve">a small, targeted revision… not a full additional round</w:t>
      </w:r>
      <w:r>
        <w:t xml:space="preserve">”</w:t>
      </w:r>
      <w:r>
        <w:t xml:space="preserve"> </w:t>
      </w:r>
      <w:r>
        <w:t xml:space="preserve">rather than a substantial-revision finding requiring a fresh review cycle.</w:t>
      </w:r>
    </w:p>
    <w:p>
      <w:pPr>
        <w:numPr>
          <w:ilvl w:val="0"/>
          <w:numId w:val="1010"/>
        </w:numPr>
      </w:pPr>
      <w:r>
        <w:rPr>
          <w:b/>
        </w:rPr>
        <w:t xml:space="preserve">Round 5 fixes applied directly, no further review round triggered per the reviewer’s own explicit characterization:</w:t>
      </w:r>
      <w:r>
        <w:t xml:space="preserve"> </w:t>
      </w:r>
      <w:r>
        <w:t xml:space="preserve">added the Hartog-2013-convention-difference clause to Section 1.4’s Polycarp manuscript count; added an explicit</w:t>
      </w:r>
      <w:r>
        <w:t xml:space="preserve"> </w:t>
      </w:r>
      <w:r>
        <w:t xml:space="preserve">“</w:t>
      </w:r>
      <w:r>
        <w:t xml:space="preserve">Dominant Modern Reconstruction</w:t>
      </w:r>
      <w:r>
        <w:t xml:space="preserve">”</w:t>
      </w:r>
      <w:r>
        <w:t xml:space="preserve"> </w:t>
      </w:r>
      <w:r>
        <w:t xml:space="preserve">confidence tag to Section 4’s diversity-first summary sentence, with a note scoping it to the overall framing choice rather than every sub-claim beneath it (which retain their own separate Contested/Inferential-Thin tags as before).</w:t>
      </w:r>
    </w:p>
    <w:p>
      <w:pPr>
        <w:numPr>
          <w:ilvl w:val="0"/>
          <w:numId w:val="1010"/>
        </w:numPr>
      </w:pPr>
      <w:r>
        <w:rPr>
          <w:b/>
        </w:rPr>
        <w:t xml:space="preserve">Reopened after finalization — process-integrity correction, not a routine round:</w:t>
      </w:r>
      <w:r>
        <w:t xml:space="preserve"> </w:t>
      </w:r>
      <w:r>
        <w:t xml:space="preserve">the project lead flagged that this document’s own finalization record, like Doc_05’s and Doc_06’s, was never checked via a review saved as its own standalone file, and separately, a cold review of downstream Doc_06 surfaced a genuine sourcing gap traceable to this document: Section 4’s discussion of the</w:t>
      </w:r>
      <w:r>
        <w:t xml:space="preserve"> </w:t>
      </w:r>
      <w:r>
        <w:t xml:space="preserve">“</w:t>
      </w:r>
      <w:r>
        <w:t xml:space="preserve">agape/love-feast</w:t>
      </w:r>
      <w:r>
        <w:t xml:space="preserve">”</w:t>
      </w:r>
      <w:r>
        <w:t xml:space="preserve"> </w:t>
      </w:r>
      <w:r>
        <w:t xml:space="preserve">label (in connection with Pliny’s letter) never noted that Ignatius’s</w:t>
      </w:r>
      <w:r>
        <w:t xml:space="preserve"> </w:t>
      </w:r>
      <w:r>
        <w:rPr>
          <w:i/>
        </w:rPr>
        <w:t xml:space="preserve">Smyrnaeans</w:t>
      </w:r>
      <w:r>
        <w:t xml:space="preserve"> </w:t>
      </w:r>
      <w:r>
        <w:t xml:space="preserve">8 — already cited in this same section for its</w:t>
      </w:r>
      <w:r>
        <w:t xml:space="preserve"> </w:t>
      </w:r>
      <w:r>
        <w:t xml:space="preserve">“</w:t>
      </w:r>
      <w:r>
        <w:t xml:space="preserve">one eucharist</w:t>
      </w:r>
      <w:r>
        <w:t xml:space="preserve">”</w:t>
      </w:r>
      <w:r>
        <w:t xml:space="preserve"> </w:t>
      </w:r>
      <w:r>
        <w:t xml:space="preserve">clause — contains an inside-voice use of the term</w:t>
      </w:r>
      <w:r>
        <w:t xml:space="preserve"> </w:t>
      </w:r>
      <w:r>
        <w:t xml:space="preserve">“</w:t>
      </w:r>
      <w:r>
        <w:t xml:space="preserve">love-feast</w:t>
      </w:r>
      <w:r>
        <w:t xml:space="preserve">”</w:t>
      </w:r>
      <w:r>
        <w:t xml:space="preserve"> </w:t>
      </w:r>
      <w:r>
        <w:t xml:space="preserve">itself, in the same chapter. This did not make this document’s own claims false (the Pliny-meal-identity question it discusses remains genuinely unresolved), but its silence on the Ignatius citation allowed Doc_03 to build a stronger, inaccurate claim downstream (</w:t>
      </w:r>
      <w:r>
        <w:t xml:space="preserve">“</w:t>
      </w:r>
      <w:r>
        <w:t xml:space="preserve">not primary-source-anchored at all</w:t>
      </w:r>
      <w:r>
        <w:t xml:space="preserve">”</w:t>
      </w:r>
      <w:r>
        <w:t xml:space="preserve">).</w:t>
      </w:r>
    </w:p>
    <w:p>
      <w:pPr>
        <w:numPr>
          <w:ilvl w:val="0"/>
          <w:numId w:val="1010"/>
        </w:numPr>
      </w:pPr>
      <w:r>
        <w:rPr>
          <w:b/>
        </w:rPr>
        <w:t xml:space="preserve">Fix applied:</w:t>
      </w:r>
      <w:r>
        <w:t xml:space="preserve"> </w:t>
      </w:r>
      <w:r>
        <w:t xml:space="preserve">Section 4 corrected to add the Ignatius</w:t>
      </w:r>
      <w:r>
        <w:t xml:space="preserve"> </w:t>
      </w:r>
      <w:r>
        <w:rPr>
          <w:i/>
        </w:rPr>
        <w:t xml:space="preserve">Smyrnaeans</w:t>
      </w:r>
      <w:r>
        <w:t xml:space="preserve"> </w:t>
      </w:r>
      <w:r>
        <w:t xml:space="preserve">8 love-feast citation (web-verified against Roberts-Donaldson/ANF), stating plainly what it does and does not establish (the label has genuine primary-source grounding somewhere in this world’s evidentiary base; this does not resolve whether Ignatius’s practice and Pliny’s meal are the same practice). Source Registry’s P03 row (Ignatius’s Letters)</w:t>
      </w:r>
      <w:r>
        <w:t xml:space="preserve"> </w:t>
      </w:r>
      <w:r>
        <w:t xml:space="preserve">“</w:t>
      </w:r>
      <w:r>
        <w:t xml:space="preserve">Licensed For</w:t>
      </w:r>
      <w:r>
        <w:t xml:space="preserve">”</w:t>
      </w:r>
      <w:r>
        <w:t xml:space="preserve"> </w:t>
      </w:r>
      <w:r>
        <w:t xml:space="preserve">field updated to include this specific clause alongside its existing</w:t>
      </w:r>
      <w:r>
        <w:t xml:space="preserve"> </w:t>
      </w:r>
      <w:r>
        <w:t xml:space="preserve">“</w:t>
      </w:r>
      <w:r>
        <w:t xml:space="preserve">one eucharist</w:t>
      </w:r>
      <w:r>
        <w:t xml:space="preserve">”</w:t>
      </w:r>
      <w:r>
        <w:t xml:space="preserve"> </w:t>
      </w:r>
      <w:r>
        <w:t xml:space="preserve">licensing.</w:t>
      </w:r>
    </w:p>
    <w:p>
      <w:pPr>
        <w:numPr>
          <w:ilvl w:val="0"/>
          <w:numId w:val="1010"/>
        </w:numPr>
      </w:pPr>
      <w:r>
        <w:rPr>
          <w:b/>
        </w:rPr>
        <w:t xml:space="preserve">Cold review, round 1 (post-reopening):</w:t>
      </w:r>
      <w:r>
        <w:t xml:space="preserve"> </w:t>
      </w:r>
      <w:r>
        <w:t xml:space="preserve">dispatched with zero visibility into the prior 5-round history, checking this document cold against Doc_01, the Source Registry, and independently-fetched primary/secondary sources. Full review saved at</w:t>
      </w:r>
      <w:r>
        <w:t xml:space="preserve"> </w:t>
      </w:r>
      <w:r>
        <w:rPr>
          <w:rStyle w:val="VerbatimChar"/>
        </w:rPr>
        <w:t xml:space="preserve">doc02_cold_review_round1.md</w:t>
      </w:r>
      <w:r>
        <w:t xml:space="preserve">. Result: SUBSTANTIAL REVISION REQUIRED, narrow in scope. Findings: (1) the just-applied Smyrnaeans 8 love-feast correction was accurate, but it sat immediately adjacent to — and initially repeated — a pre-existing, uncaught misattribution: Section 4’s</w:t>
      </w:r>
      <w:r>
        <w:t xml:space="preserve"> </w:t>
      </w:r>
      <w:r>
        <w:t xml:space="preserve">“</w:t>
      </w:r>
      <w:r>
        <w:t xml:space="preserve">one eucharist</w:t>
      </w:r>
      <w:r>
        <w:t xml:space="preserve">”</w:t>
      </w:r>
      <w:r>
        <w:t xml:space="preserve"> </w:t>
      </w:r>
      <w:r>
        <w:t xml:space="preserve">phrase belongs to</w:t>
      </w:r>
      <w:r>
        <w:t xml:space="preserve"> </w:t>
      </w:r>
      <w:r>
        <w:rPr>
          <w:i/>
        </w:rPr>
        <w:t xml:space="preserve">Philadelphians</w:t>
      </w:r>
      <w:r>
        <w:t xml:space="preserve"> </w:t>
      </w:r>
      <w:r>
        <w:t xml:space="preserve">4, not</w:t>
      </w:r>
      <w:r>
        <w:t xml:space="preserve"> </w:t>
      </w:r>
      <w:r>
        <w:rPr>
          <w:i/>
        </w:rPr>
        <w:t xml:space="preserve">Smyrnaeans</w:t>
      </w:r>
      <w:r>
        <w:t xml:space="preserve"> </w:t>
      </w:r>
      <w:r>
        <w:t xml:space="preserve">8 (Smyrnaeans 8 has its own, different bishop-authorization language); this error predates this revision, survived all five prior claimed review rounds, and Doc_03’s own lexicon-candidate work had already independently corrected it downstream without this document being updated to match; (2) Myllykoski (HULCE), the named sole authority for the</w:t>
      </w:r>
      <w:r>
        <w:t xml:space="preserve"> </w:t>
      </w:r>
      <w:r>
        <w:t xml:space="preserve">“</w:t>
      </w:r>
      <w:r>
        <w:t xml:space="preserve">fifteen manuscripts</w:t>
      </w:r>
      <w:r>
        <w:t xml:space="preserve">”</w:t>
      </w:r>
      <w:r>
        <w:t xml:space="preserve"> </w:t>
      </w:r>
      <w:r>
        <w:t xml:space="preserve">Polycarp count and stemma, had no Registry row despite direct analogues (Bryennios, Kirsopp Lake, Simonides) each having one for an equivalent role; (3) Hartog’s specific</w:t>
      </w:r>
      <w:r>
        <w:t xml:space="preserve"> </w:t>
      </w:r>
      <w:r>
        <w:t xml:space="preserve">“</w:t>
      </w:r>
      <w:r>
        <w:t xml:space="preserve">eight manuscripts</w:t>
      </w:r>
      <w:r>
        <w:t xml:space="preserve">”</w:t>
      </w:r>
      <w:r>
        <w:t xml:space="preserve"> </w:t>
      </w:r>
      <w:r>
        <w:t xml:space="preserve">claim falls outside S44’s own stated scope (S44’s Notes explicitly reserve claims</w:t>
      </w:r>
      <w:r>
        <w:t xml:space="preserve"> </w:t>
      </w:r>
      <w:r>
        <w:t xml:space="preserve">“</w:t>
      </w:r>
      <w:r>
        <w:t xml:space="preserve">specific to an individual scholar’s own argument</w:t>
      </w:r>
      <w:r>
        <w:t xml:space="preserve">”</w:t>
      </w:r>
      <w:r>
        <w:t xml:space="preserve"> </w:t>
      </w:r>
      <w:r>
        <w:t xml:space="preserve">for their own row) and had none. Confirmed accurate on independent re-check: the new Smyrnaeans 8 love-feast quotation itself, the Registry checkpoint rule’s general compliance (10+ spot-checked claims), five independently-verified factual/manuscript claims (Bryennios discovery, Ignatius recension sequence, Polycarp HULCE count/stemma, Eusebius citation location, Abercius date), and overall Registry consistency (70+2 rows, Priority Queue matching). One cosmetic gap noted: Sections 3 and 9 carried no confidence tags, unlike every other section.</w:t>
      </w:r>
    </w:p>
    <w:p>
      <w:pPr>
        <w:numPr>
          <w:ilvl w:val="0"/>
          <w:numId w:val="1010"/>
        </w:numPr>
      </w:pPr>
      <w:r>
        <w:rPr>
          <w:b/>
        </w:rPr>
        <w:t xml:space="preserve">Round 1 fixes applied:</w:t>
      </w:r>
      <w:r>
        <w:t xml:space="preserve"> </w:t>
      </w:r>
      <w:r>
        <w:t xml:space="preserve">the Philadelphians 4 / Smyrnaeans 8 misattribution corrected in both the original Section 4 sentence and the new love-feast correction paragraph, stating explicitly what each letter actually says; Source Registry’s P03 row corrected to match (Licensed For and Notes both updated); two new Registry rows added (S56 for Myllykoski’s HULCE count/stemma, S57 for Hartog’s specific manuscript-count claim, distinct from S44’s shared-debate scope); confidence tags added to Sections 3 and 9.</w:t>
      </w:r>
    </w:p>
    <w:p>
      <w:pPr>
        <w:numPr>
          <w:ilvl w:val="0"/>
          <w:numId w:val="1010"/>
        </w:numPr>
      </w:pPr>
      <w:r>
        <w:rPr>
          <w:b/>
        </w:rPr>
        <w:t xml:space="preserve">Cold review, round 2 (post-round-1-fixes):</w:t>
      </w:r>
      <w:r>
        <w:t xml:space="preserve"> </w:t>
      </w:r>
      <w:r>
        <w:t xml:space="preserve">verified round 1’s three items directly (Philadelphians/Smyrnaeans attribution independently re-confirmed correct in both translation traditions; Registry P03 fields match; S56/S57 well-formed and non-conflicting with S44/S45); did a fresh independent pass checking twelve further claims across Sections 1, 2, 5, 6, 7 against external sources, all confirmed accurate, with no further instance of the</w:t>
      </w:r>
      <w:r>
        <w:t xml:space="preserve"> </w:t>
      </w:r>
      <w:r>
        <w:t xml:space="preserve">“</w:t>
      </w:r>
      <w:r>
        <w:t xml:space="preserve">right source, wrong specific citation</w:t>
      </w:r>
      <w:r>
        <w:t xml:space="preserve">”</w:t>
      </w:r>
      <w:r>
        <w:t xml:space="preserve"> </w:t>
      </w:r>
      <w:r>
        <w:t xml:space="preserve">error class found. Found one genuine new regression: the three derived Registry views (By Confidence Level, By Boundary Status, By Author) had not been regenerated after S56/S57 were added — both rows were invisible in all three cross-reference sheets, confirmed via direct inspection (S48-S55 were correctly present in all three, isolating this as a fresh gap from the S56/S57 addition specifically, not an inherited one). Found one further cosmetic gap: Section 3’s confidence tag (added round 1) covered only the</w:t>
      </w:r>
      <w:r>
        <w:t xml:space="preserve"> </w:t>
      </w:r>
      <w:r>
        <w:t xml:space="preserve">“</w:t>
      </w:r>
      <w:r>
        <w:t xml:space="preserve">what does not exist</w:t>
      </w:r>
      <w:r>
        <w:t xml:space="preserve">”</w:t>
      </w:r>
      <w:r>
        <w:t xml:space="preserve"> </w:t>
      </w:r>
      <w:r>
        <w:t xml:space="preserve">paragraph, not the adjacent</w:t>
      </w:r>
      <w:r>
        <w:t xml:space="preserve"> </w:t>
      </w:r>
      <w:r>
        <w:t xml:space="preserve">“</w:t>
      </w:r>
      <w:r>
        <w:t xml:space="preserve">what exists</w:t>
      </w:r>
      <w:r>
        <w:t xml:space="preserve">”</w:t>
      </w:r>
      <w:r>
        <w:t xml:space="preserve"> </w:t>
      </w:r>
      <w:r>
        <w:t xml:space="preserve">paragraph. Full review saved at</w:t>
      </w:r>
      <w:r>
        <w:t xml:space="preserve"> </w:t>
      </w:r>
      <w:r>
        <w:rPr>
          <w:rStyle w:val="VerbatimChar"/>
        </w:rPr>
        <w:t xml:space="preserve">doc02_cold_review_round2.md</w:t>
      </w:r>
      <w:r>
        <w:t xml:space="preserve">. (The review’s claim that</w:t>
      </w:r>
      <w:r>
        <w:t xml:space="preserve"> </w:t>
      </w:r>
      <w:r>
        <w:rPr>
          <w:rStyle w:val="VerbatimChar"/>
        </w:rPr>
        <w:t xml:space="preserve">recalc.py</w:t>
      </w:r>
      <w:r>
        <w:t xml:space="preserve"> </w:t>
      </w:r>
      <w:r>
        <w:t xml:space="preserve">“</w:t>
      </w:r>
      <w:r>
        <w:t xml:space="preserve">doesn’t exist anywhere in the working directory</w:t>
      </w:r>
      <w:r>
        <w:t xml:space="preserve">”</w:t>
      </w:r>
      <w:r>
        <w:t xml:space="preserve"> </w:t>
      </w:r>
      <w:r>
        <w:t xml:space="preserve">was independently checked and found to be a reviewer search-path artifact — the script lives in the xlsx skill’s own directory, not the world-build working directory; it was run directly and confirmed 0 errors both before and after this round’s fixes.)</w:t>
      </w:r>
    </w:p>
    <w:p>
      <w:pPr>
        <w:numPr>
          <w:ilvl w:val="0"/>
          <w:numId w:val="1010"/>
        </w:numPr>
      </w:pPr>
      <w:r>
        <w:rPr>
          <w:b/>
        </w:rPr>
        <w:t xml:space="preserve">Round 2 fixes applied and independently verified:</w:t>
      </w:r>
      <w:r>
        <w:t xml:space="preserve"> </w:t>
      </w:r>
      <w:r>
        <w:t xml:space="preserve">S56 and S57 added to all three derived views (By Confidence Level: inserted into the existing</w:t>
      </w:r>
      <w:r>
        <w:t xml:space="preserve"> </w:t>
      </w:r>
      <w:r>
        <w:t xml:space="preserve">“</w:t>
      </w:r>
      <w:r>
        <w:t xml:space="preserve">Documented</w:t>
      </w:r>
      <w:r>
        <w:t xml:space="preserve">”</w:t>
      </w:r>
      <w:r>
        <w:t xml:space="preserve"> </w:t>
      </w:r>
      <w:r>
        <w:t xml:space="preserve">group; By Boundary Status: inserted into the existing</w:t>
      </w:r>
      <w:r>
        <w:t xml:space="preserve"> </w:t>
      </w:r>
      <w:r>
        <w:t xml:space="preserve">“</w:t>
      </w:r>
      <w:r>
        <w:t xml:space="preserve">Native</w:t>
      </w:r>
      <w:r>
        <w:t xml:space="preserve">”</w:t>
      </w:r>
      <w:r>
        <w:t xml:space="preserve"> </w:t>
      </w:r>
      <w:r>
        <w:t xml:space="preserve">group; By Author: appended as two new standalone author groups, not alphabetically placed — disclosed here rather than silently left as a minor inconsistency) — confirmed present in all three via direct post-fix inspection. Section 3’s missing confidence tag added to the</w:t>
      </w:r>
      <w:r>
        <w:t xml:space="preserve"> </w:t>
      </w:r>
      <w:r>
        <w:t xml:space="preserve">“</w:t>
      </w:r>
      <w:r>
        <w:t xml:space="preserve">what exists</w:t>
      </w:r>
      <w:r>
        <w:t xml:space="preserve">”</w:t>
      </w:r>
      <w:r>
        <w:t xml:space="preserve"> </w:t>
      </w:r>
      <w:r>
        <w:t xml:space="preserve">paragraph.</w:t>
      </w:r>
      <w:r>
        <w:t xml:space="preserve"> </w:t>
      </w:r>
      <w:r>
        <w:rPr>
          <w:rStyle w:val="VerbatimChar"/>
        </w:rPr>
        <w:t xml:space="preserve">recalc.py</w:t>
      </w:r>
      <w:r>
        <w:t xml:space="preserve"> </w:t>
      </w:r>
      <w:r>
        <w:t xml:space="preserve">confirms 0 formula errors post-fix.</w:t>
      </w:r>
    </w:p>
    <w:p>
      <w:pPr>
        <w:numPr>
          <w:ilvl w:val="0"/>
          <w:numId w:val="1010"/>
        </w:numPr>
      </w:pPr>
      <w:r>
        <w:rPr>
          <w:b/>
        </w:rPr>
        <w:t xml:space="preserve">Independent re-verification, requested by the project lead:</w:t>
      </w:r>
      <w:r>
        <w:t xml:space="preserve"> </w:t>
      </w:r>
      <w:r>
        <w:t xml:space="preserve">the claims in the entry directly above were not trusted on their own say-so and were re-checked from scratch this pass. All three derived sheets (By Confidence Level, By Boundary Status, By Author) were opened directly and confirmed to contain fully-formed S56/S57 rows, matching the format and placement pattern of S48-S55 exactly (By Confidence Level: S56/S57 at rows 40-41, in the Documented group; By Boundary Status: rows 67-68, in the Native group; By Author: rows 214-218, as two standalone author entries for Myyllykoski and Hartog). This specific defect is confirmed resolved, not merely asserted.</w:t>
      </w:r>
      <w:r>
        <w:t xml:space="preserve"> </w:t>
      </w:r>
      <w:r>
        <w:rPr>
          <w:rStyle w:val="VerbatimChar"/>
        </w:rPr>
        <w:t xml:space="preserve">recalc.py</w:t>
      </w:r>
      <w:r>
        <w:t xml:space="preserve"> </w:t>
      </w:r>
      <w:r>
        <w:t xml:space="preserve">was independently located at</w:t>
      </w:r>
      <w:r>
        <w:t xml:space="preserve"> </w:t>
      </w:r>
      <w:r>
        <w:rPr>
          <w:rStyle w:val="VerbatimChar"/>
        </w:rPr>
        <w:t xml:space="preserve">/sessions/keen-eloquent-mendel/mnt/.claude/skills/xlsx/scripts/recalc.py</w:t>
      </w:r>
      <w:r>
        <w:t xml:space="preserve"> </w:t>
      </w:r>
      <w:r>
        <w:t xml:space="preserve">(outside this project’s own working directory, consistent with round 2’s reviewer’s literal search-path finding — the reviewer was not wrong that it wasn’t in the working directory) and was run directly against the current Registry workbook this pass, with this literal output:</w:t>
      </w:r>
      <w:r>
        <w:t xml:space="preserve"> </w:t>
      </w:r>
      <w:r>
        <w:rPr>
          <w:rStyle w:val="VerbatimChar"/>
        </w:rPr>
        <w:t xml:space="preserve">{"status": "success", "total_errors": 0, "total_formulas": 0}</w:t>
      </w:r>
      <w:r>
        <w:t xml:space="preserve">.</w:t>
      </w:r>
      <w:r>
        <w:t xml:space="preserve"> </w:t>
      </w:r>
      <w:r>
        <w:rPr>
          <w:b/>
        </w:rPr>
        <w:t xml:space="preserve">Caveat, disclosed rather than left implicit:</w:t>
      </w:r>
      <w:r>
        <w:t xml:space="preserve"> </w:t>
      </w:r>
      <w:r>
        <w:t xml:space="preserve">this workbook contains zero live Excel formulas anywhere (confirmed by a direct cell-by-cell scan of every sheet) — every value, including every arithmetic figure cited elsewhere in this build (e.g. Registry Flag Density counts), is a static value computed by the Python build scripts, not a spreadsheet formula.</w:t>
      </w:r>
      <w:r>
        <w:t xml:space="preserve"> </w:t>
      </w:r>
      <w:r>
        <w:rPr>
          <w:rStyle w:val="VerbatimChar"/>
        </w:rPr>
        <w:t xml:space="preserve">recalc.py</w:t>
      </w:r>
      <w:r>
        <w:t xml:space="preserve">‘</w:t>
      </w:r>
      <w:r>
        <w:t xml:space="preserve">s</w:t>
      </w:r>
      <w:r>
        <w:t xml:space="preserve"> </w:t>
      </w:r>
      <w:r>
        <w:t xml:space="preserve">“</w:t>
      </w:r>
      <w:r>
        <w:t xml:space="preserve">0 errors</w:t>
      </w:r>
      <w:r>
        <w:t xml:space="preserve">”</w:t>
      </w:r>
      <w:r>
        <w:t xml:space="preserve"> </w:t>
      </w:r>
      <w:r>
        <w:t xml:space="preserve">result confirms the workbook is not formula-corrupted; it is not itself an arithmetic check, and should not be cited as one. The actual arithmetic verification for this project’s figures has come from the independent cold reviews</w:t>
      </w:r>
      <w:r>
        <w:t xml:space="preserve">’</w:t>
      </w:r>
      <w:r>
        <w:t xml:space="preserve"> </w:t>
      </w:r>
      <w:r>
        <w:t xml:space="preserve">own hand-recomputation (e.g. this document’s own round-1/round-2 cold reviews, and</w:t>
      </w:r>
      <w:r>
        <w:t xml:space="preserve"> </w:t>
      </w:r>
      <w:r>
        <w:rPr>
          <w:rStyle w:val="VerbatimChar"/>
        </w:rPr>
        <w:t xml:space="preserve">doc03_cold_review_round1.md</w:t>
      </w:r>
      <w:r>
        <w:t xml:space="preserve"> </w:t>
      </w:r>
      <w:r>
        <w:t xml:space="preserve">Findings 3-4), not from this script — prior and future Document Log language citing</w:t>
      </w:r>
      <w:r>
        <w:t xml:space="preserve"> </w:t>
      </w:r>
      <w:r>
        <w:rPr>
          <w:rStyle w:val="VerbatimChar"/>
        </w:rPr>
        <w:t xml:space="preserve">recalc.py</w:t>
      </w:r>
      <w:r>
        <w:t xml:space="preserve"> </w:t>
      </w:r>
      <w:r>
        <w:t xml:space="preserve">as confirming a figure’s correctness should be read with this caveat.</w:t>
      </w:r>
    </w:p>
    <w:p>
      <w:pPr>
        <w:numPr>
          <w:ilvl w:val="0"/>
          <w:numId w:val="1010"/>
        </w:numPr>
      </w:pPr>
      <w:r>
        <w:rPr>
          <w:b/>
        </w:rPr>
        <w:t xml:space="preserve">Status:</w:t>
      </w:r>
      <w:r>
        <w:t xml:space="preserve"> </w:t>
      </w:r>
      <w:r>
        <w:t xml:space="preserve">FINALIZED — signed off by the project lead (Mark) on 2026-07-07, via explicit confirmation in this build’s conversation record. Two cold-review rounds complete, both saved as standalone files (</w:t>
      </w:r>
      <w:r>
        <w:rPr>
          <w:rStyle w:val="VerbatimChar"/>
        </w:rPr>
        <w:t xml:space="preserve">doc02_cold_review_round1.md</w:t>
      </w:r>
      <w:r>
        <w:t xml:space="preserve">,</w:t>
      </w:r>
      <w:r>
        <w:t xml:space="preserve"> </w:t>
      </w:r>
      <w:r>
        <w:rPr>
          <w:rStyle w:val="VerbatimChar"/>
        </w:rPr>
        <w:t xml:space="preserve">doc02_cold_review_round2.md</w:t>
      </w:r>
      <w:r>
        <w:t xml:space="preserve">), both presented to the project lead in full before any fix was applied. Round 2’s one remaining substantial item (the derived-view regression) was narrow, mechanical, and independently re-verified fixed by direct file inspection rather than a third agent-dispatched round — consistent with this project’s practice of applying and directly verifying small, targeted, non-substantive-to-the-narrative fixes without an open-ended review loop, while still disclosing the verification method rather than asserting it. This entry previously read</w:t>
      </w:r>
      <w:r>
        <w:t xml:space="preserve"> </w:t>
      </w:r>
      <w:r>
        <w:t xml:space="preserve">“</w:t>
      </w:r>
      <w:r>
        <w:t xml:space="preserve">FINALIZED</w:t>
      </w:r>
      <w:r>
        <w:t xml:space="preserve">”</w:t>
      </w:r>
      <w:r>
        <w:t xml:space="preserve"> </w:t>
      </w:r>
      <w:r>
        <w:t xml:space="preserve">— corrected, since clearing review is not the same event as the project lead’s own sign-off, and this document is not authorized to assign itself that status.</w:t>
      </w:r>
    </w:p>
    <w:p>
      <w:pPr>
        <w:numPr>
          <w:ilvl w:val="0"/>
          <w:numId w:val="1010"/>
        </w:numPr>
      </w:pPr>
      <w:r>
        <w:rPr>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
        </w:rPr>
        <w:t xml:space="preserve">Status: FINALIZED.</w:t>
      </w:r>
    </w:p>
    <w:p>
      <w:pPr>
        <w:numPr>
          <w:ilvl w:val="0"/>
          <w:numId w:val="1010"/>
        </w:numPr>
      </w:pPr>
      <w:r>
        <w:rPr>
          <w:b/>
        </w:rPr>
        <w:t xml:space="preserve">Reopened after finalization, narrow — Source Registry gap surfaced during Doc_09 construction.</w:t>
      </w:r>
      <w:r>
        <w:t xml:space="preserve"> </w:t>
      </w:r>
      <w:r>
        <w:t xml:space="preserve">A story-extraction pass conducted while building Doc_09 (Story Inventory) found that the</w:t>
      </w:r>
      <w:r>
        <w:t xml:space="preserve"> </w:t>
      </w:r>
      <w:r>
        <w:rPr>
          <w:i/>
        </w:rPr>
        <w:t xml:space="preserve">Martyrdom of Polycarp</w:t>
      </w:r>
      <w:r>
        <w:t xml:space="preserve"> </w:t>
      </w:r>
      <w:r>
        <w:t xml:space="preserve">— already cited substantively and load-bearingly across Doc_01 (§§9–10), Doc_04 (one of exactly two Strand A data points supporting G04), Doc_05 (§§2.2, 4.1), and Doc_08 (Force 2B-3) — had never received its own Source Registry row, in violation of this document’s own stated checkpoint rule (</w:t>
      </w:r>
      <w:r>
        <w:t xml:space="preserve">“</w:t>
      </w:r>
      <w:r>
        <w:t xml:space="preserve">Doc_02 may not name a source in support of a specific claim unless that source has a corresponding Registry row</w:t>
      </w:r>
      <w:r>
        <w:t xml:space="preserve">”</w:t>
      </w:r>
      <w:r>
        <w:t xml:space="preserve">). This does not change any conclusion in Doc_01–08: the source was already being relied upon; this closes a citation-discipline gap that survived Doc_02’s own five review rounds and two cold reviews without being caught, since none of those passes were specifically checking Doc_04/05/08’s downstream citations against the Registry.</w:t>
      </w:r>
    </w:p>
    <w:p>
      <w:pPr>
        <w:numPr>
          <w:ilvl w:val="0"/>
          <w:numId w:val="1010"/>
        </w:numPr>
      </w:pPr>
      <w:r>
        <w:rPr>
          <w:b/>
        </w:rPr>
        <w:t xml:space="preserve">Fix applied:</w:t>
      </w:r>
      <w:r>
        <w:t xml:space="preserve"> </w:t>
      </w:r>
      <w:r>
        <w:t xml:space="preserve">added Registry row P16 (Martyrdom of Polycarp — Anonymous/Smyrna community; traditional c.155–156 CE, Eusebius’s</w:t>
      </w:r>
      <w:r>
        <w:t xml:space="preserve"> </w:t>
      </w:r>
      <w:r>
        <w:rPr>
          <w:i/>
        </w:rPr>
        <w:t xml:space="preserve">Chronicon</w:t>
      </w:r>
      <w:r>
        <w:t xml:space="preserve"> </w:t>
      </w:r>
      <w:r>
        <w:t xml:space="preserve">dates it 167 CE, concluding chs. 20–22 widely regarded as later redactional additions; Confidence: Contested; Priority Review Flag: Yes) to the main Source Registry sheet and all four derived views (By Confidence Level, By Boundary Status, By Author, Priority Review Queue). Registry total: 73 rows (up from 72), 46 flagged for priority review (up from 45).</w:t>
      </w:r>
    </w:p>
    <w:p>
      <w:pPr>
        <w:numPr>
          <w:ilvl w:val="0"/>
          <w:numId w:val="1010"/>
        </w:numPr>
      </w:pPr>
      <w:r>
        <w:rPr>
          <w:b/>
        </w:rPr>
        <w:t xml:space="preserve">Status:</w:t>
      </w:r>
      <w:r>
        <w:t xml:space="preserve"> </w:t>
      </w:r>
      <w:r>
        <w:t xml:space="preserve">fix applied directly, narrow and mechanical (a missing citation row for an already-relied-upon source, not a change to any claim’s substance) — consistent with this project’s established practice for this severity of finding. Not treated as requiring a fresh independent review round. This document’s own FINALIZED status and the project lead’s sign-off above remain in effect; this is a closed housekeeping correction, not a reopening of the narrative or the sign-off decision itself.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2026-07-08T00:45:41Z</dcterms:created>
  <dcterms:modified xsi:type="dcterms:W3CDTF">2026-07-08T00:45:41Z</dcterms:modified>
</cp:coreProperties>
</file>

<file path=docProps/custom.xml><?xml version="1.0" encoding="utf-8"?>
<Properties xmlns="http://schemas.openxmlformats.org/officeDocument/2006/custom-properties" xmlns:vt="http://schemas.openxmlformats.org/officeDocument/2006/docPropsVTypes"/>
</file>