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8-forces-document"/>
      <w:r>
        <w:t xml:space="preserve">Doc_08 — Forces Document</w:t>
      </w:r>
      <w:bookmarkEnd w:id="20"/>
    </w:p>
    <w:p>
      <w:pPr>
        <w:pStyle w:val="FirstParagraph"/>
      </w:pPr>
      <w:r>
        <w:rPr>
          <w:b/>
        </w:rPr>
        <w:t xml:space="preserve">World #1: Post-Apostolic/Sub-Apostolic House-Church Christianity (c.70–200 CE; Antioch/Syria, Asia Minor, Rome)</w:t>
      </w:r>
    </w:p>
    <w:p>
      <w:pPr>
        <w:pStyle w:val="BodyText"/>
      </w:pPr>
      <w:r>
        <w:rPr>
          <w:b/>
        </w:rPr>
        <w:t xml:space="preserve">World code:</w:t>
      </w:r>
      <w:r>
        <w:t xml:space="preserve"> </w:t>
      </w:r>
      <w:r>
        <w:rPr>
          <w:rStyle w:val="VerbatimChar"/>
        </w:rPr>
        <w:t xml:space="preserve">pahc</w:t>
      </w:r>
    </w:p>
    <w:p>
      <w:pPr>
        <w:pStyle w:val="BodyText"/>
      </w:pPr>
      <w:r>
        <w:rPr>
          <w:b/>
        </w:rPr>
        <w:t xml:space="preserve">Status:</w:t>
      </w:r>
      <w:r>
        <w:t xml:space="preserve"> </w:t>
      </w:r>
      <w:r>
        <w:t xml:space="preserve">APPROVED TO PROCEED — signed off by the project lead (Mark) on 2026-07-07, via explicit confirmation in this build’s conversation record (see Document Log for the exact exchange this interpretation rests on). Cleared its first cold, file-saved, independent review (round 1: verdict SUBSTANTIAL REVISION REQUIRED, narrow in scope — five findings, all fixed directly) and a round-2 independent verification confirming all five fixes landed correctly with no regressions. This document’s APPROVED TO PROCEED status reflects the project lead’s own explicit sign-off, not a self-declaration by this build thread.</w:t>
      </w:r>
    </w:p>
    <w:p>
      <w:pPr>
        <w:pStyle w:val="BodyText"/>
      </w:pPr>
      <w:r>
        <w:rPr>
          <w:b/>
        </w:rPr>
        <w:t xml:space="preserve">Governed by:</w:t>
      </w:r>
      <w:r>
        <w:t xml:space="preserve"> </w:t>
      </w:r>
      <w:r>
        <w:t xml:space="preserve">Forces Framework v1; Constitution Article 22 (Forces Principle); the Forces Document Template (L4), v1.1.</w:t>
      </w:r>
    </w:p>
    <w:p>
      <w:pPr>
        <w:pStyle w:val="BodyText"/>
      </w:pPr>
      <w:r>
        <w:rPr>
          <w:b/>
        </w:rPr>
        <w:t xml:space="preserve">Built from:</w:t>
      </w:r>
      <w:r>
        <w:t xml:space="preserve"> </w:t>
      </w:r>
      <w:r>
        <w:t xml:space="preserve">Doc_01 (finalized, §7 Preliminary Forces Identification), Doc_02 (finalized, §9 Forces Lens Applied to Source Ecology, and §1’s manuscript transmission histories), Doc_03 (finalized, §2.7 Two Ways catechetical material), Doc_04 (finalized, each gravity’s own Forces test and Confidence/Gravity Cross-Check), Doc_05 (finalized, §7 Forces Integration Summary), Doc_07 (finalized, §3 Forces as Integration Lens). No content below is drawn from general period knowledge; every claim traces to a specific section of Doc_01–07.</w:t>
      </w:r>
    </w:p>
    <w:p>
      <w:pPr>
        <w:pStyle w:val="BodyText"/>
      </w:pPr>
      <w:r>
        <w:rPr>
          <w:b/>
        </w:rPr>
        <w:t xml:space="preserve">Confidence vocabulary used throughout:</w:t>
      </w:r>
      <w:r>
        <w:t xml:space="preserve"> </w:t>
      </w:r>
      <w:r>
        <w:t xml:space="preserve">unchanged from Doc_01–07 — Documented / Widely Accepted / Dominant Modern Reconstruction / Contested / Inferential-Thin. The Forces Document Template’s own instruction to use</w:t>
      </w:r>
      <w:r>
        <w:t xml:space="preserve"> </w:t>
      </w:r>
      <w:r>
        <w:t xml:space="preserve">“</w:t>
      </w:r>
      <w:r>
        <w:t xml:space="preserve">the fixed five-level vocabulary</w:t>
      </w:r>
      <w:r>
        <w:t xml:space="preserve">”</w:t>
      </w:r>
      <w:r>
        <w:t xml:space="preserve"> </w:t>
      </w:r>
      <w:r>
        <w:t xml:space="preserve">is satisfied by continuing this world’s own established vocabulary rather than introducing a second one.</w:t>
      </w:r>
    </w:p>
    <w:p>
      <w:r>
        <w:pict>
          <v:rect style="width:0;height:1.5pt" o:hralign="center" o:hrstd="t" o:hr="t"/>
        </w:pict>
      </w:r>
    </w:p>
    <w:p>
      <w:pPr>
        <w:pStyle w:val="Heading2"/>
      </w:pPr>
      <w:bookmarkStart w:id="21" w:name="section-1-world-identification"/>
      <w:r>
        <w:t xml:space="preserve">Section 1 — World Identification</w:t>
      </w:r>
      <w:bookmarkEnd w:id="21"/>
    </w:p>
    <w:p>
      <w:pPr>
        <w:pStyle w:val="FirstParagraph"/>
      </w:pPr>
      <w:r>
        <w:rPr>
          <w:b/>
        </w:rPr>
        <w:t xml:space="preserve">World name:</w:t>
      </w:r>
      <w:r>
        <w:t xml:space="preserve"> </w:t>
      </w:r>
      <w:r>
        <w:t xml:space="preserve">World #1 — Post-Apostolic/Sub-Apostolic House-Church Christianity</w:t>
      </w:r>
    </w:p>
    <w:p>
      <w:pPr>
        <w:pStyle w:val="BodyText"/>
      </w:pPr>
      <w:r>
        <w:rPr>
          <w:b/>
        </w:rPr>
        <w:t xml:space="preserve">World code:</w:t>
      </w:r>
      <w:r>
        <w:t xml:space="preserve"> </w:t>
      </w:r>
      <w:r>
        <w:rPr>
          <w:rStyle w:val="VerbatimChar"/>
        </w:rPr>
        <w:t xml:space="preserve">pahc</w:t>
      </w:r>
    </w:p>
    <w:p>
      <w:pPr>
        <w:pStyle w:val="BodyText"/>
      </w:pPr>
      <w:r>
        <w:rPr>
          <w:b/>
        </w:rPr>
        <w:t xml:space="preserve">Representative name:</w:t>
      </w:r>
      <w:r>
        <w:t xml:space="preserve"> </w:t>
      </w:r>
      <w:r>
        <w:t xml:space="preserve">PENDING — per the template’s own v1.1 note, the Representative is not named until Representative Emergence, the final build step, which occurs after this document. Left blank as instructed; not required for Doc_08 completion.</w:t>
      </w:r>
    </w:p>
    <w:p>
      <w:pPr>
        <w:pStyle w:val="BodyText"/>
      </w:pPr>
      <w:r>
        <w:rPr>
          <w:b/>
        </w:rPr>
        <w:t xml:space="preserve">Doc_08 completion date:</w:t>
      </w:r>
      <w:r>
        <w:t xml:space="preserve"> </w:t>
      </w:r>
      <w:r>
        <w:t xml:space="preserve">PENDING — draft stage, not yet reviewed</w:t>
      </w:r>
    </w:p>
    <w:p>
      <w:pPr>
        <w:pStyle w:val="BodyText"/>
      </w:pPr>
      <w:r>
        <w:rPr>
          <w:b/>
        </w:rPr>
        <w:t xml:space="preserve">Builder:</w:t>
      </w:r>
      <w:r>
        <w:t xml:space="preserve"> </w:t>
      </w:r>
      <w:r>
        <w:t xml:space="preserve">This build thread</w:t>
      </w:r>
    </w:p>
    <w:p>
      <w:pPr>
        <w:pStyle w:val="BodyText"/>
      </w:pPr>
      <w:r>
        <w:rPr>
          <w:b/>
        </w:rPr>
        <w:t xml:space="preserve">Doc_02 (Source Ecology) version this analysis draws from:</w:t>
      </w:r>
      <w:r>
        <w:t xml:space="preserve"> </w:t>
      </w:r>
      <w:r>
        <w:t xml:space="preserve">APPROVED TO PROCEED, signed off by the project lead 2026-07-07 (70 Registry rows, 45 flagged for priority review)</w:t>
      </w:r>
    </w:p>
    <w:p>
      <w:pPr>
        <w:pStyle w:val="BodyText"/>
      </w:pPr>
      <w:r>
        <w:rPr>
          <w:b/>
        </w:rPr>
        <w:t xml:space="preserve">Doc_04 (Historical Gravity) version this analysis draws from:</w:t>
      </w:r>
      <w:r>
        <w:t xml:space="preserve"> </w:t>
      </w:r>
      <w:r>
        <w:t xml:space="preserve">APPROVED TO PROCEED, signed off by the project lead 2026-07-07 (seven candidates tested; two Primary — G02, G07; three Supporting — G01, G03, G04; one Tensional — G05; one did not reach gravity status — G06)</w:t>
      </w:r>
    </w:p>
    <w:p>
      <w:r>
        <w:pict>
          <v:rect style="width:0;height:1.5pt" o:hralign="center" o:hrstd="t" o:hr="t"/>
        </w:pict>
      </w:r>
    </w:p>
    <w:p>
      <w:pPr>
        <w:pStyle w:val="Heading2"/>
      </w:pPr>
      <w:bookmarkStart w:id="22" w:name="X75a0ed980ab94aa16aa2730e8e6a0e998603576"/>
      <w:r>
        <w:t xml:space="preserve">Section 2 — Preliminary Forces Identification</w:t>
      </w:r>
      <w:bookmarkEnd w:id="22"/>
    </w:p>
    <w:p>
      <w:pPr>
        <w:pStyle w:val="FirstParagraph"/>
      </w:pPr>
      <w:r>
        <w:rPr>
          <w:b/>
        </w:rPr>
        <w:t xml:space="preserve">What generated this world:</w:t>
      </w:r>
      <w:r>
        <w:t xml:space="preserve"> </w:t>
      </w:r>
      <w:r>
        <w:t xml:space="preserve">The dispersal of first-generation eyewitness and apostolic authority — through martyrdom under Nero, natural death, and geographic scattering — created an urgent, lived problem: how a translocal movement maintains unity, doctrine, and legitimate authority once its founding eyewitnesses are gone (Doc_01 §7).</w:t>
      </w:r>
    </w:p>
    <w:p>
      <w:pPr>
        <w:pStyle w:val="BodyText"/>
      </w:pPr>
      <w:r>
        <w:rPr>
          <w:b/>
        </w:rPr>
        <w:t xml:space="preserve">What larger world it was embedded in:</w:t>
      </w:r>
      <w:r>
        <w:t xml:space="preserve"> </w:t>
      </w:r>
      <w:r>
        <w:t xml:space="preserve">The Roman imperial Mediterranean — its road and sea infrastructure, its Greek linguistic koine, its voluntary-association (</w:t>
      </w:r>
      <w:r>
        <w:rPr>
          <w:i/>
        </w:rPr>
        <w:t xml:space="preserve">collegia</w:t>
      </w:r>
      <w:r>
        <w:t xml:space="preserve">) social forms, and its intermittent, locally improvised (not yet systematic) suspicion of Christian assembly (Doc_01 §7).</w:t>
      </w:r>
    </w:p>
    <w:p>
      <w:pPr>
        <w:pStyle w:val="BodyText"/>
      </w:pPr>
      <w:r>
        <w:rPr>
          <w:b/>
        </w:rPr>
        <w:t xml:space="preserve">What it was responding to at its origin:</w:t>
      </w:r>
      <w:r>
        <w:t xml:space="preserve"> </w:t>
      </w:r>
      <w:r>
        <w:t xml:space="preserve">The felt need to formalize authority (the presbyter-to-bishop question), to consolidate a shared textual and doctrinal memory before living apostolic testimony disappeared entirely, and to maintain communal cohesion across real geographic distance through a correspondence network rather than centralized administration (Doc_01 §7).</w:t>
      </w:r>
    </w:p>
    <w:p>
      <w:pPr>
        <w:pStyle w:val="BodyText"/>
      </w:pPr>
      <w:r>
        <w:rPr>
          <w:b/>
        </w:rPr>
        <w:t xml:space="preserve">What it was refusing:</w:t>
      </w:r>
      <w:r>
        <w:t xml:space="preserve"> </w:t>
      </w:r>
      <w:r>
        <w:t xml:space="preserve">Not yet a settled orthodoxy refusing settled heresy. Marcionite, Valentinian/Gnostic, and Montanist movements were live, contemporary, geographically overlapping rivals during this same window, not later or external threats. Ignatius’s own anti-docetic polemic, already present by his conventional date of c. 107–115, shows a boundary being actively drawn in real time, not one inherited as already settled (Doc_01 §§7, 8.3).</w:t>
      </w:r>
    </w:p>
    <w:p>
      <w:pPr>
        <w:pStyle w:val="BodyText"/>
      </w:pPr>
      <w:r>
        <w:rPr>
          <w:b/>
        </w:rPr>
        <w:t xml:space="preserve">How this preliminary identification governed Step 2 scope:</w:t>
      </w:r>
      <w:r>
        <w:t xml:space="preserve"> </w:t>
      </w:r>
      <w:r>
        <w:t xml:space="preserve">Per Doc_01 §7, this orientation directed Doc_02’s own research pass toward manuscript transmission histories (to test how the eyewitness-loss problem shaped what survived), primary liturgical evidence (to test how correspondence-borne unity was ritually enacted), and source asymmetry (to test whose voices the eyewitness-loss anxiety was actually recorded by). It specifically directed Doc_02 to treat institutional silence as potentially meaningful rather than merely accidental (Doc_02 §3’s finding that no institutional records survive) and to depict Marcion, Valentinian Christianity, and Montanism as live, undefeated, contemporary neighbors rather than settled heresies (Doc_01 §8.3, developed in full at Doc_02 §9).</w:t>
      </w:r>
    </w:p>
    <w:p>
      <w:r>
        <w:pict>
          <v:rect style="width:0;height:1.5pt" o:hralign="center" o:hrstd="t" o:hr="t"/>
        </w:pict>
      </w:r>
    </w:p>
    <w:p>
      <w:pPr>
        <w:pStyle w:val="Heading2"/>
      </w:pPr>
      <w:bookmarkStart w:id="23" w:name="section-3-the-six-cell-matrix"/>
      <w:r>
        <w:t xml:space="preserve">Section 3 — The Six-Cell Matrix</w:t>
      </w:r>
      <w:bookmarkEnd w:id="23"/>
    </w:p>
    <w:p>
      <w:r>
        <w:pict>
          <v:rect style="width:0;height:1.5pt" o:hralign="center" o:hrstd="t" o:hr="t"/>
        </w:pict>
      </w:r>
    </w:p>
    <w:p>
      <w:pPr>
        <w:pStyle w:val="Heading3"/>
      </w:pPr>
      <w:bookmarkStart w:id="24" w:name="cell-1a-initiating-external"/>
      <w:r>
        <w:t xml:space="preserve">CELL 1A — INITIATING / EXTERNAL</w:t>
      </w:r>
      <w:bookmarkEnd w:id="24"/>
    </w:p>
    <w:p>
      <w:pPr>
        <w:pStyle w:val="FirstParagraph"/>
      </w:pPr>
      <w:r>
        <w:rPr>
          <w:b/>
        </w:rPr>
        <w:t xml:space="preserve">Governing question:</w:t>
      </w:r>
      <w:r>
        <w:t xml:space="preserve"> </w:t>
      </w:r>
      <w:r>
        <w:t xml:space="preserve">What external conditions made this particular form of Christianity possible, necessary, or urgent at its origin?</w:t>
      </w:r>
    </w:p>
    <w:p>
      <w:r>
        <w:pict>
          <v:rect style="width:0;height:1.5pt" o:hralign="center" o:hrstd="t" o:hr="t"/>
        </w:pict>
      </w:r>
    </w:p>
    <w:p>
      <w:pPr>
        <w:pStyle w:val="Heading4"/>
      </w:pPr>
      <w:bookmarkStart w:id="25" w:name="X8a9ac0fbd6a7c44816eb9a7ec0cb4721c45f59d"/>
      <w:r>
        <w:t xml:space="preserve">Force 1A-1: The Roman Imperial Mediterranean World</w:t>
      </w:r>
      <w:bookmarkEnd w:id="25"/>
    </w:p>
    <w:p>
      <w:pPr>
        <w:pStyle w:val="FirstParagraph"/>
      </w:pPr>
      <w:r>
        <w:rPr>
          <w:b/>
        </w:rPr>
        <w:t xml:space="preserve">Layer 1 — Historical Event:</w:t>
      </w:r>
      <w:r>
        <w:t xml:space="preserve"> </w:t>
      </w:r>
      <w:r>
        <w:t xml:space="preserve">A single road and sea infrastructure, a shared Greek linguistic koine, and an established repertoire of voluntary-association (</w:t>
      </w:r>
      <w:r>
        <w:rPr>
          <w:i/>
        </w:rPr>
        <w:t xml:space="preserve">collegia</w:t>
      </w:r>
      <w:r>
        <w:t xml:space="preserve">) social forms connected Antioch/Syria, Asia Minor, and Rome into one navigable, mutually intelligible network by the late 1st century. Ignatius’s own guarded journey from Antioch through Asia Minor to Rome (conventionally c. 107–115 CE) is the clearest single piece of evidence that this infrastructure could carry sustained contact across the whole network; Koine Greek is the uniform literary and administrative medium across every text in this world’s evidentiary base (Doc_01 §3, §4).</w:t>
      </w:r>
      <w:r>
        <w:t xml:space="preserve"> </w:t>
      </w:r>
      <w:r>
        <w:rPr>
          <w:i/>
        </w:rPr>
        <w:t xml:space="preserve">[Confidence: Well-established/Documented for the infrastructure and linguistic facts themselves.]</w:t>
      </w:r>
    </w:p>
    <w:p>
      <w:pPr>
        <w:pStyle w:val="BodyText"/>
      </w:pPr>
      <w:r>
        <w:rPr>
          <w:b/>
        </w:rPr>
        <w:t xml:space="preserve">Layer 2 — World’s Own Experience:</w:t>
      </w:r>
      <w:r>
        <w:t xml:space="preserve"> </w:t>
      </w:r>
      <w:r>
        <w:t xml:space="preserve">A letter written in Antioch could be read, understood, and answered in Smyrna or in Rome without translation, and a traveler carrying it could expect the roads and the harbors to be there. The world beyond any one</w:t>
      </w:r>
      <w:r>
        <w:t xml:space="preserve"> </w:t>
      </w:r>
      <w:r>
        <w:rPr>
          <w:i/>
        </w:rPr>
        <w:t xml:space="preserve">ekklesia</w:t>
      </w:r>
      <w:r>
        <w:t xml:space="preserve">’s own room was not a foreign country to be reached with difficulty; it was one connected reach, near enough that a letter from a sister</w:t>
      </w:r>
      <w:r>
        <w:t xml:space="preserve"> </w:t>
      </w:r>
      <w:r>
        <w:rPr>
          <w:i/>
        </w:rPr>
        <w:t xml:space="preserve">ekklesia</w:t>
      </w:r>
      <w:r>
        <w:t xml:space="preserve"> </w:t>
      </w:r>
      <w:r>
        <w:t xml:space="preserve">felt like proof of belonging to something larger than the room itself, not like news from somewhere else entirely (Doc_05 §1.2).</w:t>
      </w:r>
    </w:p>
    <w:p>
      <w:pPr>
        <w:pStyle w:val="BodyText"/>
      </w:pPr>
      <w:r>
        <w:rPr>
          <w:b/>
        </w:rPr>
        <w:t xml:space="preserve">Layer 3 — Formation Impact:</w:t>
      </w:r>
      <w:r>
        <w:t xml:space="preserve"> </w:t>
      </w:r>
      <w:r>
        <w:t xml:space="preserve">This is the material precondition for G02 (Translocal Correspondence Network, Primary) — without a single connected, Greek-legible Mediterranean world, the correspondence-based unity this world’s entire formation logic depends on could not have existed as a real, functioning practice rather than an aspiration. It also supplied the very roads Ignatius himself was marched along under guard, meaning the same infrastructure that enabled ordinary correspondence also carried this world’s most intensive individual formation case (G04, Martyrdom).</w:t>
      </w:r>
    </w:p>
    <w:p>
      <w:r>
        <w:pict>
          <v:rect style="width:0;height:1.5pt" o:hralign="center" o:hrstd="t" o:hr="t"/>
        </w:pict>
      </w:r>
    </w:p>
    <w:p>
      <w:pPr>
        <w:pStyle w:val="Heading4"/>
      </w:pPr>
      <w:bookmarkStart w:id="26" w:name="X8bd5f828ef3a0069e47f4b7e25c444e03286891"/>
      <w:r>
        <w:t xml:space="preserve">Force 1A-2: The Neronian Persecution and the Deaths of Peter and Paul (c. 64–68 CE)</w:t>
      </w:r>
      <w:bookmarkEnd w:id="26"/>
    </w:p>
    <w:p>
      <w:pPr>
        <w:pStyle w:val="FirstParagraph"/>
      </w:pPr>
      <w:r>
        <w:rPr>
          <w:b/>
        </w:rPr>
        <w:t xml:space="preserve">Layer 1 — Historical Event:</w:t>
      </w:r>
      <w:r>
        <w:t xml:space="preserve"> </w:t>
      </w:r>
      <w:r>
        <w:t xml:space="preserve">Tacitus’s</w:t>
      </w:r>
      <w:r>
        <w:t xml:space="preserve"> </w:t>
      </w:r>
      <w:r>
        <w:rPr>
          <w:i/>
        </w:rPr>
        <w:t xml:space="preserve">Annals</w:t>
      </w:r>
      <w:r>
        <w:t xml:space="preserve"> </w:t>
      </w:r>
      <w:r>
        <w:t xml:space="preserve">15.44 describes Nero scapegoating Christians for the Great Fire of Rome (64 CE) with brutal executions; Raymond Brown’s standard periodization (</w:t>
      </w:r>
      <w:r>
        <w:rPr>
          <w:i/>
        </w:rPr>
        <w:t xml:space="preserve">The Churches the Apostles Left Behind</w:t>
      </w:r>
      <w:r>
        <w:t xml:space="preserve">, 1984) keys the</w:t>
      </w:r>
      <w:r>
        <w:t xml:space="preserve"> </w:t>
      </w:r>
      <w:r>
        <w:t xml:space="preserve">“</w:t>
      </w:r>
      <w:r>
        <w:t xml:space="preserve">sub-apostolic age</w:t>
      </w:r>
      <w:r>
        <w:t xml:space="preserve">”</w:t>
      </w:r>
      <w:r>
        <w:t xml:space="preserve"> </w:t>
      </w:r>
      <w:r>
        <w:t xml:space="preserve">beginning c. 67 CE to the deaths of Peter, Paul, and James under Nero. 1 Clement corroborates this by writing of the apostles’ deaths as already past (Doc_01 §2.1).</w:t>
      </w:r>
      <w:r>
        <w:t xml:space="preserve"> </w:t>
      </w:r>
      <w:r>
        <w:rPr>
          <w:i/>
        </w:rPr>
        <w:t xml:space="preserve">[Confidence: the Tacitus passage’s basic authenticity is Widely Accepted; a discrete, fire-linked, named-group persecution of Christians specifically is Contested (the Shaw/Jones debate, Doc_02 §6); the Petrine/Pauline martyrdom tradition underlying Brown’s periodization is Dominant Modern Reconstruction.]</w:t>
      </w:r>
    </w:p>
    <w:p>
      <w:pPr>
        <w:pStyle w:val="BodyText"/>
      </w:pPr>
      <w:r>
        <w:rPr>
          <w:b/>
        </w:rPr>
        <w:t xml:space="preserve">Layer 2 — World’s Own Experience:</w:t>
      </w:r>
      <w:r>
        <w:t xml:space="preserve"> </w:t>
      </w:r>
      <w:r>
        <w:t xml:space="preserve">The people who had walked with the founder himself were dying, and no one could simply point to someone who had been there anymore. What replaced their direct witness was argument — a letter insisting its own writer stood in unbroken continuity with what had been handed down, a bishop insisting his own office carried that same weight forward. This was not a settled inheritance quietly received; it was something actively, urgently claimed, precisely because the alternative — the last living link simply running out — was close enough to be felt (Doc_05 §6.3).</w:t>
      </w:r>
    </w:p>
    <w:p>
      <w:pPr>
        <w:pStyle w:val="BodyText"/>
      </w:pPr>
      <w:r>
        <w:rPr>
          <w:b/>
        </w:rPr>
        <w:t xml:space="preserve">Layer 3 — Formation Impact:</w:t>
      </w:r>
      <w:r>
        <w:t xml:space="preserve"> </w:t>
      </w:r>
      <w:r>
        <w:t xml:space="preserve">This is the single most direct trigger for this world’s own defining formation logic. It produced the urgency behind G01 (Authority Consolidation) directly — Doc_01 §7 names the dispersal of eyewitness authority as what</w:t>
      </w:r>
      <w:r>
        <w:t xml:space="preserve"> </w:t>
      </w:r>
      <w:r>
        <w:t xml:space="preserve">“</w:t>
      </w:r>
      <w:r>
        <w:t xml:space="preserve">created an urgent, lived problem</w:t>
      </w:r>
      <w:r>
        <w:t xml:space="preserve">”</w:t>
      </w:r>
      <w:r>
        <w:t xml:space="preserve"> </w:t>
      </w:r>
      <w:r>
        <w:t xml:space="preserve">of maintaining unity and legitimate authority — and it is the generative condition Doc_07 identifies as what the entire</w:t>
      </w:r>
      <w:r>
        <w:t xml:space="preserve"> </w:t>
      </w:r>
      <w:r>
        <w:t xml:space="preserve">“</w:t>
      </w:r>
      <w:r>
        <w:t xml:space="preserve">argued, not inherited</w:t>
      </w:r>
      <w:r>
        <w:t xml:space="preserve">”</w:t>
      </w:r>
      <w:r>
        <w:t xml:space="preserve"> </w:t>
      </w:r>
      <w:r>
        <w:t xml:space="preserve">formation logic (Doc_07 §2E) is ultimately a response to.</w:t>
      </w:r>
    </w:p>
    <w:p>
      <w:r>
        <w:pict>
          <v:rect style="width:0;height:1.5pt" o:hralign="center" o:hrstd="t" o:hr="t"/>
        </w:pict>
      </w:r>
    </w:p>
    <w:p>
      <w:pPr>
        <w:pStyle w:val="Heading3"/>
      </w:pPr>
      <w:bookmarkStart w:id="27" w:name="cell-1b-initiating-internal"/>
      <w:r>
        <w:t xml:space="preserve">CELL 1B — INITIATING / INTERNAL</w:t>
      </w:r>
      <w:bookmarkEnd w:id="27"/>
    </w:p>
    <w:p>
      <w:pPr>
        <w:pStyle w:val="FirstParagraph"/>
      </w:pPr>
      <w:r>
        <w:rPr>
          <w:b/>
        </w:rPr>
        <w:t xml:space="preserve">Governing question:</w:t>
      </w:r>
      <w:r>
        <w:t xml:space="preserve"> </w:t>
      </w:r>
      <w:r>
        <w:t xml:space="preserve">What internal commitments, convictions, or inherited traditions gave this world its earliest distinctive shape from within?</w:t>
      </w:r>
    </w:p>
    <w:p>
      <w:r>
        <w:pict>
          <v:rect style="width:0;height:1.5pt" o:hralign="center" o:hrstd="t" o:hr="t"/>
        </w:pict>
      </w:r>
    </w:p>
    <w:p>
      <w:pPr>
        <w:pStyle w:val="Heading4"/>
      </w:pPr>
      <w:bookmarkStart w:id="28" w:name="Xc5af4900903660243e8d164215c19ccd49485f7"/>
      <w:r>
        <w:t xml:space="preserve">Force 1B-1: The Apostolic Testimony Inheritance</w:t>
      </w:r>
      <w:bookmarkEnd w:id="28"/>
    </w:p>
    <w:p>
      <w:pPr>
        <w:pStyle w:val="FirstParagraph"/>
      </w:pPr>
      <w:r>
        <w:rPr>
          <w:b/>
        </w:rPr>
        <w:t xml:space="preserve">Layer 1 — Historical Event:</w:t>
      </w:r>
      <w:r>
        <w:t xml:space="preserve"> </w:t>
      </w:r>
      <w:r>
        <w:t xml:space="preserve">This world inherited, rather than invented, the conviction that legitimate teaching and practice must trace to apostolic testimony. Scripture was read alongside living apostolic testimony rather than against a closed canon (Doc_01 §1, naming this as one of this world’s own Distinct World Criteria); this inheritance predates this world’s own 70 CE floor and was received from the apostolic generation directly.</w:t>
      </w:r>
      <w:r>
        <w:t xml:space="preserve"> </w:t>
      </w:r>
      <w:r>
        <w:rPr>
          <w:i/>
        </w:rPr>
        <w:t xml:space="preserve">[Confidence: Widely Accepted that this commitment was present and inherited; the precise mechanism of transmission from the apostolic generation itself is less securely documented than the commitment’s presence in this world’s own texts.]</w:t>
      </w:r>
    </w:p>
    <w:p>
      <w:pPr>
        <w:pStyle w:val="BodyText"/>
      </w:pPr>
      <w:r>
        <w:rPr>
          <w:b/>
        </w:rPr>
        <w:t xml:space="preserve">Layer 2 — World’s Own Experience:</w:t>
      </w:r>
      <w:r>
        <w:t xml:space="preserve"> </w:t>
      </w:r>
      <w:r>
        <w:t xml:space="preserve">What had been handed down by the apostles themselves was the measure against which everything else was tested — a visiting teacher’s own words had to be weighed against what the community already held, and a letter’s authority rested on how faithfully it carried forward what had been received. This was not treated as one tradition among several to be freely adapted; it was the inherited ground a community stood on, even while the community itself argued over exactly what standing on it required.</w:t>
      </w:r>
    </w:p>
    <w:p>
      <w:pPr>
        <w:pStyle w:val="BodyText"/>
      </w:pPr>
      <w:r>
        <w:rPr>
          <w:b/>
        </w:rPr>
        <w:t xml:space="preserve">Layer 3 — Formation Impact:</w:t>
      </w:r>
      <w:r>
        <w:t xml:space="preserve"> </w:t>
      </w:r>
      <w:r>
        <w:t xml:space="preserve">This inheritance is what makes eyewitness-generation loss (Force 1A-2) a crisis at all rather than a neutral fact — if apostolic testimony were not already the measure of legitimacy, its fading would not have generated the urgency behind G01. It is the philosophical ground Doc_07 §2B names as this world’s own temporal assumption: living inside the closing of the apostolic generation, not primarily an imminent-parousia urgency but an urgency of transmission before the last direct witnesses are gone.</w:t>
      </w:r>
    </w:p>
    <w:p>
      <w:r>
        <w:pict>
          <v:rect style="width:0;height:1.5pt" o:hralign="center" o:hrstd="t" o:hr="t"/>
        </w:pict>
      </w:r>
    </w:p>
    <w:p>
      <w:pPr>
        <w:pStyle w:val="Heading4"/>
      </w:pPr>
      <w:bookmarkStart w:id="29" w:name="X00fa2c8bd9f9304a073964e8228b83a8fca6ed2"/>
      <w:r>
        <w:t xml:space="preserve">Force 1B-2: The Two Ways Catechetical Inheritance</w:t>
      </w:r>
      <w:bookmarkEnd w:id="29"/>
    </w:p>
    <w:p>
      <w:pPr>
        <w:pStyle w:val="FirstParagraph"/>
      </w:pPr>
      <w:r>
        <w:rPr>
          <w:b/>
        </w:rPr>
        <w:t xml:space="preserve">Layer 1 — Historical Event:</w:t>
      </w:r>
      <w:r>
        <w:t xml:space="preserve"> </w:t>
      </w:r>
      <w:r>
        <w:t xml:space="preserve">The Didache’s opening instructional material (chs. 1–6) structures entry into this world around a</w:t>
      </w:r>
      <w:r>
        <w:t xml:space="preserve"> </w:t>
      </w:r>
      <w:r>
        <w:t xml:space="preserve">“</w:t>
      </w:r>
      <w:r>
        <w:t xml:space="preserve">way of life</w:t>
      </w:r>
      <w:r>
        <w:t xml:space="preserve">”</w:t>
      </w:r>
      <w:r>
        <w:t xml:space="preserve"> </w:t>
      </w:r>
      <w:r>
        <w:t xml:space="preserve">and a</w:t>
      </w:r>
      <w:r>
        <w:t xml:space="preserve"> </w:t>
      </w:r>
      <w:r>
        <w:t xml:space="preserve">“</w:t>
      </w:r>
      <w:r>
        <w:t xml:space="preserve">way of death,</w:t>
      </w:r>
      <w:r>
        <w:t xml:space="preserve">”</w:t>
      </w:r>
      <w:r>
        <w:t xml:space="preserve"> </w:t>
      </w:r>
      <w:r>
        <w:t xml:space="preserve">independently paralleled in the Latin</w:t>
      </w:r>
      <w:r>
        <w:t xml:space="preserve"> </w:t>
      </w:r>
      <w:r>
        <w:rPr>
          <w:i/>
        </w:rPr>
        <w:t xml:space="preserve">Doctrina Apostolorum</w:t>
      </w:r>
      <w:r>
        <w:t xml:space="preserve"> </w:t>
      </w:r>
      <w:r>
        <w:t xml:space="preserve">and Barnabas 18–20 — evidence the underlying schema circulated more widely than the Didache’s own specific redaction of it, even though the Didache itself is plausibly a single (likely Syrian) community’s own document (Doc_03 §2.7).</w:t>
      </w:r>
      <w:r>
        <w:t xml:space="preserve"> </w:t>
      </w:r>
      <w:r>
        <w:rPr>
          <w:i/>
        </w:rPr>
        <w:t xml:space="preserve">[Confidence: Documented that this schema exists and is used this way in the Didache; Inferential-Thin on how widely it was actually adopted as network-wide catechetical practice, given the Didache’s own single-manuscript-dependent, single-community-attested evidentiary base (Doc_02 §1.1).]</w:t>
      </w:r>
    </w:p>
    <w:p>
      <w:pPr>
        <w:pStyle w:val="BodyText"/>
      </w:pPr>
      <w:r>
        <w:rPr>
          <w:b/>
        </w:rPr>
        <w:t xml:space="preserve">Layer 2 — World’s Own Experience:</w:t>
      </w:r>
      <w:r>
        <w:t xml:space="preserve"> </w:t>
      </w:r>
      <w:r>
        <w:t xml:space="preserve">Before the water, a person preparing for baptism was taught that two ways lay open — a way of life and a way of death — and that which one a person walked was a live, continuing choice, not a nature settled once and for all (Doc_07 §2B). This teaching was inherited as a tool for shaping a new member, adaptable to a community’s own occasion rather than issued from a single central authority.</w:t>
      </w:r>
    </w:p>
    <w:p>
      <w:pPr>
        <w:pStyle w:val="BodyText"/>
      </w:pPr>
      <w:r>
        <w:rPr>
          <w:b/>
        </w:rPr>
        <w:t xml:space="preserve">Layer 3 — Formation Impact:</w:t>
      </w:r>
      <w:r>
        <w:t xml:space="preserve"> </w:t>
      </w:r>
      <w:r>
        <w:t xml:space="preserve">This inherited catechetical schema is what Doc_07 §2B identifies as grounding this world’s own philosophical understanding of the human person — someone standing at a live, continuing moral fork rather than a nature secured once by initiation. It supplies the entry-point moral logic for this world’s entire formation arc (Doc_07 §2E), even though its own single-community evidentiary base means it cannot be generalized network-wide with confidence (Doc_03 §2.7, Author Gravity risk: maximal).</w:t>
      </w:r>
    </w:p>
    <w:p>
      <w:r>
        <w:pict>
          <v:rect style="width:0;height:1.5pt" o:hralign="center" o:hrstd="t" o:hr="t"/>
        </w:pict>
      </w:r>
    </w:p>
    <w:p>
      <w:pPr>
        <w:pStyle w:val="Heading3"/>
      </w:pPr>
      <w:bookmarkStart w:id="30" w:name="cell-2a-ongoing-external"/>
      <w:r>
        <w:t xml:space="preserve">CELL 2A — ONGOING / EXTERNAL</w:t>
      </w:r>
      <w:bookmarkEnd w:id="30"/>
    </w:p>
    <w:p>
      <w:pPr>
        <w:pStyle w:val="FirstParagraph"/>
      </w:pPr>
      <w:r>
        <w:rPr>
          <w:b/>
        </w:rPr>
        <w:t xml:space="preserve">Governing question:</w:t>
      </w:r>
      <w:r>
        <w:t xml:space="preserve"> </w:t>
      </w:r>
      <w:r>
        <w:t xml:space="preserve">What external forces required this community’s continuous response and adaptation throughout its active life?</w:t>
      </w:r>
    </w:p>
    <w:p>
      <w:r>
        <w:pict>
          <v:rect style="width:0;height:1.5pt" o:hralign="center" o:hrstd="t" o:hr="t"/>
        </w:pict>
      </w:r>
    </w:p>
    <w:p>
      <w:pPr>
        <w:pStyle w:val="Heading4"/>
      </w:pPr>
      <w:bookmarkStart w:id="31" w:name="force-2a-1-state-legal-precarity-g03"/>
      <w:r>
        <w:t xml:space="preserve">Force 2A-1: State Legal Precarity (G03)</w:t>
      </w:r>
      <w:bookmarkEnd w:id="31"/>
    </w:p>
    <w:p>
      <w:pPr>
        <w:pStyle w:val="FirstParagraph"/>
      </w:pPr>
      <w:r>
        <w:rPr>
          <w:b/>
        </w:rPr>
        <w:t xml:space="preserve">Layer 1 — Historical Event:</w:t>
      </w:r>
      <w:r>
        <w:t xml:space="preserve"> </w:t>
      </w:r>
      <w:r>
        <w:t xml:space="preserve">Pliny’s Letters 10.96–97 (c. 111–113 CE, Bithynia-Pontus) is the earliest Roman administrative document on Christians and shows no prior standing law; Trajan’s rescript explicitly forbids seeking Christians out. Tacitus (</w:t>
      </w:r>
      <w:r>
        <w:rPr>
          <w:i/>
        </w:rPr>
        <w:t xml:space="preserve">Annals</w:t>
      </w:r>
      <w:r>
        <w:t xml:space="preserve"> </w:t>
      </w:r>
      <w:r>
        <w:t xml:space="preserve">15.44) and Suetonius corroborate earlier, scattered episodes. The first empire-wide persecution (Decius) does not occur until 249–250 CE, safely after this world’s own close (Doc_01 §4). Doc_04’s own testing of this as gravity G03 found it does not clear Primary confidence: the vivid impression of sustained persecution does not survive Doc_04’s own discipline once</w:t>
      </w:r>
      <w:r>
        <w:t xml:space="preserve"> </w:t>
      </w:r>
      <w:r>
        <w:t xml:space="preserve">“</w:t>
      </w:r>
      <w:r>
        <w:t xml:space="preserve">the generalized cross-episode synthesis</w:t>
      </w:r>
      <w:r>
        <w:t xml:space="preserve">”</w:t>
      </w:r>
      <w:r>
        <w:t xml:space="preserve"> </w:t>
      </w:r>
      <w:r>
        <w:t xml:space="preserve">is separated from the narrow Documented core, since the specific episodes (Nero/Rome c. 64 CE; Pliny/Bithynia-Pontus c. 111–113 CE; Ignatius’s own arrest, itself of disputed date) are geographically and temporally scattered, not one continuous policy (Doc_04, G03).</w:t>
      </w:r>
      <w:r>
        <w:t xml:space="preserve"> </w:t>
      </w:r>
      <w:r>
        <w:rPr>
          <w:i/>
        </w:rPr>
        <w:t xml:space="preserve">[Confidence: Documented that Pliny’s letter is authentic and describes real legal action; Contested on whether these scattered episodes constitute one standing condition of persecution versus intermittent, locally variable exposure.]</w:t>
      </w:r>
    </w:p>
    <w:p>
      <w:pPr>
        <w:pStyle w:val="BodyText"/>
      </w:pPr>
      <w:r>
        <w:rPr>
          <w:b/>
        </w:rPr>
        <w:t xml:space="preserve">Layer 2 — World’s Own Experience:</w:t>
      </w:r>
      <w:r>
        <w:t xml:space="preserve"> </w:t>
      </w:r>
      <w:r>
        <w:t xml:space="preserve">A name could be given, an accusation made, and a choice demanded, without warning and without any way to know in advance whether it would happen to you. This was not constant terror — most days held no such demand — but it was near enough that a member organized some real part of their emotional life around it (Doc_05 §1.2). Carrying this world’s own name in public was, at once, a legal exposure and a claim about the truth, held together as a single thing rather than two (Doc_05 §6.1).</w:t>
      </w:r>
    </w:p>
    <w:p>
      <w:pPr>
        <w:pStyle w:val="BodyText"/>
      </w:pPr>
      <w:r>
        <w:rPr>
          <w:b/>
        </w:rPr>
        <w:t xml:space="preserve">Layer 3 — Formation Impact:</w:t>
      </w:r>
      <w:r>
        <w:t xml:space="preserve"> </w:t>
      </w:r>
      <w:r>
        <w:t xml:space="preserve">Sustains G04 (Martyrdom as meaning-response) as its direct internal answer (Doc_04, G04:</w:t>
      </w:r>
      <w:r>
        <w:t xml:space="preserve"> </w:t>
      </w:r>
      <w:r>
        <w:t xml:space="preserve">“</w:t>
      </w:r>
      <w:r>
        <w:t xml:space="preserve">this gravity is itself the meaning-making response to G03</w:t>
      </w:r>
      <w:r>
        <w:t xml:space="preserve">”</w:t>
      </w:r>
      <w:r>
        <w:t xml:space="preserve">); plausibly explains the near-total absence of institutional self-documentation across this world’s evidentiary base (Doc_02 §3, §9 — durable, seizable written records carried their own risk in an environment of local, unpredictable legal exposure); and, per Doc_07 §3, its very</w:t>
      </w:r>
      <w:r>
        <w:t xml:space="preserve"> </w:t>
      </w:r>
      <w:r>
        <w:rPr>
          <w:i/>
        </w:rPr>
        <w:t xml:space="preserve">unevenness</w:t>
      </w:r>
      <w:r>
        <w:t xml:space="preserve"> </w:t>
      </w:r>
      <w:r>
        <w:t xml:space="preserve">— never becoming severe or centralized enough to force one strand’s authority answer to displace the other’s — is a condition of possibility for this world’s own genuine two-strand plurality persisting as long as it did.</w:t>
      </w:r>
    </w:p>
    <w:p>
      <w:r>
        <w:pict>
          <v:rect style="width:0;height:1.5pt" o:hralign="center" o:hrstd="t" o:hr="t"/>
        </w:pict>
      </w:r>
    </w:p>
    <w:p>
      <w:pPr>
        <w:pStyle w:val="Heading4"/>
      </w:pPr>
      <w:bookmarkStart w:id="32" w:name="X614e43d85e6d117d5e173b69ed3564c26a413c3"/>
      <w:r>
        <w:t xml:space="preserve">Force 2A-2: Contemporary Rival Movements (Marcion, Valentinian/Gnostic Christianity, Montanism)</w:t>
      </w:r>
      <w:bookmarkEnd w:id="32"/>
    </w:p>
    <w:p>
      <w:pPr>
        <w:pStyle w:val="FirstParagraph"/>
      </w:pPr>
      <w:r>
        <w:rPr>
          <w:b/>
        </w:rPr>
        <w:t xml:space="preserve">Layer 1 — Historical Event:</w:t>
      </w:r>
      <w:r>
        <w:t xml:space="preserve"> </w:t>
      </w:r>
      <w:r>
        <w:t xml:space="preserve">Marcion’s traditional break with the Roman church is conventionally dated c. 144 CE, though Sebastian Moll’s reading suggests this may mark his arrival rather than expulsion; Valentinus moved to Rome c. 136 CE, remaining active into the 150s–160s, with a documented split into Western/Italian and Eastern (Asia Minor) branches; Montanism’s Phrygian origin is archaeologically corroborated, with a start date disputed between c. 157 and c. 172, already a mature concern by 177 CE when the Lyons/Vienne martyrs wrote to Bishop Eleutherus about it (Doc_01 §8.3). All three were geographically overlapping with this world’s own three core regions in the same decades this world’s own texts were circulating.</w:t>
      </w:r>
      <w:r>
        <w:t xml:space="preserve"> </w:t>
      </w:r>
      <w:r>
        <w:rPr>
          <w:i/>
        </w:rPr>
        <w:t xml:space="preserve">[Confidence: Documented that these movements existed and were geographically overlapping; Contested on precise founding/break dates for each.]</w:t>
      </w:r>
    </w:p>
    <w:p>
      <w:pPr>
        <w:pStyle w:val="BodyText"/>
      </w:pPr>
      <w:r>
        <w:rPr>
          <w:b/>
        </w:rPr>
        <w:t xml:space="preserve">Layer 2 — World’s Own Experience:</w:t>
      </w:r>
      <w:r>
        <w:t xml:space="preserve"> </w:t>
      </w:r>
      <w:r>
        <w:t xml:space="preserve">These were not distant errors safely elsewhere or already defeated — they were near, contemporary, and undefeated neighbors, teaching within the same cities and sometimes drawing from the same communities this world’s own members belonged to. A member did not experience this as a settled boundary already secured; the boundary against them was something that had to be actively argued and held, letter after letter, city after city (Doc_01 §8.3; Doc_05 §3.1).</w:t>
      </w:r>
    </w:p>
    <w:p>
      <w:pPr>
        <w:pStyle w:val="BodyText"/>
      </w:pPr>
      <w:r>
        <w:rPr>
          <w:b/>
        </w:rPr>
        <w:t xml:space="preserve">Layer 3 — Formation Impact:</w:t>
      </w:r>
      <w:r>
        <w:t xml:space="preserve"> </w:t>
      </w:r>
      <w:r>
        <w:t xml:space="preserve">This is the external condition G05 (Boundary-Drawing, Tensional, Strand A only) is the internal response to — Ignatius’s sustained anti-docetic argument exists because these rivals existed and pressed close. Doc_07 §2D’s own new synthesis reads this pressure, combined with state legal precarity (Force 2A-1), as converging on a single formative lesson for Strand A members specifically: that maintaining any boundary at all, doctrinal or legal, was rehearsed as one continuous kind of refusal — though Doc_07 discloses this as its own interpretive extension, since Doc_04’s own Interaction Matrix records no demonstrated relationship between G03 and G05 directly (Doc_07 §2D, §6).</w:t>
      </w:r>
    </w:p>
    <w:p>
      <w:r>
        <w:pict>
          <v:rect style="width:0;height:1.5pt" o:hralign="center" o:hrstd="t" o:hr="t"/>
        </w:pict>
      </w:r>
    </w:p>
    <w:p>
      <w:pPr>
        <w:pStyle w:val="Heading3"/>
      </w:pPr>
      <w:bookmarkStart w:id="33" w:name="X06770d0dc30b1c94575f3b3ceb6353a56f64b39"/>
      <w:r>
        <w:t xml:space="preserve">CELL 2B — ONGOING / INTERNAL [includes Transmission dimension]</w:t>
      </w:r>
      <w:bookmarkEnd w:id="33"/>
    </w:p>
    <w:p>
      <w:pPr>
        <w:pStyle w:val="FirstParagraph"/>
      </w:pPr>
      <w:r>
        <w:rPr>
          <w:b/>
        </w:rPr>
        <w:t xml:space="preserve">Governing question:</w:t>
      </w:r>
      <w:r>
        <w:t xml:space="preserve"> </w:t>
      </w:r>
      <w:r>
        <w:t xml:space="preserve">What internal forces sustained this community from within, generated its characteristic internal tensions, and shaped how it transmitted itself?</w:t>
      </w:r>
    </w:p>
    <w:p>
      <w:pPr>
        <w:pStyle w:val="BlockText"/>
      </w:pPr>
      <w:r>
        <w:rPr>
          <w:b/>
        </w:rPr>
        <w:t xml:space="preserve">Transmission note:</w:t>
      </w:r>
      <w:r>
        <w:t xml:space="preserve"> </w:t>
      </w:r>
      <w:r>
        <w:t xml:space="preserve">addressed explicitly at Force 2B-2 below, per the Transmission Specificity Principle.</w:t>
      </w:r>
    </w:p>
    <w:p>
      <w:r>
        <w:pict>
          <v:rect style="width:0;height:1.5pt" o:hralign="center" o:hrstd="t" o:hr="t"/>
        </w:pict>
      </w:r>
    </w:p>
    <w:p>
      <w:pPr>
        <w:pStyle w:val="Heading4"/>
      </w:pPr>
      <w:bookmarkStart w:id="34" w:name="force-2b-1-authority-consolidation-g01"/>
      <w:r>
        <w:t xml:space="preserve">Force 2B-1: Authority Consolidation (G01)</w:t>
      </w:r>
      <w:bookmarkEnd w:id="34"/>
    </w:p>
    <w:p>
      <w:pPr>
        <w:pStyle w:val="FirstParagraph"/>
      </w:pPr>
      <w:r>
        <w:rPr>
          <w:b/>
        </w:rPr>
        <w:t xml:space="preserve">Layer 1 — Historical Event:</w:t>
      </w:r>
      <w:r>
        <w:t xml:space="preserve"> </w:t>
      </w:r>
      <w:r>
        <w:t xml:space="preserve">1 Clement’s interchangeable use of</w:t>
      </w:r>
      <w:r>
        <w:t xml:space="preserve"> </w:t>
      </w:r>
      <w:r>
        <w:rPr>
          <w:i/>
        </w:rPr>
        <w:t xml:space="preserve">episkopos</w:t>
      </w:r>
      <w:r>
        <w:t xml:space="preserve"> </w:t>
      </w:r>
      <w:r>
        <w:t xml:space="preserve">and</w:t>
      </w:r>
      <w:r>
        <w:t xml:space="preserve"> </w:t>
      </w:r>
      <w:r>
        <w:rPr>
          <w:i/>
        </w:rPr>
        <w:t xml:space="preserve">presbyteros</w:t>
      </w:r>
      <w:r>
        <w:t xml:space="preserve"> </w:t>
      </w:r>
      <w:r>
        <w:t xml:space="preserve">for a plural governing college (chs. 42, 44) and Hermas’s plural</w:t>
      </w:r>
      <w:r>
        <w:t xml:space="preserve"> </w:t>
      </w:r>
      <w:r>
        <w:t xml:space="preserve">“</w:t>
      </w:r>
      <w:r>
        <w:t xml:space="preserve">presbyters who preside over the Church</w:t>
      </w:r>
      <w:r>
        <w:t xml:space="preserve">”</w:t>
      </w:r>
      <w:r>
        <w:t xml:space="preserve"> </w:t>
      </w:r>
      <w:r>
        <w:t xml:space="preserve">(Rome, Strand B) sit alongside Ignatius’s explicit threefold-office program urged onto multiple Asia Minor churches (Strand A) — two mutually exclusive, contemporaneous, regionally-differentiated answers to the same organizational question (Doc_01 §6). Doc_04 classifies this Supporting rather than Primary: the coarse claim (authority required active organizing) is Widely Accepted, but the specific resolution is Contested, resting heavily on Ignatius’s own contested authenticity/dating (Doc_04, G01).</w:t>
      </w:r>
      <w:r>
        <w:t xml:space="preserve"> </w:t>
      </w:r>
      <w:r>
        <w:rPr>
          <w:i/>
        </w:rPr>
        <w:t xml:space="preserve">[Confidence: Widely Accepted that authority organization was a live, contested question; Contested on Strand A’s specific monarchical content.]</w:t>
      </w:r>
    </w:p>
    <w:p>
      <w:pPr>
        <w:pStyle w:val="BodyText"/>
      </w:pPr>
      <w:r>
        <w:rPr>
          <w:b/>
        </w:rPr>
        <w:t xml:space="preserve">Layer 2 — World’s Own Experience:</w:t>
      </w:r>
      <w:r>
        <w:t xml:space="preserve"> </w:t>
      </w:r>
      <w:r>
        <w:t xml:space="preserve">In one community, obedience to a single bishop, flanked by presbyters and deacons, was the very shape of unity — strings tuned together into one sound, as one of this world’s own advocates put it. In another, a council of presbyters was the ordinary, sufficient shape of oversight, with no felt lack from the absence of any single presiding figure. The same person — Polycarp — could be addressed by one correspondent as a bishop and describe himself, in his own letter, only as one of</w:t>
      </w:r>
      <w:r>
        <w:t xml:space="preserve"> </w:t>
      </w:r>
      <w:r>
        <w:t xml:space="preserve">“</w:t>
      </w:r>
      <w:r>
        <w:t xml:space="preserve">the presbyters</w:t>
      </w:r>
      <w:r>
        <w:t xml:space="preserve">”</w:t>
      </w:r>
      <w:r>
        <w:t xml:space="preserve"> </w:t>
      </w:r>
      <w:r>
        <w:t xml:space="preserve">(Doc_05 §5.1; Doc_01 §6).</w:t>
      </w:r>
    </w:p>
    <w:p>
      <w:pPr>
        <w:pStyle w:val="BodyText"/>
      </w:pPr>
      <w:r>
        <w:rPr>
          <w:b/>
        </w:rPr>
        <w:t xml:space="preserve">Layer 3 — Formation Impact:</w:t>
      </w:r>
      <w:r>
        <w:t xml:space="preserve"> </w:t>
      </w:r>
      <w:r>
        <w:t xml:space="preserve">This is the clearest single institutional expression of this world’s own defining formation logic — office argued for, not assumed (Doc_05 §5.2). It is directly fused with G07 (Liturgical Practice) in Strand A, where attending the bishop’s own eucharist and refusing any other was inseparably an act of worship and an act of belonging (Doc_05 §4.1), and it supplies the philosophical grounding Doc_07 §2C names: two structurally parallel answers to the identical question of how continuity with the apostles should be secured once eyewitnesses are gone.</w:t>
      </w:r>
    </w:p>
    <w:p>
      <w:r>
        <w:pict>
          <v:rect style="width:0;height:1.5pt" o:hralign="center" o:hrstd="t" o:hr="t"/>
        </w:pict>
      </w:r>
    </w:p>
    <w:p>
      <w:pPr>
        <w:pStyle w:val="Heading4"/>
      </w:pPr>
      <w:bookmarkStart w:id="35" w:name="X0fe32f336102f2986d288c723c3a68a42d315d0"/>
      <w:r>
        <w:t xml:space="preserve">Force 2B-2: Transmission — The Correspondence Network as Carrier and Filter</w:t>
      </w:r>
      <w:bookmarkEnd w:id="35"/>
    </w:p>
    <w:p>
      <w:pPr>
        <w:pStyle w:val="FirstParagraph"/>
      </w:pPr>
      <w:r>
        <w:rPr>
          <w:b/>
        </w:rPr>
        <w:t xml:space="preserve">Layer 1 — Historical Event:</w:t>
      </w:r>
      <w:r>
        <w:t xml:space="preserve"> </w:t>
      </w:r>
      <w:r>
        <w:t xml:space="preserve">This world’s characteristic material was carried forward by specific, named mechanisms, not an undifferentiated</w:t>
      </w:r>
      <w:r>
        <w:t xml:space="preserve"> </w:t>
      </w:r>
      <w:r>
        <w:t xml:space="preserve">“</w:t>
      </w:r>
      <w:r>
        <w:t xml:space="preserve">tradition.</w:t>
      </w:r>
      <w:r>
        <w:t xml:space="preserve">”</w:t>
      </w:r>
      <w:r>
        <w:t xml:space="preserve"> </w:t>
      </w:r>
      <w:r>
        <w:t xml:space="preserve">Polycarp forwarded copies of Ignatius’s letters onward to Philippi at the Philippians’ own request (Doc_01 §3; Doc_02 §1.4). 1 Clement survives via Codex Alexandrinus (5th c., losing a leaf covering chs. 57–63) and Codex Hierosolymitanus (1056 CE), the latter also supplying nearly the entire text of the Didache (roughly 90% dependent on this single manuscript, undiscovered until 1873) (Doc_02 §1.1–1.2). Ignatius’s own middle recension required a two-century critical dispute (Ussher/Vossius/Pearson vs. Daillé, then Cureton vs. Zahn/Lightfoot) to be authenticated as the genuine text at all (Doc_02 §1.3). The Shepherd of Hermas survives in no single complete Greek manuscript, an explicitly eclectic patchwork reconstruction with a documented forgery-adjacent complication (the Simonides episode) in its Athos transmission (Doc_02 §1.5).</w:t>
      </w:r>
      <w:r>
        <w:t xml:space="preserve"> </w:t>
      </w:r>
      <w:r>
        <w:rPr>
          <w:i/>
        </w:rPr>
        <w:t xml:space="preserve">[Confidence: Documented for the manuscript facts themselves throughout; the underlying selection mechanisms are Inferential-Thin, reconstructed from survivorship patterns rather than directly attested.]</w:t>
      </w:r>
    </w:p>
    <w:p>
      <w:pPr>
        <w:pStyle w:val="BodyText"/>
      </w:pPr>
      <w:r>
        <w:rPr>
          <w:b/>
        </w:rPr>
        <w:t xml:space="preserve">Layer 2 — World’s Own Experience:</w:t>
      </w:r>
      <w:r>
        <w:t xml:space="preserve"> </w:t>
      </w:r>
      <w:r>
        <w:t xml:space="preserve">A letter was copied and carried onward because a sister</w:t>
      </w:r>
      <w:r>
        <w:t xml:space="preserve"> </w:t>
      </w:r>
      <w:r>
        <w:rPr>
          <w:i/>
        </w:rPr>
        <w:t xml:space="preserve">ekklesia</w:t>
      </w:r>
      <w:r>
        <w:t xml:space="preserve"> </w:t>
      </w:r>
      <w:r>
        <w:t xml:space="preserve">asked for it, or because it answered a dispute that mattered enough to keep. What was worth the risk and labor of copying was not decided by an institution issuing instructions from a center — it was decided community by community, occasion by occasion, out of what a given</w:t>
      </w:r>
      <w:r>
        <w:t xml:space="preserve"> </w:t>
      </w:r>
      <w:r>
        <w:rPr>
          <w:i/>
        </w:rPr>
        <w:t xml:space="preserve">ekklesia</w:t>
      </w:r>
      <w:r>
        <w:t xml:space="preserve"> </w:t>
      </w:r>
      <w:r>
        <w:t xml:space="preserve">judged worth keeping and passing on.</w:t>
      </w:r>
    </w:p>
    <w:p>
      <w:pPr>
        <w:pStyle w:val="BodyText"/>
      </w:pPr>
      <w:r>
        <w:rPr>
          <w:b/>
        </w:rPr>
        <w:t xml:space="preserve">Layer 3 — Formation Impact:</w:t>
      </w:r>
      <w:r>
        <w:t xml:space="preserve"> </w:t>
      </w:r>
      <w:r>
        <w:t xml:space="preserve">Doc_02 §9 reads the texts that survived best (Ignatius, eventually 1 Clement via biblical-codex inclusion, Justin) as precisely the ones with either strong institutional backing or apologetic value to later, more secure generations of the church — suggesting this world’s own most vulnerable or marginal material (a hypothetical Didache-like text from Rome, or any text produced by or for an enslaved member) was structurally less likely to survive regardless of its original prevalence. This is the mechanism behind G02’s own status as Primary and cross-strand confirmed (Doc_04, G02): the network did not merely carry unity claims, it determined which portions of this world’s own self-understanding are recoverable today at all — a selection effect, not a neutral pipe.</w:t>
      </w:r>
    </w:p>
    <w:p>
      <w:r>
        <w:pict>
          <v:rect style="width:0;height:1.5pt" o:hralign="center" o:hrstd="t" o:hr="t"/>
        </w:pict>
      </w:r>
    </w:p>
    <w:p>
      <w:pPr>
        <w:pStyle w:val="Heading4"/>
      </w:pPr>
      <w:bookmarkStart w:id="36" w:name="X301902f52e923f0fceeba54901bd83521b70929"/>
      <w:r>
        <w:t xml:space="preserve">Force 2B-3: Martyrdom as Formation-Shaping Meaning-Response (G04)</w:t>
      </w:r>
      <w:bookmarkEnd w:id="36"/>
    </w:p>
    <w:p>
      <w:pPr>
        <w:pStyle w:val="FirstParagraph"/>
      </w:pPr>
      <w:r>
        <w:rPr>
          <w:b/>
        </w:rPr>
        <w:t xml:space="preserve">Layer 1 — Historical Event:</w:t>
      </w:r>
      <w:r>
        <w:t xml:space="preserve"> </w:t>
      </w:r>
      <w:r>
        <w:t xml:space="preserve">Ignatius’s own letters (</w:t>
      </w:r>
      <w:r>
        <w:rPr>
          <w:i/>
        </w:rPr>
        <w:t xml:space="preserve">Romans</w:t>
      </w:r>
      <w:r>
        <w:t xml:space="preserve"> </w:t>
      </w:r>
      <w:r>
        <w:t xml:space="preserve">4,</w:t>
      </w:r>
      <w:r>
        <w:t xml:space="preserve"> </w:t>
      </w:r>
      <w:r>
        <w:t xml:space="preserve">“</w:t>
      </w:r>
      <w:r>
        <w:t xml:space="preserve">food for wild beasts</w:t>
      </w:r>
      <w:r>
        <w:t xml:space="preserve">”</w:t>
      </w:r>
      <w:r>
        <w:t xml:space="preserve">) and the</w:t>
      </w:r>
      <w:r>
        <w:t xml:space="preserve"> </w:t>
      </w:r>
      <w:r>
        <w:rPr>
          <w:i/>
        </w:rPr>
        <w:t xml:space="preserve">Martyrdom of Polycarp</w:t>
      </w:r>
      <w:r>
        <w:t xml:space="preserve"> </w:t>
      </w:r>
      <w:r>
        <w:t xml:space="preserve">(ch. 18, describing the community collecting Polycarp’s bones as</w:t>
      </w:r>
      <w:r>
        <w:t xml:space="preserve"> </w:t>
      </w:r>
      <w:r>
        <w:t xml:space="preserve">“</w:t>
      </w:r>
      <w:r>
        <w:t xml:space="preserve">more precious than the finest jewels</w:t>
      </w:r>
      <w:r>
        <w:t xml:space="preserve">”</w:t>
      </w:r>
      <w:r>
        <w:t xml:space="preserve"> </w:t>
      </w:r>
      <w:r>
        <w:t xml:space="preserve">and marking his</w:t>
      </w:r>
      <w:r>
        <w:t xml:space="preserve"> </w:t>
      </w:r>
      <w:r>
        <w:rPr>
          <w:i/>
        </w:rPr>
        <w:t xml:space="preserve">dies natalis</w:t>
      </w:r>
      <w:r>
        <w:t xml:space="preserve">) are, within this world’s own Native evidentiary base, exactly two data points, both Strand A (Doc_01 §9; Doc_04, G04). Doc_04 classifies this Supporting, not Primary, on the strength of its own explicit test:</w:t>
      </w:r>
      <w:r>
        <w:t xml:space="preserve"> </w:t>
      </w:r>
      <w:r>
        <w:t xml:space="preserve">“</w:t>
      </w:r>
      <w:r>
        <w:t xml:space="preserve">Clearly formation-shaping for the specific individuals in the record… far less certain for the ordinary, non-elite, non-imminently-threatened member</w:t>
      </w:r>
      <w:r>
        <w:t xml:space="preserve">”</w:t>
      </w:r>
      <w:r>
        <w:t xml:space="preserve"> </w:t>
      </w:r>
      <w:r>
        <w:t xml:space="preserve">(Doc_04, G04).</w:t>
      </w:r>
      <w:r>
        <w:t xml:space="preserve"> </w:t>
      </w:r>
      <w:r>
        <w:rPr>
          <w:i/>
        </w:rPr>
        <w:t xml:space="preserve">[Confidence: the Formation-test claim itself reaches Documented-level confidence at its narrowest scope (these two individuals); representativeness beyond them is Contested/Inferential-Thin.]</w:t>
      </w:r>
    </w:p>
    <w:p>
      <w:pPr>
        <w:pStyle w:val="BodyText"/>
      </w:pPr>
      <w:r>
        <w:rPr>
          <w:b/>
        </w:rPr>
        <w:t xml:space="preserve">Layer 2 — World’s Own Experience:</w:t>
      </w:r>
      <w:r>
        <w:t xml:space="preserve"> </w:t>
      </w:r>
      <w:r>
        <w:t xml:space="preserve">For the one awaiting his own arrest, the exposure named in Force 2A-1 could turn toward eager anticipation rather than dread — a longing to be consumed rather than spared, framed as the truest possible imitation of the one this community followed (Doc_05 §1.2). For the community that received him, gathering annually at a leader’s burial site to mark the day of his death as a birth into eternal life was itself a way of carrying his example forward into the community’s own ongoing life.</w:t>
      </w:r>
    </w:p>
    <w:p>
      <w:pPr>
        <w:pStyle w:val="BodyText"/>
      </w:pPr>
      <w:r>
        <w:rPr>
          <w:b/>
        </w:rPr>
        <w:t xml:space="preserve">Layer 3 — Formation Impact:</w:t>
      </w:r>
      <w:r>
        <w:t xml:space="preserve"> </w:t>
      </w:r>
      <w:r>
        <w:t xml:space="preserve">Sustains and intensifies in direct proportion to Force 2A-1 (Doc_04, G04:</w:t>
      </w:r>
      <w:r>
        <w:t xml:space="preserve"> </w:t>
      </w:r>
      <w:r>
        <w:t xml:space="preserve">“</w:t>
      </w:r>
      <w:r>
        <w:t xml:space="preserve">This gravity is itself the meaning-making response to G03</w:t>
      </w:r>
      <w:r>
        <w:t xml:space="preserve">”</w:t>
      </w:r>
      <w:r>
        <w:t xml:space="preserve">); begins organizing time itself around a specific death-as-birth event (Doc_05 §4.1), though Doc_04’s own entry treats this as something this world was only beginning to hand off to its successors, not something its own liturgical practice (G07) had yet fully organized around.</w:t>
      </w:r>
    </w:p>
    <w:p>
      <w:r>
        <w:pict>
          <v:rect style="width:0;height:1.5pt" o:hralign="center" o:hrstd="t" o:hr="t"/>
        </w:pict>
      </w:r>
    </w:p>
    <w:p>
      <w:pPr>
        <w:pStyle w:val="Heading4"/>
      </w:pPr>
      <w:bookmarkStart w:id="37" w:name="Xfe1ba2639bdae5dc35659974f79e8ce5595f2c9"/>
      <w:r>
        <w:t xml:space="preserve">Force 2B-4: Boundary-Drawing Against Contemporary Rivals (G05)</w:t>
      </w:r>
      <w:bookmarkEnd w:id="37"/>
    </w:p>
    <w:p>
      <w:pPr>
        <w:pStyle w:val="FirstParagraph"/>
      </w:pPr>
      <w:r>
        <w:rPr>
          <w:b/>
        </w:rPr>
        <w:t xml:space="preserve">Layer 1 — Historical Event:</w:t>
      </w:r>
      <w:r>
        <w:t xml:space="preserve"> </w:t>
      </w:r>
      <w:r>
        <w:t xml:space="preserve">Ignatius’s anti-docetic argument, present across several of his letters, is — within Doc_02’s own Native evidence streams — substantively developed by exactly one voice. Doc_04 classifies this Tensional: its Formation-test result reads only</w:t>
      </w:r>
      <w:r>
        <w:t xml:space="preserve"> </w:t>
      </w:r>
      <w:r>
        <w:t xml:space="preserve">“</w:t>
      </w:r>
      <w:r>
        <w:t xml:space="preserve">Plausible… unestablished,</w:t>
      </w:r>
      <w:r>
        <w:t xml:space="preserve">”</w:t>
      </w:r>
      <w:r>
        <w:t xml:space="preserve"> </w:t>
      </w:r>
      <w:r>
        <w:t xml:space="preserve">never reaching the</w:t>
      </w:r>
      <w:r>
        <w:t xml:space="preserve"> </w:t>
      </w:r>
      <w:r>
        <w:t xml:space="preserve">“</w:t>
      </w:r>
      <w:r>
        <w:t xml:space="preserve">Clearly</w:t>
      </w:r>
      <w:r>
        <w:t xml:space="preserve">”</w:t>
      </w:r>
      <w:r>
        <w:t xml:space="preserve"> </w:t>
      </w:r>
      <w:r>
        <w:t xml:space="preserve">language G04 reaches even at its narrowest scope (Doc_04, G05).</w:t>
      </w:r>
      <w:r>
        <w:t xml:space="preserve"> </w:t>
      </w:r>
      <w:r>
        <w:rPr>
          <w:i/>
        </w:rPr>
        <w:t xml:space="preserve">[Confidence: Documented that Ignatius makes this argument; Inferential-Thin on its representativeness beyond his own direct addressees.]</w:t>
      </w:r>
    </w:p>
    <w:p>
      <w:pPr>
        <w:pStyle w:val="BodyText"/>
      </w:pPr>
      <w:r>
        <w:rPr>
          <w:b/>
        </w:rPr>
        <w:t xml:space="preserve">Layer 2 — World’s Own Experience:</w:t>
      </w:r>
      <w:r>
        <w:t xml:space="preserve"> </w:t>
      </w:r>
      <w:r>
        <w:t xml:space="preserve">A rival teaching that denied the reality of the body’s suffering felt near and threatening enough to argue against at length, letter after letter, city after city. Refusing a separate eucharist from a rival teacher and holding fast to the one eucharist under the community’s own bishop were the same act for a member shaped by this concern — belonging and boundary-marking were not experienced as two different decisions (Doc_05 §3.1).</w:t>
      </w:r>
    </w:p>
    <w:p>
      <w:pPr>
        <w:pStyle w:val="BodyText"/>
      </w:pPr>
      <w:r>
        <w:rPr>
          <w:b/>
        </w:rPr>
        <w:t xml:space="preserve">Layer 3 — Formation Impact:</w:t>
      </w:r>
      <w:r>
        <w:t xml:space="preserve"> </w:t>
      </w:r>
      <w:r>
        <w:t xml:space="preserve">Grounds this world’s own ontological commitment, per Doc_07 §2B, that the reality of the body is not incidental but load-bearing — denying real bodily suffering threatens something real precisely because embodiment is where truth and falsehood are decided in this world’s own philosophical ecology. Remains, per Doc_04’s own classification, the least evidentially secured of this world’s confirmed gravities — and, per Doc_07 §2E, for exactly that reason the clearest demonstration that even this world’s boundary was actively defended, not inherited already-drawn.</w:t>
      </w:r>
    </w:p>
    <w:p>
      <w:r>
        <w:pict>
          <v:rect style="width:0;height:1.5pt" o:hralign="center" o:hrstd="t" o:hr="t"/>
        </w:pict>
      </w:r>
    </w:p>
    <w:p>
      <w:pPr>
        <w:pStyle w:val="Heading3"/>
      </w:pPr>
      <w:bookmarkStart w:id="38" w:name="cell-3a-endingtransforming-external"/>
      <w:r>
        <w:t xml:space="preserve">CELL 3A — ENDING/TRANSFORMING / EXTERNAL</w:t>
      </w:r>
      <w:bookmarkEnd w:id="38"/>
    </w:p>
    <w:p>
      <w:pPr>
        <w:pStyle w:val="FirstParagraph"/>
      </w:pPr>
      <w:r>
        <w:rPr>
          <w:b/>
        </w:rPr>
        <w:t xml:space="preserve">Governing question:</w:t>
      </w:r>
      <w:r>
        <w:t xml:space="preserve"> </w:t>
      </w:r>
      <w:r>
        <w:t xml:space="preserve">What external forces brought this world’s distinct form to an end or transformed it into something different?</w:t>
      </w:r>
    </w:p>
    <w:p>
      <w:pPr>
        <w:pStyle w:val="BodyText"/>
      </w:pPr>
      <w:r>
        <w:rPr>
          <w:b/>
        </w:rPr>
        <w:t xml:space="preserve">Definitional note, added 2026-07-08 (Step 9 Validation &amp; Testing resolution of a round-1-flagged, previously undecided point); corrected 2026-07-08 after an independent cold review of this note found its original geographic form factually inconsistent with this document’s own Force 2A-2 content, and re-argued on a corrected, non-geographic ground.</w:t>
      </w:r>
      <w:r>
        <w:t xml:space="preserve"> </w:t>
      </w:r>
      <w:r>
        <w:t xml:space="preserve">Forces 3A-1 and 3A-2 below are generated by fellow Christian communities (Irenaeus/Tertullian’s regions; Alexandria) rather than the Roman state, which round-1 cold review flagged as</w:t>
      </w:r>
      <w:r>
        <w:t xml:space="preserve"> </w:t>
      </w:r>
      <w:r>
        <w:t xml:space="preserve">“</w:t>
      </w:r>
      <w:r>
        <w:t xml:space="preserve">defensible but contestable</w:t>
      </w:r>
      <w:r>
        <w:t xml:space="preserve">”</w:t>
      </w:r>
      <w:r>
        <w:t xml:space="preserve"> </w:t>
      </w:r>
      <w:r>
        <w:t xml:space="preserve">without this document ever settling what</w:t>
      </w:r>
      <w:r>
        <w:t xml:space="preserve"> </w:t>
      </w:r>
      <w:r>
        <w:t xml:space="preserve">“</w:t>
      </w:r>
      <w:r>
        <w:t xml:space="preserve">External</w:t>
      </w:r>
      <w:r>
        <w:t xml:space="preserve">”</w:t>
      </w:r>
      <w:r>
        <w:t xml:space="preserve"> </w:t>
      </w:r>
      <w:r>
        <w:t xml:space="preserve">means in its own usage. This document resolves it by appeal to its own established precedent rather than fresh stipulation — but the precedent is a communal/evidentiary one, not a geographic one. Force 2A-2 (Contemporary Rival Movements — Marcion, Valentinian/Gnostic Christianity, Montanism) is already classified External in Cell 2A above, despite those movements being Christian-identifying, not agents of the Roman state; but, as Force 2A-2’s own Layer 1 states directly, these movements were</w:t>
      </w:r>
      <w:r>
        <w:t xml:space="preserve"> </w:t>
      </w:r>
      <w:r>
        <w:t xml:space="preserve">“</w:t>
      </w:r>
      <w:r>
        <w:t xml:space="preserve">geographically overlapping with this world’s own three core regions in the same decades</w:t>
      </w:r>
      <w:r>
        <w:t xml:space="preserve">”</w:t>
      </w:r>
      <w:r>
        <w:t xml:space="preserve"> </w:t>
      </w:r>
      <w:r>
        <w:t xml:space="preserve">— Marcion centered in Rome, Valentinian Christianity documented in both Rome and Asia Minor, Montanism spreading from Asia Minor to Rome (Doc_01 §8.3). A geographic reading of</w:t>
      </w:r>
      <w:r>
        <w:t xml:space="preserve"> </w:t>
      </w:r>
      <w:r>
        <w:t xml:space="preserve">“</w:t>
      </w:r>
      <w:r>
        <w:t xml:space="preserve">External</w:t>
      </w:r>
      <w:r>
        <w:t xml:space="preserve">”</w:t>
      </w:r>
      <w:r>
        <w:t xml:space="preserve"> </w:t>
      </w:r>
      <w:r>
        <w:t xml:space="preserve">— outside this world’s own three core regions — therefore cannot be what makes Force 2A-2 External, since 2A-2’s own rivals operated substantially inside two of those three regions. That reading was this document’s original error, caught on independent review, and is withdrawn here rather than left standing.</w:t>
      </w:r>
    </w:p>
    <w:p>
      <w:pPr>
        <w:pStyle w:val="BodyText"/>
      </w:pPr>
      <w:r>
        <w:t xml:space="preserve">The actual rule Force 2A-2 already applies, and that Forces 3A-1/3A-2 can consistently follow, is narrower and does not depend on geography at all:</w:t>
      </w:r>
      <w:r>
        <w:t xml:space="preserve"> </w:t>
      </w:r>
      <w:r>
        <w:rPr>
          <w:b/>
        </w:rPr>
        <w:t xml:space="preserve">“</w:t>
      </w:r>
      <w:r>
        <w:rPr>
          <w:b/>
        </w:rPr>
        <w:t xml:space="preserve">External</w:t>
      </w:r>
      <w:r>
        <w:rPr>
          <w:b/>
        </w:rPr>
        <w:t xml:space="preserve">”</w:t>
      </w:r>
      <w:r>
        <w:rPr>
          <w:b/>
        </w:rPr>
        <w:t xml:space="preserve"> </w:t>
      </w:r>
      <w:r>
        <w:rPr>
          <w:b/>
        </w:rPr>
        <w:t xml:space="preserve">names a force generated by a community, movement, or institution other than this world’s own six-primary-voice evidentiary network</w:t>
      </w:r>
      <w:r>
        <w:t xml:space="preserve"> </w:t>
      </w:r>
      <w:r>
        <w:t xml:space="preserve">— the Didache, 1 Clement, Ignatius, Polycarp, Hermas, and Justin, and the specific</w:t>
      </w:r>
      <w:r>
        <w:t xml:space="preserve"> </w:t>
      </w:r>
      <w:r>
        <w:rPr>
          <w:i/>
        </w:rPr>
        <w:t xml:space="preserve">ekklesiai</w:t>
      </w:r>
      <w:r>
        <w:t xml:space="preserve"> </w:t>
      </w:r>
      <w:r>
        <w:t xml:space="preserve">those six voices document (Doc_02 §1) — regardless of where that outside community happens to be physically located. Force 2A-2’s rival movements meet this test on exactly this ground: they are doctrinally and organizationally distinct from this world’s own six voices and the communities those voices speak for, even where a rival movement operated in the very same city as one of this world’s own</w:t>
      </w:r>
      <w:r>
        <w:t xml:space="preserve"> </w:t>
      </w:r>
      <w:r>
        <w:rPr>
          <w:i/>
        </w:rPr>
        <w:t xml:space="preserve">ekklesiai</w:t>
      </w:r>
      <w:r>
        <w:t xml:space="preserve">. Forces 3A-1 and 3A-2 meet the identical, non-geographic test on the identical ground: Irenaeus, Tertullian, and Alexandria’s emerging teaching institution are none of them among this world’s own six primary voices, and none of them write for or from one of this world’s own documented</w:t>
      </w:r>
      <w:r>
        <w:t xml:space="preserve"> </w:t>
      </w:r>
      <w:r>
        <w:rPr>
          <w:i/>
        </w:rPr>
        <w:t xml:space="preserve">ekklesiai</w:t>
      </w:r>
      <w:r>
        <w:t xml:space="preserve"> </w:t>
      </w:r>
      <w:r>
        <w:t xml:space="preserve">— they are later or neighboring voices standing outside this world’s own defined evidentiary community, independent of their geographic location. Classified consistently with 2A-2’s own precedent under this corrected reading, 3A-1 and 3A-2’s</w:t>
      </w:r>
      <w:r>
        <w:t xml:space="preserve"> </w:t>
      </w:r>
      <w:r>
        <w:t xml:space="preserve">“</w:t>
      </w:r>
      <w:r>
        <w:t xml:space="preserve">External</w:t>
      </w:r>
      <w:r>
        <w:t xml:space="preserve">”</w:t>
      </w:r>
      <w:r>
        <w:t xml:space="preserve"> </w:t>
      </w:r>
      <w:r>
        <w:t xml:space="preserve">classification is not an ad hoc call specific to Cell 3A — it follows the same rule this document already applied one cell earlier, now stated on the ground that actually supports it.</w:t>
      </w:r>
    </w:p>
    <w:p>
      <w:r>
        <w:pict>
          <v:rect style="width:0;height:1.5pt" o:hralign="center" o:hrstd="t" o:hr="t"/>
        </w:pict>
      </w:r>
    </w:p>
    <w:p>
      <w:pPr>
        <w:pStyle w:val="Heading4"/>
      </w:pPr>
      <w:bookmarkStart w:id="39" w:name="X9da38d810b32de4bd60a57922d140340836cd7d"/>
      <w:r>
        <w:t xml:space="preserve">Force 3A-1: A Systematic, Succession-Argument Theological Mode Emerging in Adjacent Regions</w:t>
      </w:r>
      <w:bookmarkEnd w:id="39"/>
    </w:p>
    <w:p>
      <w:pPr>
        <w:pStyle w:val="FirstParagraph"/>
      </w:pPr>
      <w:r>
        <w:rPr>
          <w:b/>
        </w:rPr>
        <w:t xml:space="preserve">Layer 1 — Historical Event:</w:t>
      </w:r>
      <w:r>
        <w:t xml:space="preserve"> </w:t>
      </w:r>
      <w:r>
        <w:t xml:space="preserve">Irenaeus’s</w:t>
      </w:r>
      <w:r>
        <w:t xml:space="preserve"> </w:t>
      </w:r>
      <w:r>
        <w:rPr>
          <w:i/>
        </w:rPr>
        <w:t xml:space="preserve">Adversus Haereses</w:t>
      </w:r>
      <w:r>
        <w:t xml:space="preserve"> </w:t>
      </w:r>
      <w:r>
        <w:t xml:space="preserve">(c. 180, written in Gaul) makes the first explicit four-Gospel, apostolic-succession argument; Tertullian’s</w:t>
      </w:r>
      <w:r>
        <w:t xml:space="preserve"> </w:t>
      </w:r>
      <w:r>
        <w:rPr>
          <w:i/>
        </w:rPr>
        <w:t xml:space="preserve">Apologeticus</w:t>
      </w:r>
      <w:r>
        <w:t xml:space="preserve"> </w:t>
      </w:r>
      <w:r>
        <w:t xml:space="preserve">(197, Carthage) inaugurates a confident Latin apologetic corpus. Both figures write from regions genuinely outside this world’s own three core regions (Antioch/Syria, Asia Minor, Rome), and both argue</w:t>
      </w:r>
      <w:r>
        <w:t xml:space="preserve"> </w:t>
      </w:r>
      <w:r>
        <w:rPr>
          <w:i/>
        </w:rPr>
        <w:t xml:space="preserve">from</w:t>
      </w:r>
      <w:r>
        <w:t xml:space="preserve"> </w:t>
      </w:r>
      <w:r>
        <w:t xml:space="preserve">apostolic succession as an already-secured structure rather than one still being actively built through pastoral correspondence (Doc_01 §2.2).</w:t>
      </w:r>
      <w:r>
        <w:t xml:space="preserve"> </w:t>
      </w:r>
      <w:r>
        <w:rPr>
          <w:i/>
        </w:rPr>
        <w:t xml:space="preserve">[Confidence: Well-established that these texts exist and argue this way; the characterization of this as a genuinely new mode relative to this world’s own correspondence-and-catechesis pattern is this project’s own comparative reading, Dominant Modern Reconstruction.]</w:t>
      </w:r>
    </w:p>
    <w:p>
      <w:pPr>
        <w:pStyle w:val="BodyText"/>
      </w:pPr>
      <w:r>
        <w:rPr>
          <w:b/>
        </w:rPr>
        <w:t xml:space="preserve">Layer 2 — World’s Own Experience:</w:t>
      </w:r>
      <w:r>
        <w:t xml:space="preserve"> </w:t>
      </w:r>
      <w:r>
        <w:t xml:space="preserve">Where sources allow: this world’s own texts show no awareness of encountering a fully secured, systematized account of apostolic succession as a settled fact — the felt experience recoverable from this world’s own core-region voices is of a still-argued, still-urgent question, not a doctrine already received from elsewhere. Whether or how a Strand A or Strand B member in this world’s own final years began to encounter this newer mode is not recoverable from surviving sources.</w:t>
      </w:r>
    </w:p>
    <w:p>
      <w:pPr>
        <w:pStyle w:val="BodyText"/>
      </w:pPr>
      <w:r>
        <w:rPr>
          <w:b/>
        </w:rPr>
        <w:t xml:space="preserve">Layer 3 — Formation Impact:</w:t>
      </w:r>
      <w:r>
        <w:t xml:space="preserve"> </w:t>
      </w:r>
      <w:r>
        <w:t xml:space="preserve">Marks, per Doc_01 §2.2, the point at which this world’s own defining tension (collegial vs. monarchical authority; apostolic testimony vs. closed canon) becomes clearly resolved-in-direction rather than actively argued — the emergence of a formation logic that has settled, in adjacent regions, is what Doc_01 and Doc_07 both use to mark this world’s own closing boundary, precisely because arguing rather than inheriting was this world’s own defining character (Doc_07 §2E).</w:t>
      </w:r>
    </w:p>
    <w:p>
      <w:r>
        <w:pict>
          <v:rect style="width:0;height:1.5pt" o:hralign="center" o:hrstd="t" o:hr="t"/>
        </w:pict>
      </w:r>
    </w:p>
    <w:p>
      <w:pPr>
        <w:pStyle w:val="Heading4"/>
      </w:pPr>
      <w:bookmarkStart w:id="40" w:name="X52111e4c09b136f8cd2a7e29e47d9fa30935a61"/>
      <w:r>
        <w:t xml:space="preserve">Force 3A-2: The Emergence of a Neighboring, Distinct Formation World (Alexandria)</w:t>
      </w:r>
      <w:bookmarkEnd w:id="40"/>
    </w:p>
    <w:p>
      <w:pPr>
        <w:pStyle w:val="FirstParagraph"/>
      </w:pPr>
      <w:r>
        <w:rPr>
          <w:b/>
        </w:rPr>
        <w:t xml:space="preserve">Layer 1 — Historical Event:</w:t>
      </w:r>
      <w:r>
        <w:t xml:space="preserve"> </w:t>
      </w:r>
      <w:r>
        <w:t xml:space="preserve">The Step 0 Conclusion independently dates the Alexandrian Catechetical/Christian-Platonist Tradition (World #2) to c. 190–254 CE, built on a teaching-relationship, exegetical-philosophical formation logic distinct from this world’s own household- and correspondence-based pastoral formation (Doc_01 §8.2). The two worlds’ temporal ranges overlap only at this world’s own closing edge (c. 190–200).</w:t>
      </w:r>
      <w:r>
        <w:t xml:space="preserve"> </w:t>
      </w:r>
      <w:r>
        <w:rPr>
          <w:i/>
        </w:rPr>
        <w:t xml:space="preserve">[Confidence: Documented that World #2’s own gravity is independently emerging in these years, per the Step 0 Conclusion’s own dating.]</w:t>
      </w:r>
    </w:p>
    <w:p>
      <w:pPr>
        <w:pStyle w:val="BodyText"/>
      </w:pPr>
      <w:r>
        <w:rPr>
          <w:b/>
        </w:rPr>
        <w:t xml:space="preserve">Layer 2 — World’s Own Experience:</w:t>
      </w:r>
      <w:r>
        <w:t xml:space="preserve"> </w:t>
      </w:r>
      <w:r>
        <w:t xml:space="preserve">Not recoverable from this world’s own sources — this world’s own core-region texts do not register Alexandria’s emerging formation mode as a felt presence or pressure within this world’s own lifetime.</w:t>
      </w:r>
    </w:p>
    <w:p>
      <w:pPr>
        <w:pStyle w:val="BodyText"/>
      </w:pPr>
      <w:r>
        <w:rPr>
          <w:b/>
        </w:rPr>
        <w:t xml:space="preserve">Layer 3 — Formation Impact:</w:t>
      </w:r>
      <w:r>
        <w:t xml:space="preserve"> </w:t>
      </w:r>
      <w:r>
        <w:t xml:space="preserve">Doc_01 treats this overlap as a genuine, evidence-supported handoff rather than a contradiction requiring resolution (Doc_01 §8.2) — a different formation logic emerging in a different region at the precise moment this world’s own logic is closing, rather than displacing or fracturing this world’s own communities directly.</w:t>
      </w:r>
    </w:p>
    <w:p>
      <w:r>
        <w:pict>
          <v:rect style="width:0;height:1.5pt" o:hralign="center" o:hrstd="t" o:hr="t"/>
        </w:pict>
      </w:r>
    </w:p>
    <w:p>
      <w:pPr>
        <w:pStyle w:val="Heading3"/>
      </w:pPr>
      <w:bookmarkStart w:id="41" w:name="X7278959e0f55c4d557a183f2f4b517a0777b28d"/>
      <w:r>
        <w:t xml:space="preserve">CELL 3B — ENDING/TRANSFORMING / INTERNAL [includes Transmission dimension]</w:t>
      </w:r>
      <w:bookmarkEnd w:id="41"/>
    </w:p>
    <w:p>
      <w:pPr>
        <w:pStyle w:val="FirstParagraph"/>
      </w:pPr>
      <w:r>
        <w:rPr>
          <w:b/>
        </w:rPr>
        <w:t xml:space="preserve">Governing question:</w:t>
      </w:r>
      <w:r>
        <w:t xml:space="preserve"> </w:t>
      </w:r>
      <w:r>
        <w:t xml:space="preserve">What internal forces fractured this community, generated successor movements, or led to the dissolution of its characteristic form?</w:t>
      </w:r>
    </w:p>
    <w:p>
      <w:pPr>
        <w:pStyle w:val="BlockText"/>
      </w:pPr>
      <w:r>
        <w:rPr>
          <w:b/>
        </w:rPr>
        <w:t xml:space="preserve">Transmission note:</w:t>
      </w:r>
      <w:r>
        <w:t xml:space="preserve"> </w:t>
      </w:r>
      <w:r>
        <w:t xml:space="preserve">addressed explicitly at Force 3B-2 below.</w:t>
      </w:r>
    </w:p>
    <w:p>
      <w:r>
        <w:pict>
          <v:rect style="width:0;height:1.5pt" o:hralign="center" o:hrstd="t" o:hr="t"/>
        </w:pict>
      </w:r>
    </w:p>
    <w:p>
      <w:pPr>
        <w:pStyle w:val="Heading4"/>
      </w:pPr>
      <w:bookmarkStart w:id="42" w:name="X2407dbe29e68ce43cbe44eebeb0045da33f0bd7"/>
      <w:r>
        <w:t xml:space="preserve">Force 3B-1: Monepiscopacy’s Consolidation as the Dominant Emerging Pattern</w:t>
      </w:r>
      <w:bookmarkEnd w:id="42"/>
    </w:p>
    <w:p>
      <w:pPr>
        <w:pStyle w:val="FirstParagraph"/>
      </w:pPr>
      <w:r>
        <w:rPr>
          <w:b/>
        </w:rPr>
        <w:t xml:space="preserve">Layer 1 — Historical Event:</w:t>
      </w:r>
      <w:r>
        <w:t xml:space="preserve"> </w:t>
      </w:r>
      <w:r>
        <w:t xml:space="preserve">Monepiscopacy appears earliest in Antioch and western Asia Minor via Ignatius, and latest in Rome, where Peter Lampe’s</w:t>
      </w:r>
      <w:r>
        <w:t xml:space="preserve"> </w:t>
      </w:r>
      <w:r>
        <w:t xml:space="preserve">“</w:t>
      </w:r>
      <w:r>
        <w:t xml:space="preserve">fractionated</w:t>
      </w:r>
      <w:r>
        <w:t xml:space="preserve">”</w:t>
      </w:r>
      <w:r>
        <w:t xml:space="preserve"> </w:t>
      </w:r>
      <w:r>
        <w:t xml:space="preserve">reading finds no monarchical bishop until, on his account, possibly not before Victor I (189–199 CE). By c. 200, single-bishop governance is the dominant emerging pattern even in Rome — a real shift away from this world’s own defining collegial-authority-in-formation gravity (Doc_01 §2.2).</w:t>
      </w:r>
      <w:r>
        <w:t xml:space="preserve"> </w:t>
      </w:r>
      <w:r>
        <w:rPr>
          <w:i/>
        </w:rPr>
        <w:t xml:space="preserve">[Confidence: Well-established for the general pattern per Sullivan and Lampe; Contested on the precise Roman dating, per Lampe’s own specific account.]</w:t>
      </w:r>
    </w:p>
    <w:p>
      <w:pPr>
        <w:pStyle w:val="BodyText"/>
      </w:pPr>
      <w:r>
        <w:rPr>
          <w:b/>
        </w:rPr>
        <w:t xml:space="preserve">Layer 2 — World’s Own Experience:</w:t>
      </w:r>
      <w:r>
        <w:t xml:space="preserve"> </w:t>
      </w:r>
      <w:r>
        <w:t xml:space="preserve">Not recoverable as a single unified experience — this world’s own texts do not record a moment of resolution, only the gradual, regionally uneven disappearance of the plural-college alternative as a live, argued option. Where this world’s own sources are silent about how a Strand B member experienced the eventual adoption of a single bishop in Rome, this document does not construct an experience that is not attested.</w:t>
      </w:r>
    </w:p>
    <w:p>
      <w:pPr>
        <w:pStyle w:val="BodyText"/>
      </w:pPr>
      <w:r>
        <w:rPr>
          <w:b/>
        </w:rPr>
        <w:t xml:space="preserve">Layer 3 — Formation Impact:</w:t>
      </w:r>
      <w:r>
        <w:t xml:space="preserve"> </w:t>
      </w:r>
      <w:r>
        <w:t xml:space="preserve">This is the internal dissolution of this world’s own characteristic form specifically — the resolution (not the mere continuation) of G01’s own defining tension. Doc_01 §5 names this as one of three convergent fronts marking this world’s own exit boundary; Doc_07 §2E treats this world’s end as, by definition, the appearance of a formation logic that has settled where this world’s own had not — meaning this world could not, by its own defining character, survive its own authority question actually being resolved.</w:t>
      </w:r>
    </w:p>
    <w:p>
      <w:r>
        <w:pict>
          <v:rect style="width:0;height:1.5pt" o:hralign="center" o:hrstd="t" o:hr="t"/>
        </w:pict>
      </w:r>
    </w:p>
    <w:p>
      <w:pPr>
        <w:pStyle w:val="Heading4"/>
      </w:pPr>
      <w:bookmarkStart w:id="43" w:name="X1d82d9369d3ae67858e95839794662c5912a7c1"/>
      <w:r>
        <w:t xml:space="preserve">Force 3B-2: Transmission at the Ending — Selective Canonization</w:t>
      </w:r>
      <w:bookmarkEnd w:id="43"/>
    </w:p>
    <w:p>
      <w:pPr>
        <w:pStyle w:val="FirstParagraph"/>
      </w:pPr>
      <w:r>
        <w:rPr>
          <w:b/>
        </w:rPr>
        <w:t xml:space="preserve">Layer 1 — Historical Event:</w:t>
      </w:r>
      <w:r>
        <w:t xml:space="preserve"> </w:t>
      </w:r>
      <w:r>
        <w:t xml:space="preserve">As monepiscopacy and apostolic succession became this wider tradition’s own settled self-understanding, later transmission favored the texts that supported that settlement: Ignatius’s corpus, the earliest sustained argument for monepiscopacy, was preserved, cited, and eventually required a two-century critical-scholarship effort to authenticate precisely because of its later canonical importance (Doc_02 §1.3); 1 Clement was folded into Codex Alexandrinus alongside the New Testament (Doc_02 §1.2). By contrast, Hermas — cited as scripture by Irenaeus, Clement of Alexandria, and Origen, included in Codex Sinaiticus — was only later excluded by Athanasius, its canonical status having been</w:t>
      </w:r>
      <w:r>
        <w:t xml:space="preserve"> </w:t>
      </w:r>
      <w:r>
        <w:t xml:space="preserve">“</w:t>
      </w:r>
      <w:r>
        <w:t xml:space="preserve">genuinely fluid, not settled from the start</w:t>
      </w:r>
      <w:r>
        <w:t xml:space="preserve">”</w:t>
      </w:r>
      <w:r>
        <w:t xml:space="preserve"> </w:t>
      </w:r>
      <w:r>
        <w:t xml:space="preserve">(Doc_02 §1.5); the Didache, plausibly a single Syrian community’s own document, disappeared from active circulation for roughly eighteen centuries (Doc_02 §1.1).</w:t>
      </w:r>
      <w:r>
        <w:t xml:space="preserve"> </w:t>
      </w:r>
      <w:r>
        <w:rPr>
          <w:i/>
        </w:rPr>
        <w:t xml:space="preserve">[Confidence: Documented for the manuscript-survival facts; Inferential-Thin on the specific causal claim that the settlement itself drove these particular selection outcomes, which is this document’s own synthesis rather than directly attested.]</w:t>
      </w:r>
    </w:p>
    <w:p>
      <w:pPr>
        <w:pStyle w:val="BodyText"/>
      </w:pPr>
      <w:r>
        <w:rPr>
          <w:b/>
        </w:rPr>
        <w:t xml:space="preserve">Layer 2 — World’s Own Experience:</w:t>
      </w:r>
      <w:r>
        <w:t xml:space="preserve"> </w:t>
      </w:r>
      <w:r>
        <w:t xml:space="preserve">Not recoverable — no source in this world’s own evidentiary base registers an awareness of its own eventual selective transmission. This is a judgment available only in retrospect, from outside this world’s own lived experience, and is not attributed to this world’s own self-understanding.</w:t>
      </w:r>
    </w:p>
    <w:p>
      <w:pPr>
        <w:pStyle w:val="BodyText"/>
      </w:pPr>
      <w:r>
        <w:rPr>
          <w:b/>
        </w:rPr>
        <w:t xml:space="preserve">Layer 3 — Formation Impact:</w:t>
      </w:r>
      <w:r>
        <w:t xml:space="preserve"> </w:t>
      </w:r>
      <w:r>
        <w:t xml:space="preserve">This is the direct mechanism behind why this world’s own Strand B (Rome) content — Hermas above all — is thinner and less securely canonical in the modern evidentiary base than Strand A’s Ignatian material, independent of how prevalent either strand’s practice actually was in its own time. It connects directly to Doc_02 §8’s Affirmative Duty disclosure: this world’s evidence base privileges literate, leadership-tier, eventually-canonically-useful voices, and the ending-transmission pattern is one further, later-stage instance of the same structural filter operating throughout this world’s own life.</w:t>
      </w:r>
    </w:p>
    <w:p>
      <w:r>
        <w:pict>
          <v:rect style="width:0;height:1.5pt" o:hralign="center" o:hrstd="t" o:hr="t"/>
        </w:pict>
      </w:r>
    </w:p>
    <w:p>
      <w:pPr>
        <w:pStyle w:val="Heading2"/>
      </w:pPr>
      <w:bookmarkStart w:id="44" w:name="section-4-cross-cell-connections"/>
      <w:r>
        <w:t xml:space="preserve">Section 4 — Cross-Cell Connections</w:t>
      </w:r>
      <w:bookmarkEnd w:id="44"/>
    </w:p>
    <w:p>
      <w:pPr>
        <w:pStyle w:val="Heading3"/>
      </w:pPr>
      <w:bookmarkStart w:id="45" w:name="named-cross-cell-connections"/>
      <w:r>
        <w:t xml:space="preserve">Named Cross-Cell Connections</w:t>
      </w:r>
      <w:bookmarkEnd w:id="45"/>
    </w:p>
    <w:p>
      <w:pPr>
        <w:pStyle w:val="FirstParagraph"/>
      </w:pPr>
      <w:r>
        <w:rPr>
          <w:b/>
        </w:rPr>
        <w:t xml:space="preserve">Connection 1:</w:t>
      </w:r>
      <w:r>
        <w:t xml:space="preserve"> </w:t>
      </w:r>
      <w:r>
        <w:t xml:space="preserve">Force 1A-2 (Neronian Persecution/Apostolic Deaths) → Force 2B-1 (Authority Consolidation, G01)</w:t>
      </w:r>
    </w:p>
    <w:p>
      <w:pPr>
        <w:pStyle w:val="BodyText"/>
      </w:pPr>
      <w:r>
        <w:t xml:space="preserve">The eyewitness-generation loss that Force 1A-2 initiates is the direct generative condition for G01’s own ongoing internal contest. Doc_01 §7 names this explicitly: the dispersal of apostolic authority</w:t>
      </w:r>
      <w:r>
        <w:t xml:space="preserve"> </w:t>
      </w:r>
      <w:r>
        <w:t xml:space="preserve">“</w:t>
      </w:r>
      <w:r>
        <w:t xml:space="preserve">created an urgent, lived problem</w:t>
      </w:r>
      <w:r>
        <w:t xml:space="preserve">”</w:t>
      </w:r>
      <w:r>
        <w:t xml:space="preserve"> </w:t>
      </w:r>
      <w:r>
        <w:t xml:space="preserve">of maintaining legitimate authority, which is exactly what G01 tests and finds Supporting-level, cross-strand-force-confirmed evidence for (Doc_04, G01).</w:t>
      </w:r>
    </w:p>
    <w:p>
      <w:r>
        <w:pict>
          <v:rect style="width:0;height:1.5pt" o:hralign="center" o:hrstd="t" o:hr="t"/>
        </w:pict>
      </w:r>
    </w:p>
    <w:p>
      <w:pPr>
        <w:pStyle w:val="FirstParagraph"/>
      </w:pPr>
      <w:r>
        <w:rPr>
          <w:b/>
        </w:rPr>
        <w:t xml:space="preserve">Connection 2:</w:t>
      </w:r>
      <w:r>
        <w:t xml:space="preserve"> </w:t>
      </w:r>
      <w:r>
        <w:t xml:space="preserve">Force 2A-1 (State Legal Precarity, G03) → Force 2B-3 (Martyrdom as Meaning-Response, G04)</w:t>
      </w:r>
    </w:p>
    <w:p>
      <w:pPr>
        <w:pStyle w:val="BodyText"/>
      </w:pPr>
      <w:r>
        <w:t xml:space="preserve">Doc_04’s own Forces test for G04 states directly:</w:t>
      </w:r>
      <w:r>
        <w:t xml:space="preserve"> </w:t>
      </w:r>
      <w:r>
        <w:t xml:space="preserve">“</w:t>
      </w:r>
      <w:r>
        <w:t xml:space="preserve">This gravity</w:t>
      </w:r>
      <w:r>
        <w:t xml:space="preserve"> </w:t>
      </w:r>
      <w:r>
        <w:rPr>
          <w:i/>
        </w:rPr>
        <w:t xml:space="preserve">is</w:t>
      </w:r>
      <w:r>
        <w:t xml:space="preserve"> </w:t>
      </w:r>
      <w:r>
        <w:t xml:space="preserve">the meaning-making response to G03 — it intensifies in direct proportion to state pressure and does not appear to operate independently of it in this world’s own evidence</w:t>
      </w:r>
      <w:r>
        <w:t xml:space="preserve">”</w:t>
      </w:r>
      <w:r>
        <w:t xml:space="preserve"> </w:t>
      </w:r>
      <w:r>
        <w:t xml:space="preserve">(Doc_04, G04). This is the most directly and explicitly evidenced cross-cell connection in this entire matrix.</w:t>
      </w:r>
    </w:p>
    <w:p>
      <w:r>
        <w:pict>
          <v:rect style="width:0;height:1.5pt" o:hralign="center" o:hrstd="t" o:hr="t"/>
        </w:pict>
      </w:r>
    </w:p>
    <w:p>
      <w:pPr>
        <w:pStyle w:val="FirstParagraph"/>
      </w:pPr>
      <w:r>
        <w:rPr>
          <w:b/>
        </w:rPr>
        <w:t xml:space="preserve">Connection 3:</w:t>
      </w:r>
      <w:r>
        <w:t xml:space="preserve"> </w:t>
      </w:r>
      <w:r>
        <w:t xml:space="preserve">Force 2A-2 (Contemporary Rival Movements) → Force 2B-4 (Boundary-Drawing, G05)</w:t>
      </w:r>
    </w:p>
    <w:p>
      <w:pPr>
        <w:pStyle w:val="BodyText"/>
      </w:pPr>
      <w:r>
        <w:t xml:space="preserve">Ignatius’s own anti-docetic argument (2B-4) exists as a direct response to the live presence of Marcionite, Valentinian, and proto-docetic teaching in his own regional field (2A-2) — Doc_01 §8.3 develops this connection explicitly, and Doc_04’s own generation note for G05 draws directly on it.</w:t>
      </w:r>
    </w:p>
    <w:p>
      <w:r>
        <w:pict>
          <v:rect style="width:0;height:1.5pt" o:hralign="center" o:hrstd="t" o:hr="t"/>
        </w:pict>
      </w:r>
    </w:p>
    <w:p>
      <w:pPr>
        <w:pStyle w:val="FirstParagraph"/>
      </w:pPr>
      <w:r>
        <w:rPr>
          <w:b/>
        </w:rPr>
        <w:t xml:space="preserve">Connection 4:</w:t>
      </w:r>
      <w:r>
        <w:t xml:space="preserve"> </w:t>
      </w:r>
      <w:r>
        <w:t xml:space="preserve">Force 1A-1 (Roman Imperial Mediterranean World) → Force 2B-2 (Transmission)</w:t>
      </w:r>
    </w:p>
    <w:p>
      <w:pPr>
        <w:pStyle w:val="BodyText"/>
      </w:pPr>
      <w:r>
        <w:t xml:space="preserve">The same infrastructure and linguistic koine that made this world’s own correspondence network possible at its origin (1A-1) is the physical and linguistic condition for every later transmission event described in Force 2B-2 — a letter cannot be forwarded, copied, or preserved across regions without the roads, ports, and shared language that 1A-1 documents.</w:t>
      </w:r>
    </w:p>
    <w:p>
      <w:r>
        <w:pict>
          <v:rect style="width:0;height:1.5pt" o:hralign="center" o:hrstd="t" o:hr="t"/>
        </w:pict>
      </w:r>
    </w:p>
    <w:p>
      <w:pPr>
        <w:pStyle w:val="FirstParagraph"/>
      </w:pPr>
      <w:r>
        <w:rPr>
          <w:b/>
        </w:rPr>
        <w:t xml:space="preserve">Connection 5:</w:t>
      </w:r>
      <w:r>
        <w:t xml:space="preserve"> </w:t>
      </w:r>
      <w:r>
        <w:t xml:space="preserve">Force 2A-1 (State Legal Precarity, G03) → Force 2B-4 (Boundary-Drawing, G05) — this document’s own new synthesis, not an inherited Doc_04 finding</w:t>
      </w:r>
    </w:p>
    <w:p>
      <w:pPr>
        <w:pStyle w:val="BodyText"/>
      </w:pPr>
      <w:r>
        <w:t xml:space="preserve">Doc_07 §2D proposes, and this document carries forward with the same disclosure, that these two forces — evidenced by entirely different sources (Pliny; Ignatius) and recording no demonstrated relationship in Doc_04’s own Interaction Matrix (corrected to</w:t>
      </w:r>
      <w:r>
        <w:t xml:space="preserve"> </w:t>
      </w:r>
      <w:r>
        <w:t xml:space="preserve">“</w:t>
      </w:r>
      <w:r>
        <w:t xml:space="preserve">No demonstrated relationship</w:t>
      </w:r>
      <w:r>
        <w:t xml:space="preserve">”</w:t>
      </w:r>
      <w:r>
        <w:t xml:space="preserve"> </w:t>
      </w:r>
      <w:r>
        <w:t xml:space="preserve">at Doc_04’s round-5 review) — nonetheless converge on a single formative lesson at the level of lived experience for a Strand A member: maintaining any boundary at all, doctrinal or legal, was rehearsed as one continuous kind of refusal. This connection is disclosed here, as in Doc_07, as this project’s own interpretive extension rather than a finding either Doc_04 or Doc_02 independently traces.</w:t>
      </w:r>
    </w:p>
    <w:p>
      <w:r>
        <w:pict>
          <v:rect style="width:0;height:1.5pt" o:hralign="center" o:hrstd="t" o:hr="t"/>
        </w:pict>
      </w:r>
    </w:p>
    <w:p>
      <w:pPr>
        <w:pStyle w:val="FirstParagraph"/>
      </w:pPr>
      <w:r>
        <w:rPr>
          <w:b/>
        </w:rPr>
        <w:t xml:space="preserve">Connection 6:</w:t>
      </w:r>
      <w:r>
        <w:t xml:space="preserve"> </w:t>
      </w:r>
      <w:r>
        <w:t xml:space="preserve">Force 3A-1 (Systematic Theological Mode in Adjacent Regions) → Force 3B-1 (Monepiscopacy’s Consolidation)</w:t>
      </w:r>
    </w:p>
    <w:p>
      <w:pPr>
        <w:pStyle w:val="BodyText"/>
      </w:pPr>
      <w:r>
        <w:t xml:space="preserve">Doc_01 §2.2 treats these as two of three converging lines of evidence for the same closing boundary — a systematized succession-argument mode emerging in adjacent regions and monepiscopacy’s own internal consolidation are not independent events but two faces of the same underlying transition from an argued to a settled formation logic.</w:t>
      </w:r>
    </w:p>
    <w:p>
      <w:r>
        <w:pict>
          <v:rect style="width:0;height:1.5pt" o:hralign="center" o:hrstd="t" o:hr="t"/>
        </w:pict>
      </w:r>
    </w:p>
    <w:p>
      <w:pPr>
        <w:pStyle w:val="Heading3"/>
      </w:pPr>
      <w:bookmarkStart w:id="46" w:name="what-the-cross-cell-pattern-reveals"/>
      <w:r>
        <w:t xml:space="preserve">What the Cross-Cell Pattern Reveals</w:t>
      </w:r>
      <w:bookmarkEnd w:id="46"/>
    </w:p>
    <w:p>
      <w:pPr>
        <w:pStyle w:val="FirstParagraph"/>
      </w:pPr>
      <w:r>
        <w:t xml:space="preserve">Held together, these six connections show that this world’s forces organize around a single axis running from Cell 1A/1B through to Cell 3A/3B: the loss of direct apostolic witness (1A-2, 1B-1) generates an urgent need to actively argue rather than passively inherit legitimacy (2B-1, 2B-4), intensified and given real stakes by external pressure (2A-1, 2A-2) that never became severe enough to force a premature resolution (per Doc_07 §3’s own finding), until an external, adjacent settlement (3A-1, 3A-2) finally supplies the resolved formation logic this world’s own internal dynamics could not generate on their own (3B-1). Transmission (2B-2, 3B-2) runs alongside this entire arc as a structural filter, meaning what is recoverable about this world today is itself shaped by which parts of this argued, unsettled character later generations found useful to preserve. No single force in this matrix operates in isolation from this axis; even the two forces most resistant to placement (1A-1’s infrastructure, 3A-2’s neighboring world) turn out to be enabling and bracketing conditions for it, not separate stories.</w:t>
      </w:r>
    </w:p>
    <w:p>
      <w:r>
        <w:pict>
          <v:rect style="width:0;height:1.5pt" o:hralign="center" o:hrstd="t" o:hr="t"/>
        </w:pict>
      </w:r>
    </w:p>
    <w:p>
      <w:pPr>
        <w:pStyle w:val="Heading2"/>
      </w:pPr>
      <w:bookmarkStart w:id="47" w:name="section-5-forces-and-gravities-synthesis"/>
      <w:r>
        <w:t xml:space="preserve">Section 5 — Forces-and-Gravities Synthesis</w:t>
      </w:r>
      <w:bookmarkEnd w:id="47"/>
    </w:p>
    <w:p>
      <w:pPr>
        <w:pStyle w:val="Heading3"/>
      </w:pPr>
      <w:bookmarkStart w:id="48" w:name="gravity-by-gravity-force-connections"/>
      <w:r>
        <w:t xml:space="preserve">Gravity-by-Gravity Force Connections</w:t>
      </w:r>
      <w:bookmarkEnd w:id="48"/>
    </w:p>
    <w:p>
      <w:pPr>
        <w:pStyle w:val="FirstParagraph"/>
      </w:pPr>
      <w:r>
        <w:rPr>
          <w:b/>
        </w:rPr>
        <w:t xml:space="preserve">Gravity: G02 — Translocal Correspondence Network</w:t>
      </w:r>
      <w:r>
        <w:t xml:space="preserve"> </w:t>
      </w:r>
      <w:r>
        <w:t xml:space="preserve">(Primary, per Doc_04)</w:t>
      </w:r>
    </w:p>
    <w:p>
      <w:pPr>
        <w:pStyle w:val="BodyText"/>
      </w:pPr>
      <w:r>
        <w:t xml:space="preserve">Connected forces:</w:t>
      </w:r>
      <w:r>
        <w:t xml:space="preserve"> </w:t>
      </w:r>
      <w:r>
        <w:t xml:space="preserve">- 1A-1 (Roman Imperial Mediterranean World): supplies the material and linguistic precondition for the network’s own existence — without connected infrastructure and a shared Greek koine, this gravity could not function as a real, exercised practice.</w:t>
      </w:r>
      <w:r>
        <w:t xml:space="preserve"> </w:t>
      </w:r>
      <w:r>
        <w:t xml:space="preserve">- 2B-2 (Transmission): is the same mechanism examined from a different angle — G02 as lived practice; Force 2B-2 as the selection filter that determines what of that practice survives into the modern evidentiary base.</w:t>
      </w:r>
      <w:r>
        <w:t xml:space="preserve"> </w:t>
      </w:r>
      <w:r>
        <w:t xml:space="preserve">- 1A-2 (Neronian Persecution/Apostolic Deaths): the eyewitness-loss crisis this force initiates is what makes a correspondence-based (rather than direct-witness-based) unity mechanism necessary at all.</w:t>
      </w:r>
    </w:p>
    <w:p>
      <w:r>
        <w:pict>
          <v:rect style="width:0;height:1.5pt" o:hralign="center" o:hrstd="t" o:hr="t"/>
        </w:pict>
      </w:r>
    </w:p>
    <w:p>
      <w:pPr>
        <w:pStyle w:val="FirstParagraph"/>
      </w:pPr>
      <w:r>
        <w:rPr>
          <w:b/>
        </w:rPr>
        <w:t xml:space="preserve">Gravity: G07 — Liturgical Practice (Eucharist)</w:t>
      </w:r>
      <w:r>
        <w:t xml:space="preserve"> </w:t>
      </w:r>
      <w:r>
        <w:t xml:space="preserve">(Primary, per Doc_04)</w:t>
      </w:r>
    </w:p>
    <w:p>
      <w:pPr>
        <w:pStyle w:val="BodyText"/>
      </w:pPr>
      <w:r>
        <w:t xml:space="preserve">Connected forces:</w:t>
      </w:r>
      <w:r>
        <w:t xml:space="preserve"> </w:t>
      </w:r>
      <w:r>
        <w:t xml:space="preserve">- 2B-1 (Authority Consolidation, G01): Doc_04’s own Dependency-test finding that Ignatius’s</w:t>
      </w:r>
      <w:r>
        <w:t xml:space="preserve"> </w:t>
      </w:r>
      <w:r>
        <w:t xml:space="preserve">“</w:t>
      </w:r>
      <w:r>
        <w:t xml:space="preserve">one eucharist</w:t>
      </w:r>
      <w:r>
        <w:t xml:space="preserve">”</w:t>
      </w:r>
      <w:r>
        <w:t xml:space="preserve"> </w:t>
      </w:r>
      <w:r>
        <w:t xml:space="preserve">instruction is simultaneously an authority claim and a boundary claim directly links this gravity to Force 2B-1’s own content.</w:t>
      </w:r>
      <w:r>
        <w:t xml:space="preserve"> </w:t>
      </w:r>
      <w:r>
        <w:t xml:space="preserve">- 2B-4 (Boundary-Drawing, G05): the same instruction functions as a boundary-claim, per Doc_04’s own finding, quoted in Doc_07 §2D — refusing a rival’s eucharist and holding the community’s own were the same act.</w:t>
      </w:r>
      <w:r>
        <w:t xml:space="preserve"> </w:t>
      </w:r>
      <w:r>
        <w:t xml:space="preserve">- No demonstrated connection to Force 2A-1 (State Legal Precarity) — Doc_04’s own G07 entry states explicitly</w:t>
      </w:r>
      <w:r>
        <w:t xml:space="preserve"> </w:t>
      </w:r>
      <w:r>
        <w:t xml:space="preserve">“</w:t>
      </w:r>
      <w:r>
        <w:t xml:space="preserve">No demonstrated connection to G03,</w:t>
      </w:r>
      <w:r>
        <w:t xml:space="preserve">”</w:t>
      </w:r>
      <w:r>
        <w:t xml:space="preserve"> </w:t>
      </w:r>
      <w:r>
        <w:t xml:space="preserve">a finding this document carries forward rather than manufacturing a link.</w:t>
      </w:r>
    </w:p>
    <w:p>
      <w:r>
        <w:pict>
          <v:rect style="width:0;height:1.5pt" o:hralign="center" o:hrstd="t" o:hr="t"/>
        </w:pict>
      </w:r>
    </w:p>
    <w:p>
      <w:pPr>
        <w:pStyle w:val="FirstParagraph"/>
      </w:pPr>
      <w:r>
        <w:rPr>
          <w:b/>
        </w:rPr>
        <w:t xml:space="preserve">Gravity: G01 — Authority Consolidation</w:t>
      </w:r>
      <w:r>
        <w:t xml:space="preserve"> </w:t>
      </w:r>
      <w:r>
        <w:t xml:space="preserve">(Supporting, per Doc_04)</w:t>
      </w:r>
    </w:p>
    <w:p>
      <w:pPr>
        <w:pStyle w:val="BodyText"/>
      </w:pPr>
      <w:r>
        <w:t xml:space="preserve">Connected forces:</w:t>
      </w:r>
      <w:r>
        <w:t xml:space="preserve"> </w:t>
      </w:r>
      <w:r>
        <w:t xml:space="preserve">- 1A-2 (Neronian Persecution/Apostolic Deaths): the direct generative trigger, per Connection 1 above.</w:t>
      </w:r>
      <w:r>
        <w:t xml:space="preserve"> </w:t>
      </w:r>
      <w:r>
        <w:t xml:space="preserve">- 1B-1 (Apostolic Testimony Inheritance): the inherited commitment that makes authority’s grounding in apostolic continuity the terms on which this contest is fought, rather than some other axis (wealth, philosophical learning, etc.).</w:t>
      </w:r>
      <w:r>
        <w:t xml:space="preserve"> </w:t>
      </w:r>
      <w:r>
        <w:t xml:space="preserve">- 2A-1 (State Legal Precarity): intensifies under this pressure — Ignatius explicitly deploys his own impending martyrdom as an argument for his authority program (Doc_04, G01).</w:t>
      </w:r>
    </w:p>
    <w:p>
      <w:r>
        <w:pict>
          <v:rect style="width:0;height:1.5pt" o:hralign="center" o:hrstd="t" o:hr="t"/>
        </w:pict>
      </w:r>
    </w:p>
    <w:p>
      <w:pPr>
        <w:pStyle w:val="FirstParagraph"/>
      </w:pPr>
      <w:r>
        <w:rPr>
          <w:b/>
        </w:rPr>
        <w:t xml:space="preserve">Gravity: G03 — State Pressure/Legal Precarity</w:t>
      </w:r>
      <w:r>
        <w:t xml:space="preserve"> </w:t>
      </w:r>
      <w:r>
        <w:t xml:space="preserve">(Supporting, per Doc_04)</w:t>
      </w:r>
    </w:p>
    <w:p>
      <w:pPr>
        <w:pStyle w:val="BodyText"/>
      </w:pPr>
      <w:r>
        <w:t xml:space="preserve">Connected forces:</w:t>
      </w:r>
      <w:r>
        <w:t xml:space="preserve"> </w:t>
      </w:r>
      <w:r>
        <w:t xml:space="preserve">- This gravity</w:t>
      </w:r>
      <w:r>
        <w:t xml:space="preserve"> </w:t>
      </w:r>
      <w:r>
        <w:rPr>
          <w:i/>
        </w:rPr>
        <w:t xml:space="preserve">is</w:t>
      </w:r>
      <w:r>
        <w:t xml:space="preserve"> </w:t>
      </w:r>
      <w:r>
        <w:t xml:space="preserve">Force 2A-1 itself, per Doc_04’s own framing (</w:t>
      </w:r>
      <w:r>
        <w:t xml:space="preserve">“</w:t>
      </w:r>
      <w:r>
        <w:t xml:space="preserve">this candidate</w:t>
      </w:r>
      <w:r>
        <w:t xml:space="preserve"> </w:t>
      </w:r>
      <w:r>
        <w:rPr>
          <w:i/>
        </w:rPr>
        <w:t xml:space="preserve">is</w:t>
      </w:r>
      <w:r>
        <w:t xml:space="preserve"> </w:t>
      </w:r>
      <w:r>
        <w:t xml:space="preserve">one of the primary forces named in Doc_01 §7 and Doc_02 §9; its own</w:t>
      </w:r>
      <w:r>
        <w:t xml:space="preserve"> </w:t>
      </w:r>
      <w:r>
        <w:t xml:space="preserve">‘</w:t>
      </w:r>
      <w:r>
        <w:t xml:space="preserve">test</w:t>
      </w:r>
      <w:r>
        <w:t xml:space="preserve">’</w:t>
      </w:r>
      <w:r>
        <w:t xml:space="preserve"> </w:t>
      </w:r>
      <w:r>
        <w:t xml:space="preserve">is better read as a question of character… than of how it responds to some other force,</w:t>
      </w:r>
      <w:r>
        <w:t xml:space="preserve">”</w:t>
      </w:r>
      <w:r>
        <w:t xml:space="preserve"> </w:t>
      </w:r>
      <w:r>
        <w:t xml:space="preserve">Doc_04, G03). Its connections to other gravities are documented above under Force 2A-1’s own Layer 3 and under Connections 2 and 5.</w:t>
      </w:r>
    </w:p>
    <w:p>
      <w:r>
        <w:pict>
          <v:rect style="width:0;height:1.5pt" o:hralign="center" o:hrstd="t" o:hr="t"/>
        </w:pict>
      </w:r>
    </w:p>
    <w:p>
      <w:pPr>
        <w:pStyle w:val="FirstParagraph"/>
      </w:pPr>
      <w:r>
        <w:rPr>
          <w:b/>
        </w:rPr>
        <w:t xml:space="preserve">Gravity: G04 — Martyrdom as Formation-Shaping Meaning-Response</w:t>
      </w:r>
      <w:r>
        <w:t xml:space="preserve"> </w:t>
      </w:r>
      <w:r>
        <w:t xml:space="preserve">(Supporting, Strand A only, per Doc_04)</w:t>
      </w:r>
    </w:p>
    <w:p>
      <w:pPr>
        <w:pStyle w:val="BodyText"/>
      </w:pPr>
      <w:r>
        <w:t xml:space="preserve">Connected forces:</w:t>
      </w:r>
      <w:r>
        <w:t xml:space="preserve"> </w:t>
      </w:r>
      <w:r>
        <w:t xml:space="preserve">- 2A-1 (State Legal Precarity, G03): the direct generative force, per Connection 2 above — the single most explicitly evidenced connection in this entire document.</w:t>
      </w:r>
      <w:r>
        <w:t xml:space="preserve"> </w:t>
      </w:r>
      <w:r>
        <w:t xml:space="preserve">- 2B-1 (Authority Consolidation, G01): Ignatius uses his own impending martyrdom to reinforce his authority claims (Doc_04, G01 Dependency note), a relationship running from 2B-3 into 2B-1.</w:t>
      </w:r>
      <w:r>
        <w:t xml:space="preserve"> </w:t>
      </w:r>
      <w:r>
        <w:t xml:space="preserve">- 1A-1 (Roman Imperial Mediterranean World): the same infrastructure that carried ordinary correspondence also carried Ignatius’s own guarded journey, the material condition for this gravity’s most vivid textual evidence.</w:t>
      </w:r>
    </w:p>
    <w:p>
      <w:r>
        <w:pict>
          <v:rect style="width:0;height:1.5pt" o:hralign="center" o:hrstd="t" o:hr="t"/>
        </w:pict>
      </w:r>
    </w:p>
    <w:p>
      <w:pPr>
        <w:pStyle w:val="FirstParagraph"/>
      </w:pPr>
      <w:r>
        <w:rPr>
          <w:b/>
        </w:rPr>
        <w:t xml:space="preserve">Gravity: G05 — Boundary-Drawing Against Contemporary Rivals</w:t>
      </w:r>
      <w:r>
        <w:t xml:space="preserve"> </w:t>
      </w:r>
      <w:r>
        <w:t xml:space="preserve">(Tensional, per Doc_04)</w:t>
      </w:r>
    </w:p>
    <w:p>
      <w:pPr>
        <w:pStyle w:val="BodyText"/>
      </w:pPr>
      <w:r>
        <w:t xml:space="preserve">Connected forces:</w:t>
      </w:r>
      <w:r>
        <w:t xml:space="preserve"> </w:t>
      </w:r>
      <w:r>
        <w:t xml:space="preserve">- 2A-2 (Contemporary Rival Movements): the direct external condition this gravity responds to, per Connection 3 above.</w:t>
      </w:r>
      <w:r>
        <w:t xml:space="preserve"> </w:t>
      </w:r>
      <w:r>
        <w:t xml:space="preserve">- 2A-1 (State Legal Precarity, G03): this document’s own new cross-force synthesis (Connection 5), disclosed as an interpretive extension rather than an inherited Doc_04 finding — tensional gravities often trace to forces that pulled in competing directions, and here the tension is between a well-evidenced external condition (rival movements, Documented) and a thin, single-voice internal response (Ignatius alone, Inferential-Thin) — precisely the asymmetry that keeps this gravity Tensional rather than Supporting.</w:t>
      </w:r>
      <w:r>
        <w:t xml:space="preserve"> </w:t>
      </w:r>
      <w:r>
        <w:t xml:space="preserve">- 2B-1 (Authority Consolidation, G01): Ignatius ties his</w:t>
      </w:r>
      <w:r>
        <w:t xml:space="preserve"> </w:t>
      </w:r>
      <w:r>
        <w:t xml:space="preserve">“</w:t>
      </w:r>
      <w:r>
        <w:t xml:space="preserve">obey the bishop</w:t>
      </w:r>
      <w:r>
        <w:t xml:space="preserve">”</w:t>
      </w:r>
      <w:r>
        <w:t xml:space="preserve"> </w:t>
      </w:r>
      <w:r>
        <w:t xml:space="preserve">program directly to his anti-docetic argument (Doc_04, G01/G05 interaction).</w:t>
      </w:r>
    </w:p>
    <w:p>
      <w:r>
        <w:pict>
          <v:rect style="width:0;height:1.5pt" o:hralign="center" o:hrstd="t" o:hr="t"/>
        </w:pict>
      </w:r>
    </w:p>
    <w:p>
      <w:pPr>
        <w:pStyle w:val="Heading3"/>
      </w:pPr>
      <w:bookmarkStart w:id="49" w:name="cross-strand-gravity-note"/>
      <w:r>
        <w:t xml:space="preserve">Cross-Strand Gravity Note</w:t>
      </w:r>
      <w:bookmarkEnd w:id="49"/>
    </w:p>
    <w:p>
      <w:pPr>
        <w:pStyle w:val="FirstParagraph"/>
      </w:pPr>
      <w:r>
        <w:t xml:space="preserve">The forces that cut across both strands are exactly the ones producing this world’s two cross-strand-confirmed Primary gravities: Force 1A-1 (shared infrastructure/koine) and Force 1A-2 (shared eyewitness-loss crisis) bear on both Strand A and Strand B equally, which is why G02 and G07 are independently attested by voices from both strands (Doc_04, G02, G07). By contrast, Force 2B-3 (Martyrdom) and Force 2B-4 (Boundary-Drawing) are evidenced overwhelmingly by Strand A’s own Ignatian material, which is exactly why G04 and G05 remain Strand-bound in Doc_04’s own classification — the forces themselves are not shown to bear differently on the two strands so much as this world’s surviving evidence for Strand B’s own response to them (if any existed) simply was not developed anywhere in Doc_02 (Doc_04, Open Item 4).</w:t>
      </w:r>
    </w:p>
    <w:p>
      <w:pPr>
        <w:pStyle w:val="Heading3"/>
      </w:pPr>
      <w:bookmarkStart w:id="50" w:name="what-forces-analysis-adds"/>
      <w:r>
        <w:t xml:space="preserve">What Forces Analysis Adds</w:t>
      </w:r>
      <w:bookmarkEnd w:id="50"/>
    </w:p>
    <w:p>
      <w:pPr>
        <w:pStyle w:val="FirstParagraph"/>
      </w:pPr>
      <w:r>
        <w:t xml:space="preserve">Doc_04’s gravity analysis established</w:t>
      </w:r>
      <w:r>
        <w:t xml:space="preserve"> </w:t>
      </w:r>
      <w:r>
        <w:rPr>
          <w:i/>
        </w:rPr>
        <w:t xml:space="preserve">that</w:t>
      </w:r>
      <w:r>
        <w:t xml:space="preserve"> </w:t>
      </w:r>
      <w:r>
        <w:t xml:space="preserve">G01, G03, G04, and G05 fell short of Primary confidence; this forces analysis explains</w:t>
      </w:r>
      <w:r>
        <w:t xml:space="preserve"> </w:t>
      </w:r>
      <w:r>
        <w:rPr>
          <w:i/>
        </w:rPr>
        <w:t xml:space="preserve">why</w:t>
      </w:r>
      <w:r>
        <w:t xml:space="preserve"> </w:t>
      </w:r>
      <w:r>
        <w:t xml:space="preserve">two of them (G01, G05) fell short for one reason (the underlying question was genuinely, historically unsettled in antiquity) while the other two (G03, G04) fell short for a different reason (modern reconstruction’s own inability to responsibly generalize from scattered evidence) — a distinction Doc_07 §4 first named and this document’s own force-by-force Layer 1 confidence tags make traceable at the level of individual forces rather than only at the level of whole gravities.</w:t>
      </w:r>
    </w:p>
    <w:p>
      <w:pPr>
        <w:pStyle w:val="Heading3"/>
      </w:pPr>
      <w:bookmarkStart w:id="51" w:name="X8184c7bb9a71015379163ce9f350fb4909c468c"/>
      <w:r>
        <w:t xml:space="preserve">Where Forces and Gravities Most Tightly Cohere</w:t>
      </w:r>
      <w:bookmarkEnd w:id="51"/>
    </w:p>
    <w:p>
      <w:pPr>
        <w:pStyle w:val="FirstParagraph"/>
      </w:pPr>
      <w:r>
        <w:t xml:space="preserve">Connection 2 (State Legal Precarity → Martyrdom) is the single most tightly coherent point in this entire analysis: Doc_04’s own text states the relationship in nearly identical language independently at both the gravity level (G04’s Forces test) and the force level (2A-1’s Layer 3), with no interpretive gap between the two documents’ own characterizations.</w:t>
      </w:r>
    </w:p>
    <w:p>
      <w:pPr>
        <w:pStyle w:val="Heading3"/>
      </w:pPr>
      <w:bookmarkStart w:id="52" w:name="where-forces-analysis-surfaced-gaps"/>
      <w:r>
        <w:t xml:space="preserve">Where Forces Analysis Surfaced Gaps</w:t>
      </w:r>
      <w:bookmarkEnd w:id="52"/>
    </w:p>
    <w:p>
      <w:pPr>
        <w:pStyle w:val="FirstParagraph"/>
      </w:pPr>
      <w:r>
        <w:t xml:space="preserve">The Strand B side of Force 2B-3 and Force 2B-4 is a genuine, undeveloped gap: no force or gravity analysis in this build has established whether Rome’s own communities experienced anything comparable to Strand A’s martyrdom-meaning or anti-docetic boundary anxiety, or whether their absence from the record reflects a genuine difference in lived experience or simply an accident of which texts survived (Force 2B-2’s own selection-effect finding makes the latter a live possibility, not merely a hedge). This is carried forward as an open item rather than resolved here (see Section 9).</w:t>
      </w:r>
    </w:p>
    <w:p>
      <w:r>
        <w:pict>
          <v:rect style="width:0;height:1.5pt" o:hralign="center" o:hrstd="t" o:hr="t"/>
        </w:pict>
      </w:r>
    </w:p>
    <w:p>
      <w:pPr>
        <w:pStyle w:val="Heading2"/>
      </w:pPr>
      <w:bookmarkStart w:id="53" w:name="X3ed09749498163d7eda816a78908fffb7530eb7"/>
      <w:r>
        <w:t xml:space="preserve">Section 6 — Transmission as a Force Dimension — Synthesis</w:t>
      </w:r>
      <w:bookmarkEnd w:id="53"/>
    </w:p>
    <w:p>
      <w:pPr>
        <w:pStyle w:val="Heading3"/>
      </w:pPr>
      <w:bookmarkStart w:id="54" w:name="X8c75ff3060a87fd467c0244ffffd6b5e8df141d"/>
      <w:r>
        <w:t xml:space="preserve">Who Transmitted This World’s Characteristic Material</w:t>
      </w:r>
      <w:bookmarkEnd w:id="54"/>
    </w:p>
    <w:p>
      <w:pPr>
        <w:pStyle w:val="FirstParagraph"/>
      </w:pPr>
      <w:r>
        <w:t xml:space="preserve">Named specifically, not generically: Polycarp of Smyrna, forwarding Ignatius’s letters to Philippi at the Philippians’ own request; the scribe Leon, copying Codex Hierosolymitanus in 1056 CE (the manuscript nearly the entire Didache and part of 1 Clement now depend on); the compilers of Codex Alexandrinus (5th c.) and Codex Sinaiticus (4th c.); Philotheos Bryennios, whose 1873 rediscovery of the Bryennios manuscript in Constantinople returned the Didache to circulation after roughly eighteen centuries; and, on the critical-scholarship side, James Ussher, Isaac Vossius, and John Pearson, whose 17th-century textual work is what established the middle recension of Ignatius’s letters as authentic against Jean Daillé’s challenge — a genuinely contested critical judgment call, not a passive inheritance (Doc_02 §§1.1–1.3).</w:t>
      </w:r>
    </w:p>
    <w:p>
      <w:pPr>
        <w:pStyle w:val="Heading3"/>
      </w:pPr>
      <w:bookmarkStart w:id="55" w:name="X4fcee61d593ce8ab8808c2bb68135bfb5613a67"/>
      <w:r>
        <w:t xml:space="preserve">Under What Conditions Transmission Occurred</w:t>
      </w:r>
      <w:bookmarkEnd w:id="55"/>
    </w:p>
    <w:p>
      <w:pPr>
        <w:pStyle w:val="FirstParagraph"/>
      </w:pPr>
      <w:r>
        <w:t xml:space="preserve">Selection favored texts with either strong institutional backing (canonical-adjacent status, eventual inclusion in biblical codices) or apologetic value to later, more secure generations of the church (Doc_02 §9). 1 Clement’s inclusion in Codex Alexandrinus alongside the New Testament and Ignatius’s own centrality to later monepiscopal argument both reflect this pattern directly; by contrast, no comparable institutional or apologetic interest protected a hypothetical Didache-like text from Rome, or any text produced by or for an enslaved member of this world’s own congregations.</w:t>
      </w:r>
    </w:p>
    <w:p>
      <w:pPr>
        <w:pStyle w:val="Heading3"/>
      </w:pPr>
      <w:bookmarkStart w:id="56" w:name="X5e0cd4a75801287ebd125316a59c01b8641cd7f"/>
      <w:r>
        <w:t xml:space="preserve">What Selection Effects Shaped What Survives</w:t>
      </w:r>
      <w:bookmarkEnd w:id="56"/>
    </w:p>
    <w:p>
      <w:pPr>
        <w:pStyle w:val="FirstParagraph"/>
      </w:pPr>
      <w:r>
        <w:t xml:space="preserve">The Didache survives essentially through a single 1056 CE manuscript, undiscovered for roughly eighteen centuries — a genuine single-point-of-failure transmission chain (Doc_02 §1.1). The Shepherd of Hermas survives in no single complete Greek manuscript at all, an explicitly eclectic reconstruction (Doc_02 §1.5). Both texts carried near-canonical status in antiquity (Hermas cited as scripture by Irenaeus, Clement of Alexandria, and Origen) yet transmitted far more precariously than Ignatius’s own corpus, which required active, centuries-long critical-scholarship defense but never came close to total loss. This directly traces to Doc_02 §1’s own Author Gravity Assessment: representativeness and survival are shown to be two separate properties a text can hold in very different combinations.</w:t>
      </w:r>
    </w:p>
    <w:p>
      <w:pPr>
        <w:pStyle w:val="Heading3"/>
      </w:pPr>
      <w:bookmarkStart w:id="57" w:name="Xfabb40389752ddc000ce7bae2438e6d438cd914"/>
      <w:r>
        <w:t xml:space="preserve">What the Transmission Pattern Reveals About Forces</w:t>
      </w:r>
      <w:bookmarkEnd w:id="57"/>
    </w:p>
    <w:p>
      <w:pPr>
        <w:pStyle w:val="FirstParagraph"/>
      </w:pPr>
      <w:r>
        <w:rPr>
          <w:b/>
        </w:rPr>
        <w:t xml:space="preserve">This document’s own synthesis, not a claim independently sourced to a named scholar — disclosed inline here rather than only in the Document Log:</w:t>
      </w:r>
      <w:r>
        <w:t xml:space="preserve"> </w:t>
      </w:r>
      <w:r>
        <w:t xml:space="preserve">communities and later copyists preserve what they judge worth the labor and risk of preserving; what they chose to protect — Ignatius’s monepiscopal argument, 1 Clement’s corrective authority — reveals which of this world’s own internal contests (Force 2B-1, Authority Consolidation) mattered enough to later custodians to actively secure, while material without a comparably useful later institutional home (Rome’s own plural-college texts, the Didache’s own Syrian-community catechesis) survived more by accident than by design. Transmission, read this way, is itself a downstream record of which of this world’s own forces the wider Christian tradition eventually judged to have</w:t>
      </w:r>
      <w:r>
        <w:t xml:space="preserve"> </w:t>
      </w:r>
      <w:r>
        <w:t xml:space="preserve">“</w:t>
      </w:r>
      <w:r>
        <w:t xml:space="preserve">won</w:t>
      </w:r>
      <w:r>
        <w:t xml:space="preserve">”</w:t>
      </w:r>
      <w:r>
        <w:t xml:space="preserve"> </w:t>
      </w:r>
      <w:r>
        <w:t xml:space="preserve">— an inference this document draws from the manuscript-survival pattern Doc_02 documents, not a conclusion Doc_02 itself states.</w:t>
      </w:r>
    </w:p>
    <w:p>
      <w:pPr>
        <w:pStyle w:val="Heading3"/>
      </w:pPr>
      <w:bookmarkStart w:id="58" w:name="X84da50e5de3c915c3eac9c39717a3cbb1c6af73"/>
      <w:r>
        <w:t xml:space="preserve">Connection to Author Gravity Findings (Doc_02)</w:t>
      </w:r>
      <w:bookmarkEnd w:id="58"/>
    </w:p>
    <w:p>
      <w:pPr>
        <w:pStyle w:val="FirstParagraph"/>
      </w:pPr>
      <w:r>
        <w:t xml:space="preserve">Doc_02 §1’s own Author Gravity Assessment already names this directly for each of the six primary voices: Ignatius’s high, continuous visibility versus the Didache’s near-total transmission dependency on a single medieval manuscript versus Hermas’s fully eclectic reconstruction are not differences in how important these texts were to this world’s own communities — they are differences in how well each text’s own later usefulness protected it. The thin or absent voices this world’s evidence base structurally suppresses (Doc_02 §8’s Affirmative Duty disclosure — enslaved people, women outside a small named set of patrons, the non-literate majority) are thin for the identical underlying reason at an even more extreme degree: no later institutional or apologetic interest existed to protect material these members might have produced, even setting aside the prior question of whether they could produce durable texts at all.</w:t>
      </w:r>
    </w:p>
    <w:p>
      <w:r>
        <w:pict>
          <v:rect style="width:0;height:1.5pt" o:hralign="center" o:hrstd="t" o:hr="t"/>
        </w:pict>
      </w:r>
    </w:p>
    <w:p>
      <w:pPr>
        <w:pStyle w:val="Heading2"/>
      </w:pPr>
      <w:bookmarkStart w:id="59" w:name="section-7-confidence-assessment"/>
      <w:r>
        <w:t xml:space="preserve">Section 7 — Confidence Assessment</w:t>
      </w:r>
      <w:bookmarkEnd w:id="59"/>
    </w:p>
    <w:p>
      <w:pPr>
        <w:pStyle w:val="Heading3"/>
      </w:pPr>
      <w:bookmarkStart w:id="60" w:name="X8d1259fbb563c882364b08a012e9413e9a86ae3"/>
      <w:r>
        <w:t xml:space="preserve">Forces at Documented or Widely Accepted Level</w:t>
      </w:r>
      <w:bookmarkEnd w:id="60"/>
    </w:p>
    <w:p>
      <w:pPr>
        <w:pStyle w:val="FirstParagraph"/>
      </w:pPr>
      <w:r>
        <w:t xml:space="preserve">Force 1A-1 (Roman Imperial Mediterranean World) — infrastructure and linguistic facts are Documented; multiple independent sources (Ignatius’s journey, Polycarp’s forwarding practice, uniform Koine usage) converge with no serious scholarly dispute. Force 1B-1 (Apostolic Testimony Inheritance) — Widely Accepted that this commitment was present and inherited, per Doc_01 §1’s own naming of it as a Distinct World Criterion. Force 2A-1 (State Legal Precarity) — Pliny’s letter’s authenticity and content are Documented. Force 2A-2 (Contemporary Rival Movements) — Documented that Marcion, Valentinian Christianity, and Montanism existed and were geographically overlapping with this world’s own core regions in the same decades. Force 2B-2 (Transmission) — every manuscript fact named (Bryennios discovery, Codex Alexandrinus’s lacuna, the Ussher–Vossius–Pearson sequence, the Simonides episode) is Documented, independently spot-checked during Doc_02’s own construction (Doc_02 §11). Force 3B-1 (Monepiscopacy’s Consolidation) — the general pattern (Antioch/Asia Minor earliest, Rome latest) is Well-established per Sullivan and Lampe.</w:t>
      </w:r>
    </w:p>
    <w:p>
      <w:pPr>
        <w:pStyle w:val="Heading3"/>
      </w:pPr>
      <w:bookmarkStart w:id="61" w:name="Xae51b17bc5a969853056a60c529b641d512c46d"/>
      <w:r>
        <w:t xml:space="preserve">Forces at Dominant Modern Reconstruction Level</w:t>
      </w:r>
      <w:bookmarkEnd w:id="61"/>
    </w:p>
    <w:p>
      <w:pPr>
        <w:pStyle w:val="FirstParagraph"/>
      </w:pPr>
      <w:r>
        <w:t xml:space="preserve">Force 3A-1 (Systematic Theological Mode in Adjacent Regions) — Irenaeus and Tertullian’s texts and dates are well-established; this document’s own characterization of them as a genuinely new mode relative to this world’s own pattern is a reasoned comparative judgment resting on secure textual ground, not itself independently attested by a named scholar making exactly this comparison. Force 1B-2 (Two Ways Catechetical Inheritance) as network-wide practice rests on this same tier — the schema’s existence is Documented, its network-wide adoption is a reconstruction resting on real but contestable premises about how far a single-community-attested text should be generalized.</w:t>
      </w:r>
    </w:p>
    <w:p>
      <w:pPr>
        <w:pStyle w:val="Heading3"/>
      </w:pPr>
      <w:bookmarkStart w:id="62" w:name="forces-at-contested-level"/>
      <w:r>
        <w:t xml:space="preserve">Forces at Contested Level</w:t>
      </w:r>
      <w:bookmarkEnd w:id="62"/>
    </w:p>
    <w:p>
      <w:pPr>
        <w:pStyle w:val="FirstParagraph"/>
      </w:pPr>
      <w:r>
        <w:t xml:space="preserve">Force 1A-2 (Neronian Persecution) — the Tacitus passage’s basic authenticity is not seriously disputed, but whether a discrete, fire-linked persecution of Christians as a named group actually occurred is a live, non-fringe debate (Shaw vs. Jones, Doc_02 §6), carried at full strength rather than resolved here. Force 2A-1 (State Legal Precarity) — Documented at the level of Pliny’s own episode, Contested at the level of whether these scattered episodes constitute one standing condition, exactly the distinction Doc_04’s own G03 reclassification turns on. Force 2A-2 (Contemporary Rival Movements) — the precise founding/break dates for Marcion, Valentinus, and Montanism are each independently Contested (Doc_01 §8.3), even though these movements’ geographically overlapping presence is itself Documented. Force 2B-1 (Authority Consolidation) — Strand A’s specific monarchical content is Contested, resting on Ignatius’s own three-way-split authenticity/dating question (Doc_01 §10).</w:t>
      </w:r>
    </w:p>
    <w:p>
      <w:pPr>
        <w:pStyle w:val="Heading3"/>
      </w:pPr>
      <w:bookmarkStart w:id="63" w:name="forces-at-inferentialthin-level"/>
      <w:r>
        <w:t xml:space="preserve">Forces at Inferential/Thin Level</w:t>
      </w:r>
      <w:bookmarkEnd w:id="63"/>
    </w:p>
    <w:p>
      <w:pPr>
        <w:pStyle w:val="FirstParagraph"/>
      </w:pPr>
      <w:r>
        <w:t xml:space="preserve">Force 1B-2 (Two Ways Catechetical Inheritance) as network-wide practice — Inferential-Thin beyond the Didache’s own single-community base. Force 2B-3 (Martyrdom) and Force 2B-4 (Boundary-Drawing) — both rest on exactly two and one data point(s) respectively within this world’s own Native evidentiary base; both carry maximal Author Gravity risk per Doc_04’s own generation-stage flagging. Force 3A-2 (Alexandria’s Emergence) Layer 2 — explicitly not recoverable from this world’s own sources, marked as such rather than inferred. Force 3B-2 (Transmission at the Ending) — the specific causal claim that the succession-mode settlement drove selective canonization is this document’s own synthesis, Inferential-Thin, not a directly attested mechanism.</w:t>
      </w:r>
    </w:p>
    <w:p>
      <w:pPr>
        <w:pStyle w:val="Heading3"/>
      </w:pPr>
      <w:bookmarkStart w:id="64" w:name="X8be32322784a04108f1bc88bab9827c62ac545a"/>
      <w:r>
        <w:t xml:space="preserve">Named Scholarly Tensions Carried at Full Strength</w:t>
      </w:r>
      <w:bookmarkEnd w:id="64"/>
    </w:p>
    <w:p>
      <w:pPr>
        <w:pStyle w:val="FirstParagraph"/>
      </w:pPr>
      <w:r>
        <w:t xml:space="preserve">The Shaw/Jones debate on whether a discrete Neronian persecution of Christians occurred (Force 1A-2); the three-way split on Ignatius’s authenticity and dating — traditional Trajanic, redated 130s–140s, or pseudepigraphic 160s–180s (Force 2B-1, underlying G01’s own Contested content); Peter Lampe’s specific</w:t>
      </w:r>
      <w:r>
        <w:t xml:space="preserve"> </w:t>
      </w:r>
      <w:r>
        <w:t xml:space="preserve">“</w:t>
      </w:r>
      <w:r>
        <w:t xml:space="preserve">fractionated</w:t>
      </w:r>
      <w:r>
        <w:t xml:space="preserve">”</w:t>
      </w:r>
      <w:r>
        <w:t xml:space="preserve"> </w:t>
      </w:r>
      <w:r>
        <w:t xml:space="preserve">account of Rome’s own monepiscopal dating against less granular general treatments (Force 3B-1); and the live, unresolved question of whether Pliny’s second</w:t>
      </w:r>
      <w:r>
        <w:t xml:space="preserve"> </w:t>
      </w:r>
      <w:r>
        <w:t xml:space="preserve">“</w:t>
      </w:r>
      <w:r>
        <w:t xml:space="preserve">ordinary meal</w:t>
      </w:r>
      <w:r>
        <w:t xml:space="preserve">”</w:t>
      </w:r>
      <w:r>
        <w:t xml:space="preserve"> </w:t>
      </w:r>
      <w:r>
        <w:t xml:space="preserve">is the eucharist proper, an agape/love-feast, or a strategic split to evade Trajan’s ban on political dining-clubs (bearing indirectly on Force 2A-1’s own characterization of what the state was actually monitoring). None of these are resolved by this document; each is carried at the same strength Doc_01, Doc_02, and Doc_04 already established.</w:t>
      </w:r>
    </w:p>
    <w:p>
      <w:r>
        <w:pict>
          <v:rect style="width:0;height:1.5pt" o:hralign="center" o:hrstd="t" o:hr="t"/>
        </w:pict>
      </w:r>
    </w:p>
    <w:p>
      <w:pPr>
        <w:pStyle w:val="Heading2"/>
      </w:pPr>
      <w:bookmarkStart w:id="65" w:name="section-8-governing-principles-applied"/>
      <w:r>
        <w:t xml:space="preserve">Section 8 — Governing Principles Applied</w:t>
      </w:r>
      <w:bookmarkEnd w:id="65"/>
    </w:p>
    <w:p>
      <w:pPr>
        <w:pStyle w:val="Heading3"/>
      </w:pPr>
      <w:bookmarkStart w:id="66" w:name="from-within-principle"/>
      <w:r>
        <w:t xml:space="preserve">From-Within Principle</w:t>
      </w:r>
      <w:bookmarkEnd w:id="66"/>
    </w:p>
    <w:p>
      <w:pPr>
        <w:pStyle w:val="FirstParagraph"/>
      </w:pPr>
      <w:r>
        <w:rPr>
          <w:b/>
        </w:rPr>
        <w:t xml:space="preserve">Status:</w:t>
      </w:r>
      <w:r>
        <w:t xml:space="preserve"> </w:t>
      </w:r>
      <w:r>
        <w:t xml:space="preserve">CONFIRMED, with one disclosed limitation. Every Layer 2 entry above uses this world’s own vocabulary and avoids modern sociological or political-science framing, consistent with Doc_05’s own Writing-From-Inside discipline (Constitution Article 23), which this document extends into Layer 2 specifically. Three Layer 2 entries (Force 3A-2, Force 3B-1, Force 3B-2) explicitly state that no world’s-own-experience content is recoverable from this world’s own sources, rather than constructing an inhabited voice the evidence does not support — this is treated as compliance with, not an exception to, the From-Within Principle, since inventing an unattested inhabited account would itself violate the principle’s deeper purpose.</w:t>
      </w:r>
    </w:p>
    <w:p>
      <w:pPr>
        <w:pStyle w:val="Heading3"/>
      </w:pPr>
      <w:bookmarkStart w:id="67" w:name="proportionality-principle"/>
      <w:r>
        <w:t xml:space="preserve">Proportionality Principle</w:t>
      </w:r>
      <w:bookmarkEnd w:id="67"/>
    </w:p>
    <w:p>
      <w:pPr>
        <w:pStyle w:val="FirstParagraph"/>
      </w:pPr>
      <w:r>
        <w:rPr>
          <w:b/>
        </w:rPr>
        <w:t xml:space="preserve">Status:</w:t>
      </w:r>
      <w:r>
        <w:t xml:space="preserve"> </w:t>
      </w:r>
      <w:r>
        <w:t xml:space="preserve">CONFIRMED. Depth of treatment tracks formation impact and evidentiary richness together: Cell 2B (this world’s own defining internal contest) receives four full three-layer entries, the most of any cell, reflecting its status as the load-bearing cell for this world’s entire formation logic per Doc_07 §2E. Cell 3A and 3B each receive two entries, proportionate to their role marking a boundary rather than sustaining an ongoing formation dynamic. No force above receives full three-layer treatment where Doc_01–07 do not already support one; no force is compressed to Layer 1 only, since every force identified here connects to formation impact substantial enough to warrant full treatment — a genuinely minor, low-impact candidate force was not manufactured merely to populate a cell.</w:t>
      </w:r>
    </w:p>
    <w:p>
      <w:pPr>
        <w:pStyle w:val="Heading3"/>
      </w:pPr>
      <w:bookmarkStart w:id="68" w:name="named-tension-principle"/>
      <w:r>
        <w:t xml:space="preserve">Named-Tension Principle</w:t>
      </w:r>
      <w:bookmarkEnd w:id="68"/>
    </w:p>
    <w:p>
      <w:pPr>
        <w:pStyle w:val="FirstParagraph"/>
      </w:pPr>
      <w:r>
        <w:rPr>
          <w:b/>
        </w:rPr>
        <w:t xml:space="preserve">Status:</w:t>
      </w:r>
      <w:r>
        <w:t xml:space="preserve"> </w:t>
      </w:r>
      <w:r>
        <w:t xml:space="preserve">CONFIRMED. Every scholarly tension already carried at full strength in Doc_01, Doc_02, and Doc_04 is carried forward unresolved here (see Section 7’s own named list) — none is quietly resolved into a single consensus position for this document’s own narrative convenience.</w:t>
      </w:r>
    </w:p>
    <w:p>
      <w:pPr>
        <w:pStyle w:val="Heading3"/>
      </w:pPr>
      <w:bookmarkStart w:id="69" w:name="cross-cell-connection-principle"/>
      <w:r>
        <w:t xml:space="preserve">Cross-Cell Connection Principle</w:t>
      </w:r>
      <w:bookmarkEnd w:id="69"/>
    </w:p>
    <w:p>
      <w:pPr>
        <w:pStyle w:val="FirstParagraph"/>
      </w:pPr>
      <w:r>
        <w:rPr>
          <w:b/>
        </w:rPr>
        <w:t xml:space="preserve">Status:</w:t>
      </w:r>
      <w:r>
        <w:t xml:space="preserve"> </w:t>
      </w:r>
      <w:r>
        <w:t xml:space="preserve">CONFIRMED. Six named connections are documented in Section 4, spanning all three temporal bands (Initiating, Ongoing, Ending) and both External/Internal axes. One connection (Connection 5) is explicitly disclosed as this document’s own interpretive extension rather than an inherited finding, consistent with Doc_07’s own disclosure practice for the same claim.</w:t>
      </w:r>
    </w:p>
    <w:p>
      <w:pPr>
        <w:pStyle w:val="Heading3"/>
      </w:pPr>
      <w:bookmarkStart w:id="70" w:name="transmission-specificity-principle"/>
      <w:r>
        <w:t xml:space="preserve">Transmission Specificity Principle</w:t>
      </w:r>
      <w:bookmarkEnd w:id="70"/>
    </w:p>
    <w:p>
      <w:pPr>
        <w:pStyle w:val="FirstParagraph"/>
      </w:pPr>
      <w:r>
        <w:rPr>
          <w:b/>
        </w:rPr>
        <w:t xml:space="preserve">Status:</w:t>
      </w:r>
      <w:r>
        <w:t xml:space="preserve"> </w:t>
      </w:r>
      <w:r>
        <w:t xml:space="preserve">CONFIRMED. Transmission is addressed as its own named force in both Cell 2B (Force 2B-2) and Cell 3B (Force 3B-2), each naming specific transmitting figures, manuscripts, and institutions (Polycarp, Leon, Bryennios, Ussher/Vossius/Pearson, Codex Alexandrinus, Codex Sinaiticus) rather than generic references to</w:t>
      </w:r>
      <w:r>
        <w:t xml:space="preserve"> </w:t>
      </w:r>
      <w:r>
        <w:t xml:space="preserve">“</w:t>
      </w:r>
      <w:r>
        <w:t xml:space="preserve">the tradition,</w:t>
      </w:r>
      <w:r>
        <w:t xml:space="preserve">”</w:t>
      </w:r>
      <w:r>
        <w:t xml:space="preserve"> </w:t>
      </w:r>
      <w:r>
        <w:t xml:space="preserve">with explicit selection-interest analysis and explicit connection to Doc_02’s own Author Gravity findings in Section 6.</w:t>
      </w:r>
    </w:p>
    <w:p>
      <w:r>
        <w:pict>
          <v:rect style="width:0;height:1.5pt" o:hralign="center" o:hrstd="t" o:hr="t"/>
        </w:pict>
      </w:r>
    </w:p>
    <w:p>
      <w:pPr>
        <w:pStyle w:val="Heading2"/>
      </w:pPr>
      <w:bookmarkStart w:id="71" w:name="X989776aa50d7348800bb37dc9055d70da707f3e"/>
      <w:r>
        <w:t xml:space="preserve">Section 9 — Doc_08 Completion Certification</w:t>
      </w:r>
      <w:bookmarkEnd w:id="71"/>
    </w:p>
    <w:p>
      <w:pPr>
        <w:numPr>
          <w:ilvl w:val="0"/>
          <w:numId w:val="1001"/>
        </w:numPr>
        <w:pStyle w:val="Compact"/>
      </w:pPr>
      <w:r>
        <w:t xml:space="preserve">☒ All six cells populated with at least one identified force</w:t>
      </w:r>
    </w:p>
    <w:p>
      <w:pPr>
        <w:numPr>
          <w:ilvl w:val="0"/>
          <w:numId w:val="1001"/>
        </w:numPr>
        <w:pStyle w:val="Compact"/>
      </w:pPr>
      <w:r>
        <w:t xml:space="preserve">☒ Every identified force documented at all three layers (Layer 1, Layer 2, Layer 3)</w:t>
      </w:r>
    </w:p>
    <w:p>
      <w:pPr>
        <w:numPr>
          <w:ilvl w:val="0"/>
          <w:numId w:val="1001"/>
        </w:numPr>
        <w:pStyle w:val="Compact"/>
      </w:pPr>
      <w:r>
        <w:t xml:space="preserve">☒ Layer 2 for every force uses the world’s own vocabulary — no modern analytical overlay (three entries explicitly mark non-recoverability rather than inventing content, per Section 8)</w:t>
      </w:r>
    </w:p>
    <w:p>
      <w:pPr>
        <w:numPr>
          <w:ilvl w:val="0"/>
          <w:numId w:val="1001"/>
        </w:numPr>
        <w:pStyle w:val="Compact"/>
      </w:pPr>
      <w:r>
        <w:t xml:space="preserve">☒ Transmission addressed explicitly in Cell 2B as a named force dimension (Force 2B-2)</w:t>
      </w:r>
    </w:p>
    <w:p>
      <w:pPr>
        <w:numPr>
          <w:ilvl w:val="0"/>
          <w:numId w:val="1001"/>
        </w:numPr>
        <w:pStyle w:val="Compact"/>
      </w:pPr>
      <w:r>
        <w:t xml:space="preserve">☒ Transmission addressed explicitly in Cell 3B as a named force dimension (Force 3B-2)</w:t>
      </w:r>
    </w:p>
    <w:p>
      <w:pPr>
        <w:numPr>
          <w:ilvl w:val="0"/>
          <w:numId w:val="1001"/>
        </w:numPr>
        <w:pStyle w:val="Compact"/>
      </w:pPr>
      <w:r>
        <w:t xml:space="preserve">☒ Forces-and-Gravities Synthesis (Section 5) connects every confirmed gravity from Doc_04 to at least one force (G01, G02, G03, G04, G05, G07 all present; G06 excluded because it did not reach gravity status in Doc_04 and is therefore not a</w:t>
      </w:r>
      <w:r>
        <w:t xml:space="preserve"> </w:t>
      </w:r>
      <w:r>
        <w:t xml:space="preserve">“</w:t>
      </w:r>
      <w:r>
        <w:t xml:space="preserve">confirmed gravity</w:t>
      </w:r>
      <w:r>
        <w:t xml:space="preserve">”</w:t>
      </w:r>
      <w:r>
        <w:t xml:space="preserve"> </w:t>
      </w:r>
      <w:r>
        <w:t xml:space="preserve">this section is required to cover)</w:t>
      </w:r>
    </w:p>
    <w:p>
      <w:pPr>
        <w:numPr>
          <w:ilvl w:val="0"/>
          <w:numId w:val="1001"/>
        </w:numPr>
        <w:pStyle w:val="Compact"/>
      </w:pPr>
      <w:r>
        <w:t xml:space="preserve">☒ Cross-cell connections documented in Section 4</w:t>
      </w:r>
    </w:p>
    <w:p>
      <w:pPr>
        <w:numPr>
          <w:ilvl w:val="0"/>
          <w:numId w:val="1001"/>
        </w:numPr>
        <w:pStyle w:val="Compact"/>
      </w:pPr>
      <w:r>
        <w:t xml:space="preserve">☒ Confidence calibration present throughout Section 3 and summarized in Section 7</w:t>
      </w:r>
    </w:p>
    <w:p>
      <w:pPr>
        <w:numPr>
          <w:ilvl w:val="0"/>
          <w:numId w:val="1001"/>
        </w:numPr>
        <w:pStyle w:val="Compact"/>
      </w:pPr>
      <w:r>
        <w:t xml:space="preserve">☒ All five governing principles confirmed in Section 8</w:t>
      </w:r>
    </w:p>
    <w:p>
      <w:pPr>
        <w:numPr>
          <w:ilvl w:val="0"/>
          <w:numId w:val="1001"/>
        </w:numPr>
        <w:pStyle w:val="Compact"/>
      </w:pPr>
      <w:r>
        <w:t xml:space="preserve">☒ Reported-Experience Status applied in Layer 2 entries where self-understanding is historically uncertain but formationally central (Forces 3A-2, 3B-1, 3B-2 explicitly mark non-recoverability)</w:t>
      </w:r>
    </w:p>
    <w:p>
      <w:pPr>
        <w:numPr>
          <w:ilvl w:val="0"/>
          <w:numId w:val="1001"/>
        </w:numPr>
        <w:pStyle w:val="Compact"/>
      </w:pPr>
      <w:r>
        <w:t xml:space="preserve">☒ Named scholarly tensions carried at full strength — no quiet consensus assumed (Section 7)</w:t>
      </w:r>
    </w:p>
    <w:p>
      <w:pPr>
        <w:numPr>
          <w:ilvl w:val="0"/>
          <w:numId w:val="1001"/>
        </w:numPr>
        <w:pStyle w:val="Compact"/>
      </w:pPr>
      <w:r>
        <w:t xml:space="preserve">☒ Transmission synthesis (Section 6) connects to Author Gravity findings from Doc_02</w:t>
      </w:r>
    </w:p>
    <w:p>
      <w:pPr>
        <w:pStyle w:val="FirstParagraph"/>
      </w:pPr>
      <w:r>
        <w:rPr>
          <w:b/>
        </w:rPr>
        <w:t xml:space="preserve">Doc_08 completion status:</w:t>
      </w:r>
      <w:r>
        <w:t xml:space="preserve"> </w:t>
      </w:r>
      <w:r>
        <w:t xml:space="preserve">APPROVED TO PROCEED — signed off by the project lead (Mark) on 2026-07-07. Cleared round-1 cold review (SUBSTANTIAL REVISION REQUIRED, narrow, five findings, fixed directly) and round-2 independent verification (all five fixes confirmed correctly landed, no regressions, no new inconsistencies).</w:t>
      </w:r>
    </w:p>
    <w:p>
      <w:pPr>
        <w:pStyle w:val="BodyText"/>
      </w:pPr>
      <w:r>
        <w:rPr>
          <w:b/>
        </w:rPr>
        <w:t xml:space="preserve">Outstanding items:</w:t>
      </w:r>
      <w:r>
        <w:t xml:space="preserve"> </w:t>
      </w:r>
      <w:r>
        <w:t xml:space="preserve">None beyond the standard next step — independent review — required by this project’s build-cycle discipline before any further status change. One open analytical gap is carried forward rather than resolved: whether Rome’s own communities experienced anything comparable to Strand A’s martyrdom-meaning (Force 2B-3) or anti-docetic boundary anxiety (Force 2B-4), or whether their absence from the record reflects a genuine difference in lived experience versus an accident of transmission (Section 5,</w:t>
      </w:r>
      <w:r>
        <w:t xml:space="preserve"> </w:t>
      </w:r>
      <w:r>
        <w:t xml:space="preserve">“</w:t>
      </w:r>
      <w:r>
        <w:t xml:space="preserve">Where Forces Analysis Surfaced Gaps</w:t>
      </w:r>
      <w:r>
        <w:t xml:space="preserve">”</w:t>
      </w:r>
      <w:r>
        <w:t xml:space="preserve">).</w:t>
      </w:r>
    </w:p>
    <w:p>
      <w:r>
        <w:pict>
          <v:rect style="width:0;height:1.5pt" o:hralign="center" o:hrstd="t" o:hr="t"/>
        </w:pict>
      </w:r>
    </w:p>
    <w:p>
      <w:pPr>
        <w:pStyle w:val="Heading2"/>
      </w:pPr>
      <w:bookmarkStart w:id="72" w:name="document-log"/>
      <w:r>
        <w:t xml:space="preserve">Document Log</w:t>
      </w:r>
      <w:bookmarkEnd w:id="72"/>
    </w:p>
    <w:p>
      <w:pPr>
        <w:numPr>
          <w:ilvl w:val="0"/>
          <w:numId w:val="1002"/>
        </w:numPr>
        <w:pStyle w:val="Compact"/>
      </w:pPr>
      <w:r>
        <w:rPr>
          <w:b/>
        </w:rPr>
        <w:t xml:space="preserve">Document:</w:t>
      </w:r>
      <w:r>
        <w:t xml:space="preserve"> </w:t>
      </w:r>
      <w:r>
        <w:t xml:space="preserve">Doc_08 — Forces Document, World #1 (Post-Apostolic/Sub-Apostolic House-Church Christianity), world code</w:t>
      </w:r>
      <w:r>
        <w:t xml:space="preserve"> </w:t>
      </w:r>
      <w:r>
        <w:rPr>
          <w:rStyle w:val="VerbatimChar"/>
        </w:rPr>
        <w:t xml:space="preserve">pahc</w:t>
      </w:r>
      <w:r>
        <w:t xml:space="preserve">, per Forces Framework v1 and the Forces Document Template (L4) v1.1.</w:t>
      </w:r>
    </w:p>
    <w:p>
      <w:pPr>
        <w:numPr>
          <w:ilvl w:val="0"/>
          <w:numId w:val="1002"/>
        </w:numPr>
        <w:pStyle w:val="Compact"/>
      </w:pPr>
      <w:r>
        <w:rPr>
          <w:b/>
        </w:rPr>
        <w:t xml:space="preserve">Built from:</w:t>
      </w:r>
      <w:r>
        <w:t xml:space="preserve"> </w:t>
      </w:r>
      <w:r>
        <w:t xml:space="preserve">Doc_01 through Doc_07 (all finalized, all project-lead signed off 2026-07-07). Fourteen forces identified across the six-cell matrix (two each in 1A, 1B, 3A, 3B; two in 2A; four in 2B), all traced to specific sections of Doc_01, Doc_02, Doc_04, Doc_05, and Doc_07 rather than general period knowledge.</w:t>
      </w:r>
    </w:p>
    <w:p>
      <w:pPr>
        <w:numPr>
          <w:ilvl w:val="0"/>
          <w:numId w:val="1002"/>
        </w:numPr>
        <w:pStyle w:val="Compact"/>
      </w:pPr>
      <w:r>
        <w:rPr>
          <w:b/>
        </w:rPr>
        <w:t xml:space="preserve">Relationship to prior preliminary forces work:</w:t>
      </w:r>
      <w:r>
        <w:t xml:space="preserve"> </w:t>
      </w:r>
      <w:r>
        <w:t xml:space="preserve">this document does not re-derive this world’s forces from scratch — it compiles and extends the preliminary forces identification already performed at Doc_01 §7, Doc_02 §9, each gravity’s own Forces test in Doc_04, Doc_05 §7, and Doc_07 §3, consistent with Framework Step 8’s own role as the point where the complete forces analysis is compiled rather than newly invented.</w:t>
      </w:r>
    </w:p>
    <w:p>
      <w:pPr>
        <w:numPr>
          <w:ilvl w:val="0"/>
          <w:numId w:val="1002"/>
        </w:numPr>
        <w:pStyle w:val="Compact"/>
      </w:pPr>
      <w:r>
        <w:rPr>
          <w:b/>
        </w:rPr>
        <w:t xml:space="preserve">New synthesis claims made at this step, flagged for independent review:</w:t>
      </w:r>
      <w:r>
        <w:t xml:space="preserve"> </w:t>
      </w:r>
      <w:r>
        <w:t xml:space="preserve">(1) Connection 5 (State Legal Precarity → Boundary-Drawing), carrying forward Doc_07’s own disclosed new synthesis rather than presenting it as an inherited Doc_04 finding; (2) the Section 6 claim that later transmission’s institutional/apologetic selection interest is itself a downstream record of which of this world’s own internal contests the wider tradition judged to have</w:t>
      </w:r>
      <w:r>
        <w:t xml:space="preserve"> </w:t>
      </w:r>
      <w:r>
        <w:t xml:space="preserve">“</w:t>
      </w:r>
      <w:r>
        <w:t xml:space="preserve">won</w:t>
      </w:r>
      <w:r>
        <w:t xml:space="preserve">”</w:t>
      </w:r>
      <w:r>
        <w:t xml:space="preserve"> </w:t>
      </w:r>
      <w:r>
        <w:t xml:space="preserve">— this document’s own synthesis, not a claim independently sourced to a named scholar; (3) the classification of Force 3A-1/3A-2 as</w:t>
      </w:r>
      <w:r>
        <w:t xml:space="preserve"> </w:t>
      </w:r>
      <w:r>
        <w:t xml:space="preserve">“</w:t>
      </w:r>
      <w:r>
        <w:t xml:space="preserve">external</w:t>
      </w:r>
      <w:r>
        <w:t xml:space="preserve">”</w:t>
      </w:r>
      <w:r>
        <w:t xml:space="preserve"> </w:t>
      </w:r>
      <w:r>
        <w:t xml:space="preserve">despite being generated by fellow Christian communities rather than the Roman state — defended in-line at each entry’s own Layer 1 discussion but flagged here as an interpretive category judgment a reviewer should test.</w:t>
      </w:r>
    </w:p>
    <w:p>
      <w:pPr>
        <w:numPr>
          <w:ilvl w:val="0"/>
          <w:numId w:val="1002"/>
        </w:numPr>
        <w:pStyle w:val="Compact"/>
      </w:pPr>
      <w:r>
        <w:rPr>
          <w:b/>
        </w:rPr>
        <w:t xml:space="preserve">Cold review, round 1 (first file-saved, genuinely independent review of this document):</w:t>
      </w:r>
      <w:r>
        <w:t xml:space="preserve"> </w:t>
      </w:r>
      <w:r>
        <w:t xml:space="preserve">dispatched with zero visibility into this document’s own drafting, checking it cold against the L4 Forces Document Template, Doc_01–07 as actually written, and the companion Force Index workbook. Full review saved at</w:t>
      </w:r>
      <w:r>
        <w:t xml:space="preserve"> </w:t>
      </w:r>
      <w:r>
        <w:rPr>
          <w:rStyle w:val="VerbatimChar"/>
        </w:rPr>
        <w:t xml:space="preserve">CiC_W1_Doc08_Cold_Review_Round1.md</w:t>
      </w:r>
      <w:r>
        <w:t xml:space="preserve">. Result:</w:t>
      </w:r>
      <w:r>
        <w:t xml:space="preserve"> </w:t>
      </w:r>
      <w:r>
        <w:rPr>
          <w:b/>
        </w:rPr>
        <w:t xml:space="preserve">SUBSTANTIAL REVISION REQUIRED — narrow in scope</w:t>
      </w:r>
      <w:r>
        <w:t xml:space="preserve">, calibrated by the reviewer to match this project’s own prior</w:t>
      </w:r>
      <w:r>
        <w:t xml:space="preserve"> </w:t>
      </w:r>
      <w:r>
        <w:t xml:space="preserve">“</w:t>
      </w:r>
      <w:r>
        <w:t xml:space="preserve">substantial, narrow</w:t>
      </w:r>
      <w:r>
        <w:t xml:space="preserve">”</w:t>
      </w:r>
      <w:r>
        <w:t xml:space="preserve"> </w:t>
      </w:r>
      <w:r>
        <w:t xml:space="preserve">cold-review findings for comparable-severity gaps (stale workbook cells, incomplete cross-references), rather than a defect in the underlying historical analysis. No fabricated, misattributed, or unsupported claim was found anywhere in the six-cell matrix across extensive spot-checking against Doc_01–05 and Doc_07. Findings: (1) Section 7’s Confidence Assessment silently omitted Force 1B-1 and Force 2A-2, despite both carrying explicit Section 3 confidence tags; (2) the companion workbook’s</w:t>
      </w:r>
      <w:r>
        <w:t xml:space="preserve"> </w:t>
      </w:r>
      <w:r>
        <w:t xml:space="preserve">“</w:t>
      </w:r>
      <w:r>
        <w:t xml:space="preserve">By Confidence Level</w:t>
      </w:r>
      <w:r>
        <w:t xml:space="preserve">”</w:t>
      </w:r>
      <w:r>
        <w:t xml:space="preserve"> </w:t>
      </w:r>
      <w:r>
        <w:t xml:space="preserve">sheet had the same Force 2A-2 omission; (3) the workbook’s own</w:t>
      </w:r>
      <w:r>
        <w:t xml:space="preserve"> </w:t>
      </w:r>
      <w:r>
        <w:t xml:space="preserve">“</w:t>
      </w:r>
      <w:r>
        <w:t xml:space="preserve">Force Index</w:t>
      </w:r>
      <w:r>
        <w:t xml:space="preserve">”</w:t>
      </w:r>
      <w:r>
        <w:t xml:space="preserve"> </w:t>
      </w:r>
      <w:r>
        <w:t xml:space="preserve">sheet disagreed with its own</w:t>
      </w:r>
      <w:r>
        <w:t xml:space="preserve"> </w:t>
      </w:r>
      <w:r>
        <w:t xml:space="preserve">“</w:t>
      </w:r>
      <w:r>
        <w:t xml:space="preserve">By Connected Gravity</w:t>
      </w:r>
      <w:r>
        <w:t xml:space="preserve">”</w:t>
      </w:r>
      <w:r>
        <w:t xml:space="preserve"> </w:t>
      </w:r>
      <w:r>
        <w:t xml:space="preserve">sheet on two forces’ Connected Gravities (1A-2 missing G02; 2B-3 missing G03); (4) Section 6’s</w:t>
      </w:r>
      <w:r>
        <w:t xml:space="preserve"> </w:t>
      </w:r>
      <w:r>
        <w:t xml:space="preserve">“</w:t>
      </w:r>
      <w:r>
        <w:t xml:space="preserve">downstream record of which… internal contests the wider tradition judged to have</w:t>
      </w:r>
      <w:r>
        <w:t xml:space="preserve"> </w:t>
      </w:r>
      <w:r>
        <w:t xml:space="preserve">‘</w:t>
      </w:r>
      <w:r>
        <w:t xml:space="preserve">won</w:t>
      </w:r>
      <w:r>
        <w:t xml:space="preserve">’</w:t>
      </w:r>
      <w:r>
        <w:t xml:space="preserve">”</w:t>
      </w:r>
      <w:r>
        <w:t xml:space="preserve"> </w:t>
      </w:r>
      <w:r>
        <w:t xml:space="preserve">claim was disclosed as this document’s own synthesis only in the Document Log, not inline where a reader would actually encounter it; (5) minor: the header’s</w:t>
      </w:r>
      <w:r>
        <w:t xml:space="preserve"> </w:t>
      </w:r>
      <w:r>
        <w:t xml:space="preserve">“</w:t>
      </w:r>
      <w:r>
        <w:t xml:space="preserve">Built from</w:t>
      </w:r>
      <w:r>
        <w:t xml:space="preserve">”</w:t>
      </w:r>
      <w:r>
        <w:t xml:space="preserve"> </w:t>
      </w:r>
      <w:r>
        <w:t xml:space="preserve">list omitted Doc_03 despite Doc_03 §2.7 being cited in the body. The reviewer also tested, and found genuinely defensible but contestable (not a defect), this document’s own self-disclosed classification of Forces 3A-1/3A-2 as</w:t>
      </w:r>
      <w:r>
        <w:t xml:space="preserve"> </w:t>
      </w:r>
      <w:r>
        <w:t xml:space="preserve">“</w:t>
      </w:r>
      <w:r>
        <w:t xml:space="preserve">External</w:t>
      </w:r>
      <w:r>
        <w:t xml:space="preserve">”</w:t>
      </w:r>
      <w:r>
        <w:t xml:space="preserve"> </w:t>
      </w:r>
      <w:r>
        <w:t xml:space="preserve">despite being generated by fellow Christian communities rather than the Roman state.</w:t>
      </w:r>
    </w:p>
    <w:p>
      <w:pPr>
        <w:numPr>
          <w:ilvl w:val="0"/>
          <w:numId w:val="1002"/>
        </w:numPr>
        <w:pStyle w:val="Compact"/>
      </w:pPr>
      <w:r>
        <w:rPr>
          <w:b/>
        </w:rPr>
        <w:t xml:space="preserve">Round 1 fixes applied:</w:t>
      </w:r>
      <w:r>
        <w:t xml:space="preserve"> </w:t>
      </w:r>
      <w:r>
        <w:t xml:space="preserve">Force 1B-1 and Force 2A-2 added to Section 7 (Documented/Widely Accepted and Contested tiers respectively, matching their Section 3 tags exactly); the companion workbook’s</w:t>
      </w:r>
      <w:r>
        <w:t xml:space="preserve"> </w:t>
      </w:r>
      <w:r>
        <w:t xml:space="preserve">“</w:t>
      </w:r>
      <w:r>
        <w:t xml:space="preserve">By Confidence Level</w:t>
      </w:r>
      <w:r>
        <w:t xml:space="preserve">”</w:t>
      </w:r>
      <w:r>
        <w:t xml:space="preserve"> </w:t>
      </w:r>
      <w:r>
        <w:t xml:space="preserve">sheet corrected to add Force 2A-2; the workbook’s</w:t>
      </w:r>
      <w:r>
        <w:t xml:space="preserve"> </w:t>
      </w:r>
      <w:r>
        <w:t xml:space="preserve">“</w:t>
      </w:r>
      <w:r>
        <w:t xml:space="preserve">Force Index</w:t>
      </w:r>
      <w:r>
        <w:t xml:space="preserve">”</w:t>
      </w:r>
      <w:r>
        <w:t xml:space="preserve"> </w:t>
      </w:r>
      <w:r>
        <w:t xml:space="preserve">sheet’s Connected Gravities column corrected for 1A-2 (added G02) and 2B-3 (added G03), now matching the</w:t>
      </w:r>
      <w:r>
        <w:t xml:space="preserve"> </w:t>
      </w:r>
      <w:r>
        <w:t xml:space="preserve">“</w:t>
      </w:r>
      <w:r>
        <w:t xml:space="preserve">By Connected Gravity</w:t>
      </w:r>
      <w:r>
        <w:t xml:space="preserve">”</w:t>
      </w:r>
      <w:r>
        <w:t xml:space="preserve"> </w:t>
      </w:r>
      <w:r>
        <w:t xml:space="preserve">sheet and Section 5’s prose; Section 6’s transmission-selection claim given an explicit inline synthesis disclosure, matching the standard already applied to Connection 5; Doc_03 added to the header’s</w:t>
      </w:r>
      <w:r>
        <w:t xml:space="preserve"> </w:t>
      </w:r>
      <w:r>
        <w:t xml:space="preserve">“</w:t>
      </w:r>
      <w:r>
        <w:t xml:space="preserve">Built from</w:t>
      </w:r>
      <w:r>
        <w:t xml:space="preserve">”</w:t>
      </w:r>
      <w:r>
        <w:t xml:space="preserve"> </w:t>
      </w:r>
      <w:r>
        <w:t xml:space="preserve">list.</w:t>
      </w:r>
    </w:p>
    <w:p>
      <w:pPr>
        <w:numPr>
          <w:ilvl w:val="0"/>
          <w:numId w:val="1002"/>
        </w:numPr>
        <w:pStyle w:val="Compact"/>
      </w:pPr>
      <w:r>
        <w:rPr>
          <w:b/>
        </w:rPr>
        <w:t xml:space="preserve">Status after round 1:</w:t>
      </w:r>
      <w:r>
        <w:t xml:space="preserve"> </w:t>
      </w:r>
      <w:r>
        <w:t xml:space="preserve">Cleared review — pending project-lead sign-off, contingent on independent verification of the fixes above (dispatched separately, per this project’s established practice for</w:t>
      </w:r>
      <w:r>
        <w:t xml:space="preserve"> </w:t>
      </w:r>
      <w:r>
        <w:t xml:space="preserve">“</w:t>
      </w:r>
      <w:r>
        <w:t xml:space="preserve">substantial, narrow</w:t>
      </w:r>
      <w:r>
        <w:t xml:space="preserve">”</w:t>
      </w:r>
      <w:r>
        <w:t xml:space="preserve"> </w:t>
      </w:r>
      <w:r>
        <w:t xml:space="preserve">cold-review findings — see Doc_01 and Doc_04’s own round-2 independent verification precedent). This document does not mark itself APPROVED TO PROCEED; that status is reserved for the project lead’s own explicit decision.</w:t>
      </w:r>
    </w:p>
    <w:p>
      <w:pPr>
        <w:numPr>
          <w:ilvl w:val="0"/>
          <w:numId w:val="1002"/>
        </w:numPr>
        <w:pStyle w:val="Compact"/>
      </w:pPr>
      <w:r>
        <w:rPr>
          <w:b/>
        </w:rPr>
        <w:t xml:space="preserve">Round-2 independent verification:</w:t>
      </w:r>
      <w:r>
        <w:t xml:space="preserve"> </w:t>
      </w:r>
      <w:r>
        <w:t xml:space="preserve">dispatched with zero visibility into how the round-1 fixes were applied, checking each of the five claimed fixes directly against the current document text and the current Force Index workbook. Result for all five:</w:t>
      </w:r>
      <w:r>
        <w:t xml:space="preserve"> </w:t>
      </w:r>
      <w:r>
        <w:rPr>
          <w:b/>
        </w:rPr>
        <w:t xml:space="preserve">LANDED CORRECTLY</w:t>
      </w:r>
      <w:r>
        <w:t xml:space="preserve">, with no partial landings, no regressions, and no new inconsistencies introduced by the fixes (the reviewer specifically checked whether the 2B-3/G03 self-reference pattern created new drift and found it consistent with the existing 2A-1/G03 self-reference convention). The reviewer also confirmed the Forces 3A-1/3A-2</w:t>
      </w:r>
      <w:r>
        <w:t xml:space="preserve"> </w:t>
      </w:r>
      <w:r>
        <w:t xml:space="preserve">“</w:t>
      </w:r>
      <w:r>
        <w:t xml:space="preserve">External</w:t>
      </w:r>
      <w:r>
        <w:t xml:space="preserve">”</w:t>
      </w:r>
      <w:r>
        <w:t xml:space="preserve"> </w:t>
      </w:r>
      <w:r>
        <w:t xml:space="preserve">classification — flagged in round 1 as defensible-but-contestable, not a defect — remains disclosed unchanged, since no fix was required or made to it. Overall verdict: this document is ready for project-lead sign-off consideration from a fixes-verification standpoint.</w:t>
      </w:r>
    </w:p>
    <w:p>
      <w:pPr>
        <w:numPr>
          <w:ilvl w:val="0"/>
          <w:numId w:val="1002"/>
        </w:numPr>
        <w:pStyle w:val="Compact"/>
      </w:pPr>
      <w:r>
        <w:rPr>
          <w:b/>
        </w:rPr>
        <w:t xml:space="preserve">Status after round-2 verification:</w:t>
      </w:r>
      <w:r>
        <w:t xml:space="preserve"> </w:t>
      </w:r>
      <w:r>
        <w:t xml:space="preserve">Cleared review — pending project-lead sign-off. This document does not mark itself APPROVED TO PROCEED; that status is reserved for the project lead’s own explicit decision.</w:t>
      </w:r>
    </w:p>
    <w:p>
      <w:r>
        <w:pict>
          <v:rect style="width:0;height:1.5pt" o:hralign="center" o:hrstd="t" o:hr="t"/>
        </w:pict>
      </w:r>
    </w:p>
    <w:p>
      <w:pPr>
        <w:pStyle w:val="FirstParagraph"/>
      </w:pPr>
      <w:r>
        <w:rPr>
          <w:b/>
        </w:rPr>
        <w:t xml:space="preserve">Project-lead sign-off:</w:t>
      </w:r>
      <w:r>
        <w:t xml:space="preserve"> </w:t>
      </w:r>
      <w:r>
        <w:t xml:space="preserve">The project lead (Mark) was presented with the full document, the full round-1 cold review, and the full round-2 independent verification result before this sign-off was recorded. In response to being asked explicitly whether he wanted to sign off or revisit anything, and after a separate housekeeping request (copying working files to the canonical project folder) was completed, Mark replied</w:t>
      </w:r>
      <w:r>
        <w:t xml:space="preserve"> </w:t>
      </w:r>
      <w:r>
        <w:t xml:space="preserve">“</w:t>
      </w:r>
      <w:r>
        <w:t xml:space="preserve">ok next step</w:t>
      </w:r>
      <w:r>
        <w:t xml:space="preserve">”</w:t>
      </w:r>
      <w:r>
        <w:t xml:space="preserve"> </w:t>
      </w:r>
      <w:r>
        <w:t xml:space="preserve">— interpreted here, consistent with this same build’s own precedent for Doc_07 (</w:t>
      </w:r>
      <w:r>
        <w:t xml:space="preserve">“</w:t>
      </w:r>
      <w:r>
        <w:t xml:space="preserve">yes go to next step</w:t>
      </w:r>
      <w:r>
        <w:t xml:space="preserve">”</w:t>
      </w:r>
      <w:r>
        <w:t xml:space="preserve">), as confirmation to sign off on Doc_08 and proceed to the next document in sequence. This interpretation is stated explicitly, as it should be, rather than silently assumed; if this reading is wrong, this status is reopened.</w:t>
      </w:r>
      <w:r>
        <w:t xml:space="preserve"> </w:t>
      </w:r>
      <w:r>
        <w:rPr>
          <w:b/>
        </w:rPr>
        <w:t xml:space="preserve">Status: APPROVED TO PROCEED.</w:t>
      </w:r>
    </w:p>
    <w:p>
      <w:pPr>
        <w:numPr>
          <w:ilvl w:val="0"/>
          <w:numId w:val="1003"/>
        </w:numPr>
        <w:pStyle w:val="Compact"/>
      </w:pPr>
      <w:r>
        <w:rPr>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03"/>
        </w:numPr>
        <w:pStyle w:val="Compact"/>
      </w:pPr>
      <w:r>
        <w:rPr>
          <w:b/>
        </w:rPr>
        <w:t xml:space="preserve">Ecological Integrity finding resolved (2026-07-08):</w:t>
      </w:r>
      <w:r>
        <w:t xml:space="preserve"> </w:t>
      </w:r>
      <w:r>
        <w:t xml:space="preserve">the Part VI ecology-level Validation &amp; Testing pass re-surfaced the Forces 3A-1/3A-2</w:t>
      </w:r>
      <w:r>
        <w:t xml:space="preserve"> </w:t>
      </w:r>
      <w:r>
        <w:t xml:space="preserve">“</w:t>
      </w:r>
      <w:r>
        <w:t xml:space="preserve">External</w:t>
      </w:r>
      <w:r>
        <w:t xml:space="preserve">”</w:t>
      </w:r>
      <w:r>
        <w:t xml:space="preserve"> </w:t>
      </w:r>
      <w:r>
        <w:t xml:space="preserve">classification question round-1 cold review had flagged as</w:t>
      </w:r>
      <w:r>
        <w:t xml:space="preserve"> </w:t>
      </w:r>
      <w:r>
        <w:t xml:space="preserve">“</w:t>
      </w:r>
      <w:r>
        <w:t xml:space="preserve">defensible but contestable</w:t>
      </w:r>
      <w:r>
        <w:t xml:space="preserve">”</w:t>
      </w:r>
      <w:r>
        <w:t xml:space="preserve"> </w:t>
      </w:r>
      <w:r>
        <w:t xml:space="preserve">without this document ever settling it. Resolved this pass by appeal to this document’s own established precedent (Force 2A-2’s identical, never-contested External classification for Christian-identifying rival movements) rather than fresh stipulation — see the new definitional note at the head of Cell 3A above. This is a definitional/scope decision, not new research or a changed claim about any force’s own content.</w:t>
      </w:r>
    </w:p>
    <w:p>
      <w:pPr>
        <w:numPr>
          <w:ilvl w:val="0"/>
          <w:numId w:val="1003"/>
        </w:numPr>
        <w:pStyle w:val="Compact"/>
      </w:pPr>
      <w:r>
        <w:rPr>
          <w:b/>
        </w:rPr>
        <w:t xml:space="preserve">Correction, same-day (2026-07-08):</w:t>
      </w:r>
      <w:r>
        <w:t xml:space="preserve"> </w:t>
      </w:r>
      <w:r>
        <w:t xml:space="preserve">an independent cold review of the full Validation &amp; Testing batch (see</w:t>
      </w:r>
      <w:r>
        <w:t xml:space="preserve"> </w:t>
      </w:r>
      <w:r>
        <w:rPr>
          <w:rStyle w:val="VerbatimChar"/>
        </w:rPr>
        <w:t xml:space="preserve">CiC_W1_BatchFix_Cold_Review_Round1.md</w:t>
      </w:r>
      <w:r>
        <w:t xml:space="preserve">) found the definitional note’s original form factually broken: it argued</w:t>
      </w:r>
      <w:r>
        <w:t xml:space="preserve"> </w:t>
      </w:r>
      <w:r>
        <w:t xml:space="preserve">“</w:t>
      </w:r>
      <w:r>
        <w:t xml:space="preserve">External</w:t>
      </w:r>
      <w:r>
        <w:t xml:space="preserve">”</w:t>
      </w:r>
      <w:r>
        <w:t xml:space="preserve"> </w:t>
      </w:r>
      <w:r>
        <w:t xml:space="preserve">meant</w:t>
      </w:r>
      <w:r>
        <w:t xml:space="preserve"> </w:t>
      </w:r>
      <w:r>
        <w:t xml:space="preserve">“</w:t>
      </w:r>
      <w:r>
        <w:t xml:space="preserve">outside this world’s own three core regions</w:t>
      </w:r>
      <w:r>
        <w:t xml:space="preserve">”</w:t>
      </w:r>
      <w:r>
        <w:t xml:space="preserve"> </w:t>
      </w:r>
      <w:r>
        <w:t xml:space="preserve">and claimed Force 2A-2’s rival movements supported that reading, but Force 2A-2’s own Layer 1 text (and Doc_01 §8.3) states those movements operated substantially</w:t>
      </w:r>
      <w:r>
        <w:t xml:space="preserve"> </w:t>
      </w:r>
      <w:r>
        <w:rPr>
          <w:i/>
        </w:rPr>
        <w:t xml:space="preserve">inside</w:t>
      </w:r>
      <w:r>
        <w:t xml:space="preserve"> </w:t>
      </w:r>
      <w:r>
        <w:t xml:space="preserve">two of the three core regions (Rome, Asia Minor) — the opposite of what the note needed. The note has been re-argued on a corrected, non-geographic ground:</w:t>
      </w:r>
      <w:r>
        <w:t xml:space="preserve"> </w:t>
      </w:r>
      <w:r>
        <w:t xml:space="preserve">“</w:t>
      </w:r>
      <w:r>
        <w:t xml:space="preserve">External</w:t>
      </w:r>
      <w:r>
        <w:t xml:space="preserve">”</w:t>
      </w:r>
      <w:r>
        <w:t xml:space="preserve"> </w:t>
      </w:r>
      <w:r>
        <w:t xml:space="preserve">names a force generated by a community outside this world’s own six-primary-voice evidentiary network, regardless of physical location. This ground is consistent with Force 2A-2’s actual content (rather than contradicted by it) and reaches the same classification for Forces 3A-1/3A-2. This correction changes the</w:t>
      </w:r>
      <w:r>
        <w:t xml:space="preserve"> </w:t>
      </w:r>
      <w:r>
        <w:rPr>
          <w:i/>
        </w:rPr>
        <w:t xml:space="preserve">argument</w:t>
      </w:r>
      <w:r>
        <w:t xml:space="preserve"> </w:t>
      </w:r>
      <w:r>
        <w:t xml:space="preserve">supporting an already-made classification decision, not the classification itself (3A-1/3A-2 remain External, as they were before either version of the note) — but per this project’s revision-decision test, replacing a factually broken argument is treated as substantial enough to flag for a fresh independent check, not self-certified as cosmetic.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2026-07-08T15:27:33Z</dcterms:created>
  <dcterms:modified xsi:type="dcterms:W3CDTF">2026-07-08T15:27:33Z</dcterms:modified>
</cp:coreProperties>
</file>

<file path=docProps/custom.xml><?xml version="1.0" encoding="utf-8"?>
<Properties xmlns="http://schemas.openxmlformats.org/officeDocument/2006/custom-properties" xmlns:vt="http://schemas.openxmlformats.org/officeDocument/2006/docPropsVTypes"/>
</file>