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63F6" w14:textId="77777777" w:rsidR="00DE07F6" w:rsidRPr="00DE07F6" w:rsidRDefault="00DE07F6" w:rsidP="00DE07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7F6">
        <w:rPr>
          <w:rFonts w:ascii="Times New Roman" w:eastAsia="Times New Roman" w:hAnsi="Times New Roman" w:cs="Times New Roman"/>
          <w:b/>
          <w:bCs/>
          <w:kern w:val="0"/>
          <w:sz w:val="36"/>
          <w:szCs w:val="36"/>
          <w14:ligatures w14:val="none"/>
        </w:rPr>
        <w:t>Church in Conversation</w:t>
      </w:r>
    </w:p>
    <w:p w14:paraId="766BC5A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Vision, Mission, Convictions, and Foundational Commitments</w:t>
      </w:r>
    </w:p>
    <w:p w14:paraId="1F8AB073" w14:textId="77777777" w:rsidR="00DE07F6" w:rsidRPr="00DE07F6" w:rsidRDefault="00DE07F6" w:rsidP="00DE07F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07F6">
        <w:rPr>
          <w:rFonts w:ascii="Times New Roman" w:eastAsia="Times New Roman" w:hAnsi="Times New Roman" w:cs="Times New Roman"/>
          <w:b/>
          <w:bCs/>
          <w:kern w:val="0"/>
          <w14:ligatures w14:val="none"/>
        </w:rPr>
        <w:t>Governing Document — v1.1</w:t>
      </w:r>
    </w:p>
    <w:p w14:paraId="269FED5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37BCA7">
          <v:rect id="_x0000_i1025" style="width:0;height:1.5pt" o:hralign="center" o:hrstd="t" o:hr="t" fillcolor="#a0a0a0" stroked="f"/>
        </w:pict>
      </w:r>
    </w:p>
    <w:p w14:paraId="6060F9F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What This Document Is</w:t>
      </w:r>
    </w:p>
    <w:p w14:paraId="0362975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This is the founding vision statement of Church in Conversation. It precedes every governance document, every methodology framework, every world build, and every deployment decision. When any architectural choice, technical decision, or design question arises, this document is consulted first.</w:t>
      </w:r>
    </w:p>
    <w:p w14:paraId="785545F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It is not a procedural document. It does not specify how things are built. It specifies what everything is for.</w:t>
      </w:r>
    </w:p>
    <w:p w14:paraId="7A6AE3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This document stands alone. It does not assume familiarity with any other document in the project. Everything a builder, reviewer, or new participant needs to understand the project's purpose, convictions, and values is contained here.</w:t>
      </w:r>
    </w:p>
    <w:p w14:paraId="719882AA"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4D49CF">
          <v:rect id="_x0000_i1026" style="width:0;height:1.5pt" o:hralign="center" o:hrstd="t" o:hr="t" fillcolor="#a0a0a0" stroked="f"/>
        </w:pict>
      </w:r>
    </w:p>
    <w:p w14:paraId="02D9A295"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Mission</w:t>
      </w:r>
    </w:p>
    <w:p w14:paraId="723ED41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6F5C60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This mission is unchanged by revision, maturation, or growth.</w:t>
      </w:r>
    </w:p>
    <w:p w14:paraId="45E5C15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purpose of the project is not historical exploration for its own sake. It is not technology for its own sake. It is not denominational comparison for its own sake.</w:t>
      </w:r>
    </w:p>
    <w:p w14:paraId="1A36AF6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traditions, movements, practices, and witnesses of the Church matter because they bear witness to Christ. The mission is encounter with Jesus through engagement with the life and witness of His Church.</w:t>
      </w:r>
    </w:p>
    <w:p w14:paraId="3EF2B304"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5367B">
          <v:rect id="_x0000_i1027" style="width:0;height:1.5pt" o:hralign="center" o:hrstd="t" o:hr="t" fillcolor="#a0a0a0" stroked="f"/>
        </w:pict>
      </w:r>
    </w:p>
    <w:p w14:paraId="7FCA82A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Story</w:t>
      </w:r>
    </w:p>
    <w:p w14:paraId="1704527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Christian faith did not develop in a single place, culture, language, or tradition.</w:t>
      </w:r>
    </w:p>
    <w:p w14:paraId="1BDB44A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lastRenderedPageBreak/>
        <w:t>For two thousand years, Christians have sought to understand Jesus, interpret His Word, worship faithfully, cultivate life in Christ, and embody faith within their world. These efforts have taken shape in countless traditions, movements, communities, and expressions of the Church. Each bears witness to something. Each reveals wisdom and limitation, faithfulness and failure, hope and wounds, perseverance and struggle. No single movement exhausts the richness of Christ. Together they form a vast testimony to the ongoing work of Jesus among His people.</w:t>
      </w:r>
    </w:p>
    <w:p w14:paraId="45E60D8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Church in Conversation exists to help people enter that testimony.</w:t>
      </w:r>
    </w:p>
    <w:p w14:paraId="25A1600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Through meaningful encounter with faithful witnesses from across the life of the Church, participants are invited into a larger conversation than they may have previously known. The goal is not admiration of the witnesses themselves. The goal is deeper encounter with the One to whom they bear witness.</w:t>
      </w:r>
    </w:p>
    <w:p w14:paraId="3AEE265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 xml:space="preserve">The particularity of each witness matters. Desert Christianity's martyrological combat frame, Alexandria's Logos-centered formation, the </w:t>
      </w:r>
      <w:proofErr w:type="spellStart"/>
      <w:r w:rsidRPr="00DE07F6">
        <w:rPr>
          <w:rFonts w:ascii="Times New Roman" w:eastAsia="Times New Roman" w:hAnsi="Times New Roman" w:cs="Times New Roman"/>
          <w:kern w:val="0"/>
          <w14:ligatures w14:val="none"/>
        </w:rPr>
        <w:t>Pachomian</w:t>
      </w:r>
      <w:proofErr w:type="spellEnd"/>
      <w:r w:rsidRPr="00DE07F6">
        <w:rPr>
          <w:rFonts w:ascii="Times New Roman" w:eastAsia="Times New Roman" w:hAnsi="Times New Roman" w:cs="Times New Roman"/>
          <w:kern w:val="0"/>
          <w14:ligatures w14:val="none"/>
        </w:rPr>
        <w:t xml:space="preserve"> koinonia's communal theology — these are not interchangeable paths to a generic Jesus. Each tradition has known him in ways specific to its own formation, its own struggles, its own encounter with Scripture and the Spirit. The encounter this project enables is not with a flattened, universalized Christianity. It is with Jesus as particular communities have genuinely known him, formed by him, and borne witness to him across two thousand years.</w:t>
      </w:r>
    </w:p>
    <w:p w14:paraId="5D42A99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This story is unchanged by revision, maturation, or growth.</w:t>
      </w:r>
    </w:p>
    <w:p w14:paraId="617187C2"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D7F3EF">
          <v:rect id="_x0000_i1028" style="width:0;height:1.5pt" o:hralign="center" o:hrstd="t" o:hr="t" fillcolor="#a0a0a0" stroked="f"/>
        </w:pict>
      </w:r>
    </w:p>
    <w:p w14:paraId="5B71FF4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What a Successful Encounter Looks Like</w:t>
      </w:r>
    </w:p>
    <w:p w14:paraId="3F5A626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A successful encounter is one in which a participant leaves having genuinely met something they had not met before — a way of knowing Jesus, a practice of faith, a question they hadn't known to ask — and carries that meeting forward in whatever direction is their own.</w:t>
      </w:r>
    </w:p>
    <w:p w14:paraId="097D60E3" w14:textId="77777777" w:rsid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This is the measure against which every architectural decision, every representative voice, every deployment choice, and every design trade-off is evaluated. Not whether the system is technically impressive. Not whether the historical reconstruction is exhaustive. Whether a participant met something real and left changed in some way that belongs to them.</w:t>
      </w:r>
    </w:p>
    <w:p w14:paraId="0B86631D" w14:textId="76BB495E" w:rsidR="0018341E"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Note: Constitution Article 6 refines the testable expression of this standard. Whether a participant was changed, and in what direction,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The standard is evaluated against these four observable conditions, not against participant outcome.</w:t>
      </w:r>
    </w:p>
    <w:p w14:paraId="29FA8DAD"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5FD35">
          <v:rect id="_x0000_i1029" style="width:0;height:1.5pt" o:hralign="center" o:hrstd="t" o:hr="t" fillcolor="#a0a0a0" stroked="f"/>
        </w:pict>
      </w:r>
    </w:p>
    <w:p w14:paraId="0C19FBF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lastRenderedPageBreak/>
        <w:t>The Five Convictions</w:t>
      </w:r>
    </w:p>
    <w:p w14:paraId="5BE31B1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These convictions gave rise to this project. They are not derived from the architecture — the architecture is derived from them. No revision, addition, or technical decision may contradict them.</w:t>
      </w:r>
    </w:p>
    <w:p w14:paraId="32928F88"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1. We Encounter More of Christ Through the Witnesses of His Church</w:t>
      </w:r>
    </w:p>
    <w:p w14:paraId="3B990FE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We believe the richness of Christ is revealed through the many historical and contemporary movements of His Church.</w:t>
      </w:r>
    </w:p>
    <w:p w14:paraId="7A03CCE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Across centuries and cultures, Christians have sought to understand Jesus, interpret His Word, worship faithfully, cultivate life in Christ, and embody faith in their world.</w:t>
      </w:r>
    </w:p>
    <w:p w14:paraId="7ED9D99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No single movement exhausts that richness. Each reveals something the others cannot. Together they form a vast testimony to the ongoing work of Christ among His people.</w:t>
      </w:r>
    </w:p>
    <w:p w14:paraId="067E78B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2. Understanding Grows Most Deeply Through Encounter</w:t>
      </w:r>
    </w:p>
    <w:p w14:paraId="3CE9B0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w:t>
      </w:r>
    </w:p>
    <w:p w14:paraId="6C2F101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Participants encounter not only what Christians believed, but how those beliefs shaped worship, community, imagination, formation, virtue, and daily life.</w:t>
      </w:r>
    </w:p>
    <w:p w14:paraId="648927B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Encounter transforms information into understanding, and understanding into possibility.</w:t>
      </w:r>
    </w:p>
    <w:p w14:paraId="7CC627F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3. Every Witness Bears Testimony Faithfully</w:t>
      </w:r>
    </w:p>
    <w:p w14:paraId="58F92D2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A witness speaks for a particular historical or contemporary movement within Christ's Church.</w:t>
      </w:r>
    </w:p>
    <w:p w14:paraId="6A4681B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witness does not modernize, harmonize, defend, or critique. Instead, the witness allows that movement to speak honestly in its own voice.</w:t>
      </w:r>
    </w:p>
    <w:p w14:paraId="2DEA508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Like any true witness, it bears testimony through a particular story that points beyond itself to the One it ultimately serves.</w:t>
      </w:r>
    </w:p>
    <w:p w14:paraId="1120DE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4. Authentic Encounter Requires Trustworthy Transparency</w:t>
      </w:r>
    </w:p>
    <w:p w14:paraId="34FB43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Participants deserve access to sources, evidence, tensions, disagreements, uncertainties, and limitations.</w:t>
      </w:r>
    </w:p>
    <w:p w14:paraId="2665B1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Nothing essential is hidden. Nothing difficult is removed. Beauty and complexity, faithfulness and failure, hope and wounds, perseverance and struggle all belong to honest witness.</w:t>
      </w:r>
    </w:p>
    <w:p w14:paraId="266399A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Truth does not require protection through simplification.</w:t>
      </w:r>
    </w:p>
    <w:p w14:paraId="560AB01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lastRenderedPageBreak/>
        <w:t>5. Technology Should Serve Encounter, Never Replace It</w:t>
      </w:r>
    </w:p>
    <w:p w14:paraId="7312A8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Technology exists to create access, preserve fidelity, and support transparency.</w:t>
      </w:r>
    </w:p>
    <w:p w14:paraId="2DE1407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Technology is not the source of authority, the object of trust, or a substitute for human judgment, community, or spiritual formation.</w:t>
      </w:r>
    </w:p>
    <w:p w14:paraId="357215C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Technology expands what is possible. It is never the point. It is a servant of the encounter, never its purpose.</w:t>
      </w:r>
    </w:p>
    <w:p w14:paraId="74BA4E41"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F8497">
          <v:rect id="_x0000_i1030" style="width:0;height:1.5pt" o:hralign="center" o:hrstd="t" o:hr="t" fillcolor="#a0a0a0" stroked="f"/>
        </w:pict>
      </w:r>
    </w:p>
    <w:p w14:paraId="2A59011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Living Traditions</w:t>
      </w:r>
    </w:p>
    <w:p w14:paraId="338B6B0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Where the traditions we engage are living traditions with present-day adherents, we hold our historical reconstruction with additional care.</w:t>
      </w:r>
    </w:p>
    <w:p w14:paraId="0694E02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We distinguish clearly between the historical formation world we reconstruct — bounded in time, limited by evidence, accountable to scholarship — and the tradition's present-day self-understanding, which belongs to living communities and is not ours to define or represent.</w:t>
      </w:r>
    </w:p>
    <w:p w14:paraId="1868FDE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We do not treat our reconstruction of a historical world as a verdict on the living tradition that descends from it. We do not allow a Representative's historical voice to be confused with the voice of a contemporary tradition or its present-day adherents.</w:t>
      </w:r>
    </w:p>
    <w:p w14:paraId="0EE0914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Both the historical world and the living tradition deserve this care. Neither is diminished by the distinction.</w:t>
      </w:r>
    </w:p>
    <w:p w14:paraId="58324A40"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4E6062">
          <v:rect id="_x0000_i1031" style="width:0;height:1.5pt" o:hralign="center" o:hrstd="t" o:hr="t" fillcolor="#a0a0a0" stroked="f"/>
        </w:pict>
      </w:r>
    </w:p>
    <w:p w14:paraId="1C5763F3"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Why We Are Revising</w:t>
      </w:r>
    </w:p>
    <w:p w14:paraId="5FA22DE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As Alexandria has taken shape, as representatives have begun to emerge, as runtime experiences have been explored, and as we have started preparing for real participants, new insights have surfaced that were difficult to see at the beginning.</w:t>
      </w:r>
    </w:p>
    <w:p w14:paraId="6BC8D65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We now have a much clearer understanding of what it takes to build a Formation World — what creates meaningful encounter, what information needs to be preserved, what relationships need to be visible, what future deployment requires, and where our current documents can be strengthened, integrated, clarified, and better organized.</w:t>
      </w:r>
    </w:p>
    <w:p w14:paraId="12D350A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This revision is a maturation process, not a redesign process.</w:t>
      </w:r>
    </w:p>
    <w:p w14:paraId="4FCAAF9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We are not questioning the mission. We are not revisiting the Story. We are not replacing the Five Convictions. We are not abandoning the architecture.</w:t>
      </w:r>
    </w:p>
    <w:p w14:paraId="2DBE731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lastRenderedPageBreak/>
        <w:t>Instead we are asking:</w:t>
      </w:r>
    </w:p>
    <w:p w14:paraId="7E5322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How can we better express what we have learned through the actual process of building?</w:t>
      </w:r>
    </w:p>
    <w:p w14:paraId="5651633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How can we better account for both the internal life of a movement and the external forces that shaped it — recognizing that every formation world exists inside a larger world, and that the pressures, crises, controversies, and conditions surrounding a movement are not background context but constitutive of the formation itself?</w:t>
      </w:r>
    </w:p>
    <w:p w14:paraId="0B573DE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How can we better connect world construction, representative formation, encounter design, communication, governance, and deployment into one coherent, disciplined system?</w:t>
      </w:r>
    </w:p>
    <w:p w14:paraId="2CEF488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How can we more faithfully represent the complexity, tensions, and historical situatedness of the worlds we are constructing?</w:t>
      </w:r>
    </w:p>
    <w:p w14:paraId="72BE029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How can we organize the project in ways that are easier to build, steward, maintain, scale, and eventually share with others?</w:t>
      </w:r>
    </w:p>
    <w:p w14:paraId="7E76206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project has taught us a great deal. This revision is an opportunity to listen to those lessons and allow the architecture to mature accordingly.</w:t>
      </w:r>
    </w:p>
    <w:p w14:paraId="14C56563"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D46D09">
          <v:rect id="_x0000_i1032" style="width:0;height:1.5pt" o:hralign="center" o:hrstd="t" o:hr="t" fillcolor="#a0a0a0" stroked="f"/>
        </w:pict>
      </w:r>
    </w:p>
    <w:p w14:paraId="73CF3E5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Foundational Values</w:t>
      </w:r>
    </w:p>
    <w:p w14:paraId="70974BF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Five Convictions establish what this project believes. These values establish how it behaves. They govern every participant experience, every build decision, and every deployment choice. Where technical, design, or efficiency considerations conflict with these values, the values govern.</w:t>
      </w:r>
    </w:p>
    <w:p w14:paraId="774B5F0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Participant Agency</w:t>
      </w:r>
      <w:r w:rsidRPr="00DE07F6">
        <w:rPr>
          <w:rFonts w:ascii="Times New Roman" w:eastAsia="Times New Roman" w:hAnsi="Times New Roman" w:cs="Times New Roman"/>
          <w:kern w:val="0"/>
          <w14:ligatures w14:val="none"/>
        </w:rPr>
        <w:br/>
        <w:t>Participants remain free to explore, question, challenge, disagree, wrestle, and draw their own conclusions. The system creates conditions for discovery, not pressure toward predetermined outcomes. Formation happens in freedom, not direction. The encounter opens something — what the participant does with that opening belongs entirely to them.</w:t>
      </w:r>
    </w:p>
    <w:p w14:paraId="218AB22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Historical Responsibility</w:t>
      </w:r>
      <w:r w:rsidRPr="00DE07F6">
        <w:rPr>
          <w:rFonts w:ascii="Times New Roman" w:eastAsia="Times New Roman" w:hAnsi="Times New Roman" w:cs="Times New Roman"/>
          <w:kern w:val="0"/>
          <w14:ligatures w14:val="none"/>
        </w:rPr>
        <w:br/>
        <w:t>Worlds, representatives, encounters, and supporting systems reflect the complexity, diversity, tensions, relationships, and realities of the communities they represent. This means holding fractures as fractures, tensions as tensions, and unresolved questions as unresolved. It means representing marginalized voices — women, ordinary believers, the poor, the resistant — alongside the voices the sources naturally amplify. It means acknowledging where evidence is thin, where reconstruction is inferential, and where honest uncertainty is the most responsible position.</w:t>
      </w:r>
    </w:p>
    <w:p w14:paraId="60E1EED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lastRenderedPageBreak/>
        <w:t>Intellectual Humility</w:t>
      </w:r>
      <w:r w:rsidRPr="00DE07F6">
        <w:rPr>
          <w:rFonts w:ascii="Times New Roman" w:eastAsia="Times New Roman" w:hAnsi="Times New Roman" w:cs="Times New Roman"/>
          <w:kern w:val="0"/>
          <w14:ligatures w14:val="none"/>
        </w:rPr>
        <w:br/>
        <w:t>No movement, representative, document, or system possesses the whole story. Every world build carries confident claims where evidence supports them, calibrated uncertainty where it doesn't, and honest acknowledgment of what remains unknown. Representatives model this posture — knowing what they know, acknowledging what they don't, and refusing to claim more than their formation and their evidence warrant. Humility is not a disclaimer. It is a formation posture that the entire system embodies.</w:t>
      </w:r>
    </w:p>
    <w:p w14:paraId="56958CE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Encounter Over Persuasion</w:t>
      </w:r>
      <w:r w:rsidRPr="00DE07F6">
        <w:rPr>
          <w:rFonts w:ascii="Times New Roman" w:eastAsia="Times New Roman" w:hAnsi="Times New Roman" w:cs="Times New Roman"/>
          <w:kern w:val="0"/>
          <w14:ligatures w14:val="none"/>
        </w:rPr>
        <w:br/>
        <w:t>The goal is not agreement. The goal is not conversion to a particular tradition. The goal is not validation of any position a participant already holds. A Representative who argues for his tradition has stopped witnessing and started recruiting. This distinction — between witness and persuasion, between encounter and direction — is a boundary the system maintains explicitly at every level of design and deployment.</w:t>
      </w:r>
    </w:p>
    <w:p w14:paraId="424BFE2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b/>
          <w:bCs/>
          <w:kern w:val="0"/>
          <w14:ligatures w14:val="none"/>
        </w:rPr>
        <w:t>Stewardship Over Optimization</w:t>
      </w:r>
      <w:r w:rsidRPr="00DE07F6">
        <w:rPr>
          <w:rFonts w:ascii="Times New Roman" w:eastAsia="Times New Roman" w:hAnsi="Times New Roman" w:cs="Times New Roman"/>
          <w:kern w:val="0"/>
          <w14:ligatures w14:val="none"/>
        </w:rPr>
        <w:br/>
        <w:t>Decisions are evaluated not only according to efficiency, scalability, or technical elegance, but according to their impact on fidelity, trustworthiness, participant dignity, agency, and encounter integrity. A cheaper deployment that produces a hollow Representative fails this standard. A faster build process that skips the scholarly rigor that makes a world trustworthy fails this standard. The measure of any decision is whether it serves the mission faithfully, not whether it serves the system efficiently.</w:t>
      </w:r>
    </w:p>
    <w:p w14:paraId="7861A50F"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67DF83">
          <v:rect id="_x0000_i1033" style="width:0;height:1.5pt" o:hralign="center" o:hrstd="t" o:hr="t" fillcolor="#a0a0a0" stroked="f"/>
        </w:pict>
      </w:r>
    </w:p>
    <w:p w14:paraId="55062590"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A Governing Constraint on Revision</w:t>
      </w:r>
    </w:p>
    <w:p w14:paraId="67DBDB8E" w14:textId="15235C82" w:rsidR="00DE07F6"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Nothing in the v7 revision reduces the scholarly rigor, confidence calibration, or Author Gravity discipline demonstrated in the two existing world builds. These disciplines are the fixed floor. Formation-depth is not a fixed floor — it must track available evidence. A world with genuinely thin sources will legitimately achieve less depth than a world with rich attestation, and presenting it at lower depth and confidence is exactly what the confidence-calibration discipline requires. What may never be reduced is the rigor with which available evidence is handled, not the depth that evidence permits.</w:t>
      </w:r>
      <w:r w:rsidR="00DE07F6" w:rsidRPr="00DE07F6">
        <w:rPr>
          <w:rFonts w:ascii="Times New Roman" w:eastAsia="Times New Roman" w:hAnsi="Times New Roman" w:cs="Times New Roman"/>
          <w:kern w:val="0"/>
          <w14:ligatures w14:val="none"/>
        </w:rPr>
        <w:t xml:space="preserve"> The revision makes the system more efficient and more complete. It does not make it shallower. Where efficiency and rigor conflict, rigor governs.</w:t>
      </w:r>
    </w:p>
    <w:p w14:paraId="7882B30B"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F69E58">
          <v:rect id="_x0000_i1034" style="width:0;height:1.5pt" o:hralign="center" o:hrstd="t" o:hr="t" fillcolor="#a0a0a0" stroked="f"/>
        </w:pict>
      </w:r>
    </w:p>
    <w:p w14:paraId="491BB2B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What This Document Authorizes</w:t>
      </w:r>
    </w:p>
    <w:p w14:paraId="46A505B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This vision statement authorizes the revision process that follows. Every document produced in that process — governance documents, methodology frameworks, templates, world builds, deployment architectures — is accountable to this vision.</w:t>
      </w:r>
    </w:p>
    <w:p w14:paraId="43D8ACB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lastRenderedPageBreak/>
        <w:t>This document does not specify how anything is built. The Constitution, Construction Framework, and Blueprint do that. This document specifies what everything is for.</w:t>
      </w:r>
    </w:p>
    <w:p w14:paraId="6A660E7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When any person, team, process, or system loses sight of what everything is for, they return here.</w:t>
      </w:r>
    </w:p>
    <w:p w14:paraId="6846CBD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59C9D">
          <v:rect id="_x0000_i1035" style="width:0;height:1.5pt" o:hralign="center" o:hrstd="t" o:hr="t" fillcolor="#a0a0a0" stroked="f"/>
        </w:pict>
      </w:r>
    </w:p>
    <w:p w14:paraId="7F06EFA9"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7F6">
        <w:rPr>
          <w:rFonts w:ascii="Times New Roman" w:eastAsia="Times New Roman" w:hAnsi="Times New Roman" w:cs="Times New Roman"/>
          <w:b/>
          <w:bCs/>
          <w:kern w:val="0"/>
          <w:sz w:val="27"/>
          <w:szCs w:val="27"/>
          <w14:ligatures w14:val="none"/>
        </w:rPr>
        <w:t>What Remains Unchanged</w:t>
      </w:r>
    </w:p>
    <w:p w14:paraId="4825309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mission.</w:t>
      </w:r>
    </w:p>
    <w:p w14:paraId="55C4DC0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story.</w:t>
      </w:r>
    </w:p>
    <w:p w14:paraId="7C3AD37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five convictions.</w:t>
      </w:r>
    </w:p>
    <w:p w14:paraId="77CF2F8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 commitment to encounter with Jesus through the witness of His Church.</w:t>
      </w:r>
    </w:p>
    <w:p w14:paraId="626044C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kern w:val="0"/>
          <w14:ligatures w14:val="none"/>
        </w:rPr>
        <w:t>These are not subject to revision. The architecture matures in their service.</w:t>
      </w:r>
    </w:p>
    <w:p w14:paraId="223AAF2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61C9D">
          <v:rect id="_x0000_i1036" style="width:0;height:1.5pt" o:hralign="center" o:hrstd="t" o:hr="t" fillcolor="#a0a0a0" stroked="f"/>
        </w:pict>
      </w:r>
    </w:p>
    <w:p w14:paraId="405E3B7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sidRPr="00DE07F6">
        <w:rPr>
          <w:rFonts w:ascii="Times New Roman" w:eastAsia="Times New Roman" w:hAnsi="Times New Roman" w:cs="Times New Roman"/>
          <w:i/>
          <w:iCs/>
          <w:kern w:val="0"/>
          <w14:ligatures w14:val="none"/>
        </w:rPr>
        <w:t>Church in Conversation — Vision Document v1.1</w:t>
      </w:r>
      <w:r w:rsidRPr="00DE07F6">
        <w:rPr>
          <w:rFonts w:ascii="Times New Roman" w:eastAsia="Times New Roman" w:hAnsi="Times New Roman" w:cs="Times New Roman"/>
          <w:kern w:val="0"/>
          <w14:ligatures w14:val="none"/>
        </w:rPr>
        <w:br/>
      </w:r>
      <w:r w:rsidRPr="00DE07F6">
        <w:rPr>
          <w:rFonts w:ascii="Times New Roman" w:eastAsia="Times New Roman" w:hAnsi="Times New Roman" w:cs="Times New Roman"/>
          <w:i/>
          <w:iCs/>
          <w:kern w:val="0"/>
          <w14:ligatures w14:val="none"/>
        </w:rPr>
        <w:t>Format: Word (.docx) for governance record; Markdown (.md) for project reference</w:t>
      </w:r>
    </w:p>
    <w:p w14:paraId="50BF2C21"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F6"/>
    <w:rsid w:val="0018341E"/>
    <w:rsid w:val="006A5947"/>
    <w:rsid w:val="007F75C4"/>
    <w:rsid w:val="00DE07F6"/>
    <w:rsid w:val="00DE095B"/>
    <w:rsid w:val="00F3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C128"/>
  <w15:chartTrackingRefBased/>
  <w15:docId w15:val="{8914B285-177F-4761-B23D-0A76404C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F6"/>
    <w:rPr>
      <w:rFonts w:eastAsiaTheme="majorEastAsia" w:cstheme="majorBidi"/>
      <w:color w:val="272727" w:themeColor="text1" w:themeTint="D8"/>
    </w:rPr>
  </w:style>
  <w:style w:type="paragraph" w:styleId="Title">
    <w:name w:val="Title"/>
    <w:basedOn w:val="Normal"/>
    <w:next w:val="Normal"/>
    <w:link w:val="TitleChar"/>
    <w:uiPriority w:val="10"/>
    <w:qFormat/>
    <w:rsid w:val="00DE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F6"/>
    <w:pPr>
      <w:spacing w:before="160"/>
      <w:jc w:val="center"/>
    </w:pPr>
    <w:rPr>
      <w:i/>
      <w:iCs/>
      <w:color w:val="404040" w:themeColor="text1" w:themeTint="BF"/>
    </w:rPr>
  </w:style>
  <w:style w:type="character" w:customStyle="1" w:styleId="QuoteChar">
    <w:name w:val="Quote Char"/>
    <w:basedOn w:val="DefaultParagraphFont"/>
    <w:link w:val="Quote"/>
    <w:uiPriority w:val="29"/>
    <w:rsid w:val="00DE07F6"/>
    <w:rPr>
      <w:i/>
      <w:iCs/>
      <w:color w:val="404040" w:themeColor="text1" w:themeTint="BF"/>
    </w:rPr>
  </w:style>
  <w:style w:type="paragraph" w:styleId="ListParagraph">
    <w:name w:val="List Paragraph"/>
    <w:basedOn w:val="Normal"/>
    <w:uiPriority w:val="34"/>
    <w:qFormat/>
    <w:rsid w:val="00DE07F6"/>
    <w:pPr>
      <w:ind w:left="720"/>
      <w:contextualSpacing/>
    </w:pPr>
  </w:style>
  <w:style w:type="character" w:styleId="IntenseEmphasis">
    <w:name w:val="Intense Emphasis"/>
    <w:basedOn w:val="DefaultParagraphFont"/>
    <w:uiPriority w:val="21"/>
    <w:qFormat/>
    <w:rsid w:val="00DE07F6"/>
    <w:rPr>
      <w:i/>
      <w:iCs/>
      <w:color w:val="0F4761" w:themeColor="accent1" w:themeShade="BF"/>
    </w:rPr>
  </w:style>
  <w:style w:type="paragraph" w:styleId="IntenseQuote">
    <w:name w:val="Intense Quote"/>
    <w:basedOn w:val="Normal"/>
    <w:next w:val="Normal"/>
    <w:link w:val="IntenseQuoteChar"/>
    <w:uiPriority w:val="30"/>
    <w:qFormat/>
    <w:rsid w:val="00DE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F6"/>
    <w:rPr>
      <w:i/>
      <w:iCs/>
      <w:color w:val="0F4761" w:themeColor="accent1" w:themeShade="BF"/>
    </w:rPr>
  </w:style>
  <w:style w:type="character" w:styleId="IntenseReference">
    <w:name w:val="Intense Reference"/>
    <w:basedOn w:val="DefaultParagraphFont"/>
    <w:uiPriority w:val="32"/>
    <w:qFormat/>
    <w:rsid w:val="00DE07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2013</Words>
  <Characters>11821</Characters>
  <Application>Microsoft Office Word</Application>
  <DocSecurity>0</DocSecurity>
  <Lines>211</Lines>
  <Paragraphs>102</Paragraphs>
  <ScaleCrop>false</ScaleCrop>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2026-06-20T17:19:00Z</dcterms:created>
  <dcterms:modified xsi:type="dcterms:W3CDTF">2026-06-21T16:11:00Z</dcterms:modified>
</cp:coreProperties>
</file>