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60f76dc373c836b43d7a2d4c87a9704228be6e"/>
      <w:r>
        <w:t xml:space="preserve">Doc_05 — Ecological Reconstruction (Formation Ecology)</w:t>
      </w:r>
      <w:bookmarkEnd w:id="20"/>
    </w:p>
    <w:p>
      <w:pPr>
        <w:pStyle w:val="Heading2"/>
      </w:pPr>
      <w:bookmarkStart w:id="21" w:name="X489262c40f1fb73c52678aea9ee571b46d69319"/>
      <w:r>
        <w:t xml:space="preserve">Nicene-Cappadocian Formation World (cappadocian) — Church in Conversation V7</w:t>
      </w:r>
      <w:bookmarkEnd w:id="21"/>
    </w:p>
    <w:p>
      <w:pPr>
        <w:pStyle w:val="FirstParagraph"/>
      </w:pPr>
      <w:r>
        <w:rPr>
          <w:b/>
        </w:rPr>
        <w:t xml:space="preserve">Step:</w:t>
      </w:r>
      <w:r>
        <w:t xml:space="preserve"> </w:t>
      </w:r>
      <w:r>
        <w:t xml:space="preserve">5 of 10 ·</w:t>
      </w:r>
      <w:r>
        <w:t xml:space="preserve"> </w:t>
      </w:r>
      <w:r>
        <w:rPr>
          <w:b/>
        </w:rPr>
        <w:t xml:space="preserve">Governed by:</w:t>
      </w:r>
      <w:r>
        <w:t xml:space="preserve"> </w:t>
      </w:r>
      <w:r>
        <w:t xml:space="preserve">Construction Framework Parts III–IV; Forces Framework Step 5; Constitution Articles 22, 23</w:t>
      </w:r>
      <w:r>
        <w:t xml:space="preserve"> </w:t>
      </w:r>
      <w:r>
        <w:rPr>
          <w:b/>
        </w:rPr>
        <w:t xml:space="preserve">Voice convention:</w:t>
      </w:r>
      <w:r>
        <w:t xml:space="preserve"> </w:t>
      </w:r>
      <w:r>
        <w:t xml:space="preserve">Analytical frames carry sources and confidence; passages marked</w:t>
      </w:r>
      <w:r>
        <w:t xml:space="preserve"> </w:t>
      </w:r>
      <w:r>
        <w:rPr>
          <w:b/>
        </w:rPr>
        <w:t xml:space="preserve">[Inhabited]</w:t>
      </w:r>
      <w:r>
        <w:t xml:space="preserve"> </w:t>
      </w:r>
      <w:r>
        <w:t xml:space="preserve">are written from inside per Article 23 and are inhabited second-person renderings of the evidence stated in their frame — they introduce no content beyond it. Inhabited passages resting on composite typical practice follow Tier 4 discipline: every element traceable to the frame’s named evidence, always Inferential/Thin as narrative. Note carried from the Early Latin Critic record (Finding 4): the inhabited</w:t>
      </w:r>
      <w:r>
        <w:t xml:space="preserve"> </w:t>
      </w:r>
      <w:r>
        <w:t xml:space="preserve">“</w:t>
      </w:r>
      <w:r>
        <w:t xml:space="preserve">you</w:t>
      </w:r>
      <w:r>
        <w:t xml:space="preserve">”</w:t>
      </w:r>
      <w:r>
        <w:t xml:space="preserve"> </w:t>
      </w:r>
      <w:r>
        <w:t xml:space="preserve">in this document is a stylistic device of Article 23,</w:t>
      </w:r>
      <w:r>
        <w:t xml:space="preserve"> </w:t>
      </w:r>
      <w:r>
        <w:rPr>
          <w:b/>
        </w:rPr>
        <w:t xml:space="preserve">not</w:t>
      </w:r>
      <w:r>
        <w:t xml:space="preserve"> </w:t>
      </w:r>
      <w:r>
        <w:t xml:space="preserve">a pre-selection of the Representative’s identity — the Doc_10 decision is argued on its own terms.</w:t>
      </w:r>
    </w:p>
    <w:p>
      <w:r>
        <w:pict>
          <v:rect style="width:0;height:1.5pt" o:hralign="center" o:hrstd="t" o:hr="t"/>
        </w:pict>
      </w:r>
    </w:p>
    <w:p>
      <w:pPr>
        <w:pStyle w:val="Heading2"/>
      </w:pPr>
      <w:bookmarkStart w:id="22" w:name="human-ecology-who-these-people-are"/>
      <w:r>
        <w:t xml:space="preserve">1. Human Ecology — who these people are</w:t>
      </w:r>
      <w:bookmarkEnd w:id="22"/>
    </w:p>
    <w:p>
      <w:pPr>
        <w:pStyle w:val="FirstParagraph"/>
      </w:pPr>
      <w:r>
        <w:rPr>
          <w:b/>
        </w:rPr>
        <w:t xml:space="preserve">Frame.</w:t>
      </w:r>
      <w:r>
        <w:t xml:space="preserve"> </w:t>
      </w:r>
      <w:r>
        <w:t xml:space="preserve">A high, harsh-wintered plateau and its river valleys: great estates (the writing families’ class) over smallholders chronically one bad harvest from hunger (the famine of c. 368/9 — Documented via the famine homilies); herdsmen, carters on the military road, artisans and traders of Caesarea; households including enslaved members (the region a byword slave-exporter — Widely Accepted); a countryside where indigenous speech persisted alongside church-Greek (Widely Accepted regionally; church detail Inferential/Thin). Christianity old here by fourth-century standards — the founding mission remembered by name (the Thaumaturgan legend), the last persecutions in living family memory (confessor-grandparents; the Forty of Sebaste within the elders’ lifetimes) — and still mixed: the elder Gregory of Nazianzus began in a syncretistic sect (Documented via his son’s oration); Julian could still hope to reopen the temples; village religion kept old habits the canons had to name (magic-use penanced in Basil’s canonical letters — Documented). Baptism commonly delayed — the exhortations scold adults who linger as hearers (Documented preachers’ complaint). Forces integrated: the imperial contest reached these people as changed clergy, exiled bishops, and a passing emperor; the famine reached them as the event of a generation.</w:t>
      </w:r>
    </w:p>
    <w:p>
      <w:pPr>
        <w:pStyle w:val="BodyText"/>
      </w:pPr>
      <w:r>
        <w:rPr>
          <w:b/>
        </w:rPr>
        <w:t xml:space="preserve">[Inhabited]</w:t>
      </w:r>
      <w:r>
        <w:t xml:space="preserve"> </w:t>
      </w:r>
      <w:r>
        <w:t xml:space="preserve">Your country is high and cold, and the winter shuts the passes; a bad year is not a figure of speech to you — you have seen the grain run out and the children with the swollen bellies at the church door. The faith is not new in your family: your grandmother could name the teacher who first brought the Gospel to her grandmother’s town, and she could name, closer than comfort, the ones who stood in the last persecution — some of your own blood among the confessors. The old rites are not gone: there is a man two villages over people still visit for charms, and the priest knows it, and the penances for it are written. And you know men and women, grown, respected, who sit among the hearers year after year and do not come to the water — waiting, they say, for a safer season of life. The preachers are severe about that. The water is not a graduation, they say; it is a birth, and no one schedules their own birth.</w:t>
      </w:r>
    </w:p>
    <w:p>
      <w:pPr>
        <w:pStyle w:val="Heading2"/>
      </w:pPr>
      <w:bookmarkStart w:id="23" w:name="X3bca1d2fc2841286a0006dd6292baa920485b5e"/>
      <w:r>
        <w:t xml:space="preserve">2. Community Ecology — household, brotherhood, congregation</w:t>
      </w:r>
      <w:bookmarkEnd w:id="23"/>
    </w:p>
    <w:p>
      <w:pPr>
        <w:pStyle w:val="FirstParagraph"/>
      </w:pPr>
      <w:r>
        <w:rPr>
          <w:b/>
        </w:rPr>
        <w:t xml:space="preserve">Frame.</w:t>
      </w:r>
      <w:r>
        <w:t xml:space="preserve"> </w:t>
      </w:r>
      <w:r>
        <w:t xml:space="preserve">Three concentric belongings. The</w:t>
      </w:r>
      <w:r>
        <w:t xml:space="preserve"> </w:t>
      </w:r>
      <w:r>
        <w:rPr>
          <w:b/>
        </w:rPr>
        <w:t xml:space="preserve">household</w:t>
      </w:r>
      <w:r>
        <w:t xml:space="preserve">: formation’s first school — the believing family with its elders, prayers, Scripture-stories, estate chapel and (in the great families) its relics (Vita Macrinae; Basil on his grandmother’s teaching — work level). The</w:t>
      </w:r>
      <w:r>
        <w:t xml:space="preserve"> </w:t>
      </w:r>
      <w:r>
        <w:rPr>
          <w:b/>
        </w:rPr>
        <w:t xml:space="preserve">congregation</w:t>
      </w:r>
      <w:r>
        <w:t xml:space="preserve">: the baptized around bishop or country-bishop (chorepiscopoi — Documented via the canonical correspondence), with its enrolled estates (virgins, widows — kanonikai) and its discipline (Basil’s graded penances — Documented). The</w:t>
      </w:r>
      <w:r>
        <w:t xml:space="preserve"> </w:t>
      </w:r>
      <w:r>
        <w:rPr>
          <w:b/>
        </w:rPr>
        <w:t xml:space="preserve">brotherhood/sisterhood</w:t>
      </w:r>
      <w:r>
        <w:t xml:space="preserve"> </w:t>
      </w:r>
      <w:r>
        <w:t xml:space="preserve">(adelphotēs): the new thing — households and individuals reordered into common life under a rule still being worked out by question-and-answer (the Asketikon’s embedded questions — Documented as genre; lived compliance Inferential); communities anchored to the church’s worship and open at the guest-door, defined</w:t>
      </w:r>
      <w:r>
        <w:t xml:space="preserve"> </w:t>
      </w:r>
      <w:r>
        <w:rPr>
          <w:i/>
        </w:rPr>
        <w:t xml:space="preserve">against</w:t>
      </w:r>
      <w:r>
        <w:t xml:space="preserve"> </w:t>
      </w:r>
      <w:r>
        <w:t xml:space="preserve">two documented alternatives: the solitary flight (the world’s own argument: the solitary has no one to serve — Longer Rules at work level) and the radical ferment censured at Gangra (households torn up, slaves encouraged to leave masters, separatist fasts — Documented censures read against the grain). Restoration is graded and public (the canons); exclusion is real. Forces integrated: the ascetic ferment (Eustathian line) is the community ecology’s live internal force; famine and the poorhouse reshaped what</w:t>
      </w:r>
      <w:r>
        <w:t xml:space="preserve"> </w:t>
      </w:r>
      <w:r>
        <w:t xml:space="preserve">“</w:t>
      </w:r>
      <w:r>
        <w:t xml:space="preserve">community</w:t>
      </w:r>
      <w:r>
        <w:t xml:space="preserve">”</w:t>
      </w:r>
      <w:r>
        <w:t xml:space="preserve"> </w:t>
      </w:r>
      <w:r>
        <w:t xml:space="preserve">owed the stranger.</w:t>
      </w:r>
    </w:p>
    <w:p>
      <w:pPr>
        <w:pStyle w:val="BodyText"/>
      </w:pPr>
      <w:r>
        <w:rPr>
          <w:b/>
        </w:rPr>
        <w:t xml:space="preserve">[Inhabited]</w:t>
      </w:r>
      <w:r>
        <w:t xml:space="preserve"> </w:t>
      </w:r>
      <w:r>
        <w:t xml:space="preserve">You belong three ways, and they nest. There is the house you were raised in — where your grandmother taught you the psalms and the names of the ones who stood, and the lamp is lit at evening prayer. There is the church — where you were made one of the faithful at the water, where the bishop or the country-bishop knows your family, where the widows are enrolled by name and the penitent stands where all can see, working his way back. And now, up the valley, there is the brotherhood — your cousin went, and the house he joined prays the hours and works the garden and keeps a door for guests and a table for the poor. Some said, when the movement first swept through, that going meant tearing everything up — there were those who left wives, who told slaves that Christ had freed them from their masters, who fasted proudly on the days the church feasts. The bishops wrote canons against that. What stands now is quieter and harder: not escape from the household but the household’s disciplines perfected — obedience, work, prayer, and the guest received as Christ.</w:t>
      </w:r>
    </w:p>
    <w:p>
      <w:pPr>
        <w:pStyle w:val="Heading2"/>
      </w:pPr>
      <w:bookmarkStart w:id="24" w:name="Xf433167c18f65f5f56dc18013f4c43cd8b7d2b9"/>
      <w:r>
        <w:t xml:space="preserve">3. Worship Ecology — the words that carry the faith</w:t>
      </w:r>
      <w:bookmarkEnd w:id="24"/>
    </w:p>
    <w:p>
      <w:pPr>
        <w:pStyle w:val="FirstParagraph"/>
      </w:pPr>
      <w:r>
        <w:rPr>
          <w:b/>
        </w:rPr>
        <w:t xml:space="preserve">Frame.</w:t>
      </w:r>
      <w:r>
        <w:t xml:space="preserve"> </w:t>
      </w:r>
      <w:r>
        <w:t xml:space="preserve">Baptism into the Threefold Name as the community’s doctrinal charter (the era argues doctrine</w:t>
      </w:r>
      <w:r>
        <w:t xml:space="preserve"> </w:t>
      </w:r>
      <w:r>
        <w:rPr>
          <w:i/>
        </w:rPr>
        <w:t xml:space="preserve">from</w:t>
      </w:r>
      <w:r>
        <w:t xml:space="preserve"> </w:t>
      </w:r>
      <w:r>
        <w:t xml:space="preserve">the formula — Documented logic of On the Holy Spirit); preparation and delay (exhortations to the postponers); Epiphany and Easter as baptismal seasons (attested in the exhortation-orations at work level). Eucharistic assembly with the doxology whose wording became the era’s line in the sand (</w:t>
      </w:r>
      <w:r>
        <w:t xml:space="preserve">“</w:t>
      </w:r>
      <w:r>
        <w:t xml:space="preserve">with the Spirit</w:t>
      </w:r>
      <w:r>
        <w:t xml:space="preserve">”</w:t>
      </w:r>
      <w:r>
        <w:t xml:space="preserve"> </w:t>
      </w:r>
      <w:r>
        <w:t xml:space="preserve">defended as received custom — the treatise’s own occasion, Documented). Psalmody as the shared prayer-culture — including antiphonal night vigils, defended by Basil as the common custom of the churches when Neocaesarea criticized innovation (Documented at work level): ordinary people’s mouths full of psalms. The</w:t>
      </w:r>
      <w:r>
        <w:t xml:space="preserve"> </w:t>
      </w:r>
      <w:r>
        <w:rPr>
          <w:b/>
        </w:rPr>
        <w:t xml:space="preserve">unwritten customs</w:t>
      </w:r>
      <w:r>
        <w:t xml:space="preserve"> </w:t>
      </w:r>
      <w:r>
        <w:t xml:space="preserve">argued as carriers of the faith: facing east, standing on the Lord’s day and through the Fifty Days, the threefold immersion, the invocation’s words (Basil’s own catalogue — Documented as his catalogue). The festal year: the martyrs’ panēgyreis — vigil, passion-narrative preaching, crowds, market — the countryside’s Christian calendar (festal homilies — Documented). Preaching: expository and moral, morning and evening in seasons (the Hexaemeron’s working-day audience — internal evidence); doctrinally unafraid before crowds.</w:t>
      </w:r>
      <w:r>
        <w:t xml:space="preserve"> </w:t>
      </w:r>
      <w:r>
        <w:rPr>
          <w:b/>
        </w:rPr>
        <w:t xml:space="preserve">What is not recoverable:</w:t>
      </w:r>
      <w:r>
        <w:t xml:space="preserve"> </w:t>
      </w:r>
      <w:r>
        <w:t xml:space="preserve">the eucharistic prayer’s period text (the transmitted</w:t>
      </w:r>
      <w:r>
        <w:t xml:space="preserve"> </w:t>
      </w:r>
      <w:r>
        <w:t xml:space="preserve">“</w:t>
      </w:r>
      <w:r>
        <w:t xml:space="preserve">Liturgy of St Basil</w:t>
      </w:r>
      <w:r>
        <w:t xml:space="preserve">”</w:t>
      </w:r>
      <w:r>
        <w:t xml:space="preserve"> </w:t>
      </w:r>
      <w:r>
        <w:t xml:space="preserve">is later in form — Contested core; not used); the countryside’s non-Greek worship. Forces integrated: under Homoian pressure worship’s exact words became confession — the doxology was the battle-line the court’s church could hear.</w:t>
      </w:r>
    </w:p>
    <w:p>
      <w:pPr>
        <w:pStyle w:val="BodyText"/>
      </w:pPr>
      <w:r>
        <w:rPr>
          <w:b/>
        </w:rPr>
        <w:t xml:space="preserve">[Inhabited]</w:t>
      </w:r>
      <w:r>
        <w:t xml:space="preserve"> </w:t>
      </w:r>
      <w:r>
        <w:t xml:space="preserve">The faith you hold, you first received as words said over water: into the Name — Father, Son, and Holy Spirit, and you went down three times. Everything the teachers now fight for, they tell you, was already in your baptism; the quarrels of the learned are about whether the church may keep saying what she said over you. At the assembly you sing the psalms — you know more of them by heart than of anything else in the world — and in the great vigils the church divides and answers itself, verse against verse, through the night. You stand, not kneel, on the Lord’s day, and through the Fifty Days of Easter; you face the east to pray; no one wrote these things down for you — they were handed to you as the way the churches do them, and your teachers say the handing itself is holy. And when the doxology is sung, you have learned that a single small word in it —</w:t>
      </w:r>
      <w:r>
        <w:t xml:space="preserve"> </w:t>
      </w:r>
      <w:r>
        <w:rPr>
          <w:i/>
        </w:rPr>
        <w:t xml:space="preserve">with</w:t>
      </w:r>
      <w:r>
        <w:t xml:space="preserve"> </w:t>
      </w:r>
      <w:r>
        <w:t xml:space="preserve">the Spirit — is now a flag: there are churches where saying it costs the pulpit. On the martyrs’ days the whole country walks: the vigil at the shrine, the story of the standing preached aloud, the stalls and the crowds and the summer dust — your children will remember the feasts before they understand them, which, your teachers say, is the right order.</w:t>
      </w:r>
    </w:p>
    <w:p>
      <w:pPr>
        <w:pStyle w:val="Heading2"/>
      </w:pPr>
      <w:bookmarkStart w:id="25" w:name="Xfabd81162a590588f6b3ab0589c7ca78dc502b9"/>
      <w:r>
        <w:t xml:space="preserve">4. Organizational Ecology — sees, country-bishops, councils, court</w:t>
      </w:r>
      <w:bookmarkEnd w:id="25"/>
    </w:p>
    <w:p>
      <w:pPr>
        <w:pStyle w:val="FirstParagraph"/>
      </w:pPr>
      <w:r>
        <w:rPr>
          <w:b/>
        </w:rPr>
        <w:t xml:space="preserve">Frame.</w:t>
      </w:r>
      <w:r>
        <w:t xml:space="preserve"> </w:t>
      </w:r>
      <w:r>
        <w:t xml:space="preserve">The metropolitan structure (Caesarea over its province) with village oversight through chorepiscopoi (Documented; Basil’s letters discipline their abuses — ordinations for money named and forbidden, work-level); clergy formation increasingly through the ascetic communities (the monk-bishop pattern emerging — Sterk’s thesis, Dominant Modern Reconstruction as synthesis; the careers themselves Documented); the province’s own politics (the 372 division of Cappadocia; Anthimus of Tyana’s counter-metropolis; Basil’s suffragan appointments including Sasima — Documented via letters and Nazianzen’s accounts). Councils near and far: the region’s bishops at Nicaea; the Homoian settlements of 360 lived under; 381 attended and shaped (and its aftermath: the communion law naming the region’s bishops as touchstones — Documented at work level). The court reaches the province: Valens’ visitation and the Epiphany liturgy of 372, the prefect’s bench, the emperor’s officials negotiated with over tax and relief (Documented correspondence; the confrontation scenes carried in Gregory’s encomiastic telling — genre-flagged). Ecumenical diplomacy: Basil’s long letter-campaign toward Athanasius, Rome, and the West over the Antioch schism — largely disappointing (Documented arc; his own frustration on the record at work level). Forces integrated throughout — this lens is the situation-gravity’s institutional face.</w:t>
      </w:r>
    </w:p>
    <w:p>
      <w:pPr>
        <w:pStyle w:val="BodyText"/>
      </w:pPr>
      <w:r>
        <w:rPr>
          <w:b/>
        </w:rPr>
        <w:t xml:space="preserve">[Inhabited]</w:t>
      </w:r>
      <w:r>
        <w:t xml:space="preserve"> </w:t>
      </w:r>
      <w:r>
        <w:t xml:space="preserve">Your bishop is not far away in the way a governor is far away. He baptized your cousin; he sat in judgment when the miller’s boundary quarrel turned bitter; in the famine year he stood in the granary door and shamed the sellers until the doors opened. Above your country-bishop is the metropolitan at Caesarea, and above him — nothing you can see, though letters go over the mountains to Antioch and Alexandria and Rome, and come back slowly or not at all. Councils you know as weather: decisions arrive, sometimes with an escort. You have lived under bishops the court approved and your teachers did not; you know what it is for the emperor’s faith and the church’s to be two things, and for the difference to be one small word. When the emperor himself came at Epiphany, the church was so full and the singing so loud, they say, that the great man swayed on his feet. Perhaps it is told larger than it was. But you believe the shape of it, because you have seen the lesser version: the governor’s man at the door with a demand, and the bishop, courteous and immovable, explaining that what belongs to God is not on the table.</w:t>
      </w:r>
    </w:p>
    <w:p>
      <w:pPr>
        <w:pStyle w:val="Heading2"/>
      </w:pPr>
      <w:bookmarkStart w:id="26" w:name="X18473f32772d6c200d8586e75fd19af8b6fe997"/>
      <w:r>
        <w:t xml:space="preserve">5. Ministry Ecology — famine, the poorhouse, the leper at the door</w:t>
      </w:r>
      <w:bookmarkEnd w:id="26"/>
    </w:p>
    <w:p>
      <w:pPr>
        <w:pStyle w:val="FirstParagraph"/>
      </w:pPr>
      <w:r>
        <w:rPr>
          <w:b/>
        </w:rPr>
        <w:t xml:space="preserve">Frame.</w:t>
      </w:r>
      <w:r>
        <w:t xml:space="preserve"> </w:t>
      </w:r>
      <w:r>
        <w:t xml:space="preserve">The famine of c. 368/9 as the ministry lens’s crucible: Basil’s homilies arraign hoarding and usury while organizing relief (Documented); the era’s signature institution follows — the</w:t>
      </w:r>
      <w:r>
        <w:t xml:space="preserve"> </w:t>
      </w:r>
      <w:r>
        <w:rPr>
          <w:b/>
        </w:rPr>
        <w:t xml:space="preserve">Basileias</w:t>
      </w:r>
      <w:r>
        <w:t xml:space="preserve"> </w:t>
      </w:r>
      <w:r>
        <w:t xml:space="preserve">outside Caesarea: guest-house, poorhouse, care for the sick and lepers, staffed by ascetics, negotiated with governors (Documented existence via letters and Or. 43; physical form unidentified — stated); Nazianzen’s On the Love of the Poor makes the leper the test of philanthrōpia; Nyssen preaches the same charge (Documented corpus). The theological ground is explicit in the sources: the poor bear the image; the surplus belongs to the needy (</w:t>
      </w:r>
      <w:r>
        <w:t xml:space="preserve">“</w:t>
      </w:r>
      <w:r>
        <w:t xml:space="preserve">the bread you keep belongs to the hungry</w:t>
      </w:r>
      <w:r>
        <w:t xml:space="preserve">”</w:t>
      </w:r>
      <w:r>
        <w:t xml:space="preserve"> </w:t>
      </w:r>
      <w:r>
        <w:t xml:space="preserve">— the era’s own preached logic, work-level); almsgiving is not optional mercy but justice and liturgy together. The enslaved: present throughout the world (households, communities); the Asketikon counsels amelioration within the institution (slaves seeking the brotherhood instructed and, ordinarily, returned — work-level, stated without laundering); Nyssen’s homily attacks slaveholding as such — an outlier protest, not a policy (Documented; its singularity named). Forces integrated: famine and frontier made the church the plateau’s relief system; the poorhouse made philanthropy civic and permanent.</w:t>
      </w:r>
    </w:p>
    <w:p>
      <w:pPr>
        <w:pStyle w:val="BodyText"/>
      </w:pPr>
      <w:r>
        <w:rPr>
          <w:b/>
        </w:rPr>
        <w:t xml:space="preserve">[Inhabited]</w:t>
      </w:r>
      <w:r>
        <w:t xml:space="preserve"> </w:t>
      </w:r>
      <w:r>
        <w:t xml:space="preserve">In the hunger year you saw what the church is for, when the sky had been bronze for months and the rich were waiting on the price. The preaching that season was not gentle: the bread in your cupboard belongs to the hungry, the coat in your chest to the naked; you have been made a steward, not an owner, and the poor man at your door is the Lord’s own claim on you. And then — this is what you did not expect — the preaching became buildings: outside the city a new quarter rose, guest-house and infirmary and kitchens, where the traveler is taken in and the sick are nursed and the lepers — the ones whose faces the disease has taken, whom everyone fears to touch — are washed and fed by men and women who chose that work as their prayer. Some called it a wonder of the age. Some grumbled about the cost. You have heard a teacher say the man with two coats has stolen one of them; you have also stood in your own doorway deciding, and you know the sentence is easier to praise than to obey.</w:t>
      </w:r>
    </w:p>
    <w:p>
      <w:pPr>
        <w:pStyle w:val="Heading2"/>
      </w:pPr>
      <w:bookmarkStart w:id="27" w:name="X54f301358fe6a88166ce9d6e34d19dea90841f4"/>
      <w:r>
        <w:t xml:space="preserve">6. Meaning Transmission and Interpretive Ecology</w:t>
      </w:r>
      <w:bookmarkEnd w:id="27"/>
    </w:p>
    <w:p>
      <w:pPr>
        <w:pStyle w:val="FirstParagraph"/>
      </w:pPr>
      <w:r>
        <w:rPr>
          <w:b/>
        </w:rPr>
        <w:t xml:space="preserve">Frame.</w:t>
      </w:r>
      <w:r>
        <w:t xml:space="preserve"> </w:t>
      </w:r>
      <w:r>
        <w:t xml:space="preserve">Meaning moves by household teaching (psalms and the faith at the grandmother’s knee — the writing families’ testimony, with its visibility caveat), by catechesis toward baptism (the Catechetical Oration as the systematic form), by preaching (expository, moral, festal), by the festivals’ retold passions, by letters (the era’s dense episcopal-ascetic correspondence), and — for the formed core — by the disciplined reading of Scripture within the community’s rule. Interpretation: the literal honored (Basil’s Hexaemeron pointedly declines allegorical flights for the creation-days — Documented stance within the homilies), the figural used where formation needs it (Nyssen’s Song and Life of Moses — the ascent-reading; AG flag: his development); Scripture read</w:t>
      </w:r>
      <w:r>
        <w:t xml:space="preserve"> </w:t>
      </w:r>
      <w:r>
        <w:rPr>
          <w:i/>
        </w:rPr>
        <w:t xml:space="preserve">doxologically</w:t>
      </w:r>
      <w:r>
        <w:t xml:space="preserve"> </w:t>
      </w:r>
      <w:r>
        <w:t xml:space="preserve">— the exegetical fights of this world are about which readings the church’s worship and baptismal faith can bear (the anti-Eunomian exegesis of the Son’s names; the pneumatological texts argued from the formula). Paideia: the classics as preparation and instrument (Address to Young Men’s bee-image — Documented), rhetoric in the pulpit’s service; Julian’s edict (362) briefly made the whole arrangement a battlefield (Documented) — the world answered that the words belong to everyone and the Gospel will not surrender the schoolroom (the invectives’ argument, work-level). Forces integrated: Eunomian dialectic forced a taught epistemology of religious language (names reach, none seize); the marketplace argued doctrine (hostile witness, Documented) — transmission overflowed the pulpit.</w:t>
      </w:r>
    </w:p>
    <w:p>
      <w:pPr>
        <w:pStyle w:val="BodyText"/>
      </w:pPr>
      <w:r>
        <w:rPr>
          <w:b/>
        </w:rPr>
        <w:t xml:space="preserve">[Inhabited]</w:t>
      </w:r>
      <w:r>
        <w:t xml:space="preserve"> </w:t>
      </w:r>
      <w:r>
        <w:t xml:space="preserve">You learned the faith before you knew you were learning it: psalms at the lamp, the story of the Forty told on their night, your grandmother’s voice naming the teacher of her grandmother’s town. If you are among the schooled, you were sent away young to the rhetors — pagan books, pagan teachers — and your elders were not afraid: take the honey, they said, leave the poison; the bee does not copy the flower. There was an emperor, in your parents’ time, who tried to take the books back — said a Christian could not honestly teach Homer — and the anger of your teachers at that has not cooled yet: the words are not his to fence. And you have learned, listening to the great arguments, a strange and steadying thing about words themselves: every name we give to God — unbegotten, Father, light, rock — reaches truly and seizes nothing. The clever man from Cyzicus says one word can hold God’s very being. Your teachers call that not depth but blasphemy dressed as logic: what God is, no mind can compass; what God has shown, no tongue may deny. Between those two reverences is where all true speech about God lives — you did not expect the deepest lesson of the age to be about grammar, but it is.</w:t>
      </w:r>
    </w:p>
    <w:p>
      <w:pPr>
        <w:pStyle w:val="Heading2"/>
      </w:pPr>
      <w:bookmarkStart w:id="28" w:name="emotional-and-affective-ecology"/>
      <w:r>
        <w:t xml:space="preserve">7. Emotional and Affective Ecology</w:t>
      </w:r>
      <w:bookmarkEnd w:id="28"/>
    </w:p>
    <w:p>
      <w:pPr>
        <w:pStyle w:val="FirstParagraph"/>
      </w:pPr>
      <w:r>
        <w:rPr>
          <w:b/>
        </w:rPr>
        <w:t xml:space="preserve">Frame.</w:t>
      </w:r>
      <w:r>
        <w:t xml:space="preserve"> </w:t>
      </w:r>
      <w:r>
        <w:t xml:space="preserve">The register the evidence supports:</w:t>
      </w:r>
      <w:r>
        <w:t xml:space="preserve"> </w:t>
      </w:r>
      <w:r>
        <w:rPr>
          <w:b/>
        </w:rPr>
        <w:t xml:space="preserve">doxological awe with tender grief</w:t>
      </w:r>
      <w:r>
        <w:t xml:space="preserve"> </w:t>
      </w:r>
      <w:r>
        <w:t xml:space="preserve">— wonder disciplined by reverence at one pole (the incomprehensibility literature; worship’s gravity), and an unusually rich permission of sorrow at the other (the consolation corpus: funeral orations, deathbed dialogues, infant-death treatise; tears at Macrina’s deathbed in the world’s own telling — the narrator weeps and is not condemned, and the Teacher grieves and hopes in the same hour). Dominant hopes: the resurrection (anastasis — argued at deathbeds, not merely asserted); the endless approach to the inexhaustible God (the stretching-forward — Nyssen-weighted, flagged). Dominant fears: saying more of God than may be said (asebeia — irreverence as the era’s deepest category of dread); the church’s peace torn (the schism-grief of the letters); famine; dying with the water refused too long. Weighted affects: awe, longing, festal joy (the panēgyris register), grief-with-hope, friendship’s warmth and its wounds (the Basil–Gregory correspondence and rupture — Documented, one-sidedly told), and the named vices the moral homilies anatomize: envy (phthonos — the era’s own homily), anger, ambition (philotimia — the clergy’s named disease; the era’s own disgust at synodal politics on the record at work level). (Affect claims: Widely Accepted where multiply attested in homilies, orations, letters; interior generalization always Inferential.)</w:t>
      </w:r>
    </w:p>
    <w:p>
      <w:pPr>
        <w:pStyle w:val="BodyText"/>
      </w:pPr>
      <w:r>
        <w:rPr>
          <w:b/>
        </w:rPr>
        <w:t xml:space="preserve">[Inhabited]</w:t>
      </w:r>
      <w:r>
        <w:t xml:space="preserve"> </w:t>
      </w:r>
      <w:r>
        <w:t xml:space="preserve">To be formed here is to be taught two kinds of trembling. Before God: that the more truly you speak of him the more you feel the ground go — every word true, no word sufficient, and the deepest prayers ending in a silence that is not emptiness but too-much-light. And before the graves: your world does not forbid you tears. The greatest among you wept openly — at a sister’s deathbed, at a friend’s tomb — and the teaching is not</w:t>
      </w:r>
      <w:r>
        <w:t xml:space="preserve"> </w:t>
      </w:r>
      <w:r>
        <w:t xml:space="preserve">“</w:t>
      </w:r>
      <w:r>
        <w:t xml:space="preserve">do not grieve</w:t>
      </w:r>
      <w:r>
        <w:t xml:space="preserve">”</w:t>
      </w:r>
      <w:r>
        <w:t xml:space="preserve"> </w:t>
      </w:r>
      <w:r>
        <w:t xml:space="preserve">but</w:t>
      </w:r>
      <w:r>
        <w:t xml:space="preserve"> </w:t>
      </w:r>
      <w:r>
        <w:t xml:space="preserve">“</w:t>
      </w:r>
      <w:r>
        <w:t xml:space="preserve">grieve as those who trust the seed is in the ground.</w:t>
      </w:r>
      <w:r>
        <w:t xml:space="preserve">”</w:t>
      </w:r>
      <w:r>
        <w:t xml:space="preserve"> </w:t>
      </w:r>
      <w:r>
        <w:t xml:space="preserve">Between the awe and the grief there is much gladness: the feasts are loud, the psalms in the night are sweet, friendship here is loved extravagantly — souls knit, letters treasured, and when friendship breaks (it broke, in the great generation, over a bishop’s necessity) the wound is spoken of for years, in poems, without shame. The enemies your teachers name most are quiet ones: envy, which their homilies call the devil’s own sin; ambition, which wears vestments as easily as armor; and the tongue too confident about God — the man who has an answer for everything has understood nothing, and your world will say so to his face.</w:t>
      </w:r>
    </w:p>
    <w:p>
      <w:pPr>
        <w:pStyle w:val="Heading2"/>
      </w:pPr>
      <w:bookmarkStart w:id="29" w:name="power-influence-and-historical-dynamics"/>
      <w:r>
        <w:t xml:space="preserve">8. Power, Influence, and Historical Dynamics</w:t>
      </w:r>
      <w:bookmarkEnd w:id="29"/>
    </w:p>
    <w:p>
      <w:pPr>
        <w:pStyle w:val="FirstParagraph"/>
      </w:pPr>
      <w:r>
        <w:rPr>
          <w:b/>
        </w:rPr>
        <w:t xml:space="preserve">Frame.</w:t>
      </w:r>
      <w:r>
        <w:t xml:space="preserve"> </w:t>
      </w:r>
      <w:r>
        <w:t xml:space="preserve">History’s impact on the world: the peace after Licinius (324) → the Nicene contest arriving through councils, court formulas, and exiles (Constantius, then Valens: depositions — Nyssa exiled 376–378 — Documented; pressure on Caesarea managed at famous cost) → Julian’s interlude (the school edict; Macellum in the family memory of the court — Documented) → the 372 provincial division as ecclesiastical power-politics → Theodosius: the confession’s victory, 380–381, the region’s bishops named as the empire’s touchstones (Documented at work level). The world’s impact on history: the Trinitarian settlement’s classic articulation; the ordered koinobion that becomes Eastern monasticism’s charter; the philanthropic institution as a new civic form; the monk-bishop as the Eastern church’s leadership type; the festal-homiletic and theological corpus that becomes Byzantium’s curriculum (Widely Accepted). Position: a provincial world whose distance from the great sees (letters slow, alliances disappointing) forced it to act as its own center — and which, at the end, briefly</w:t>
      </w:r>
      <w:r>
        <w:t xml:space="preserve"> </w:t>
      </w:r>
      <w:r>
        <w:rPr>
          <w:i/>
        </w:rPr>
        <w:t xml:space="preserve">was</w:t>
      </w:r>
      <w:r>
        <w:t xml:space="preserve"> </w:t>
      </w:r>
      <w:r>
        <w:t xml:space="preserve">the center (Constantinople 379–381). Formation consequences: endurance as a spiritual discipline; wariness of courts and councils in the world’s own voice (the era’s most quoted synod-weariness is its own — work level); the coercion question largely</w:t>
      </w:r>
      <w:r>
        <w:t xml:space="preserve"> </w:t>
      </w:r>
      <w:r>
        <w:rPr>
          <w:i/>
        </w:rPr>
        <w:t xml:space="preserve">absent</w:t>
      </w:r>
      <w:r>
        <w:t xml:space="preserve"> </w:t>
      </w:r>
      <w:r>
        <w:t xml:space="preserve">here in its Latin form — this world’s establishment moment arrives at its end, and its record is of being pressed, not pressing (an honest asymmetry with the Latin world, named rather than smoothed; what enforcement under Theodosius looked like on the ground in Cappadocia is thinly documented in this corpus — Inferential/Thin).</w:t>
      </w:r>
    </w:p>
    <w:p>
      <w:pPr>
        <w:pStyle w:val="Heading2"/>
      </w:pPr>
      <w:bookmarkStart w:id="30" w:name="X272254fa88c4b5b5040dca64009bd48ae55e68d"/>
      <w:r>
        <w:t xml:space="preserve">9. Boundary Ecology (with forces constitutive)</w:t>
      </w:r>
      <w:bookmarkEnd w:id="30"/>
    </w:p>
    <w:p>
      <w:pPr>
        <w:pStyle w:val="FirstParagraph"/>
      </w:pPr>
      <w:r>
        <w:rPr>
          <w:b/>
        </w:rPr>
        <w:t xml:space="preserve">Frame.</w:t>
      </w:r>
      <w:r>
        <w:t xml:space="preserve"> </w:t>
      </w:r>
      <w:r>
        <w:t xml:space="preserve">Boundaries: toward the</w:t>
      </w:r>
      <w:r>
        <w:t xml:space="preserve"> </w:t>
      </w:r>
      <w:r>
        <w:rPr>
          <w:b/>
        </w:rPr>
        <w:t xml:space="preserve">Homoian imperial church</w:t>
      </w:r>
      <w:r>
        <w:t xml:space="preserve"> </w:t>
      </w:r>
      <w:r>
        <w:t xml:space="preserve">— the rival claimant of the same Scriptures, formulas near enough to confuse (</w:t>
      </w:r>
      <w:r>
        <w:t xml:space="preserve">“</w:t>
      </w:r>
      <w:r>
        <w:t xml:space="preserve">like according to the Scriptures</w:t>
      </w:r>
      <w:r>
        <w:t xml:space="preserve">”</w:t>
      </w:r>
      <w:r>
        <w:t xml:space="preserve">), backed for two reigns by the court: the boundary here is a preposition and a formula, enforced by exile in one direction and endurance in the other (Documented). Toward</w:t>
      </w:r>
      <w:r>
        <w:t xml:space="preserve"> </w:t>
      </w:r>
      <w:r>
        <w:rPr>
          <w:b/>
        </w:rPr>
        <w:t xml:space="preserve">Eunomians</w:t>
      </w:r>
      <w:r>
        <w:t xml:space="preserve"> </w:t>
      </w:r>
      <w:r>
        <w:t xml:space="preserve">— rebaptizers with a rationalist confidence the world’s whole epistemology refuses; Basil’s canonical framework grades receptions (heretic / schismatic / parasynagogue — Documented canonical distinctions: boundary technology of unusual precision). Toward the</w:t>
      </w:r>
      <w:r>
        <w:t xml:space="preserve"> </w:t>
      </w:r>
      <w:r>
        <w:rPr>
          <w:b/>
        </w:rPr>
        <w:t xml:space="preserve">radical ascetics</w:t>
      </w:r>
      <w:r>
        <w:t xml:space="preserve"> </w:t>
      </w:r>
      <w:r>
        <w:t xml:space="preserve">— the Gangra line: the boundary defends household, marriage, and the church’s feasts against renunciation’s overreach (Documented censures). Toward the</w:t>
      </w:r>
      <w:r>
        <w:t xml:space="preserve"> </w:t>
      </w:r>
      <w:r>
        <w:rPr>
          <w:b/>
        </w:rPr>
        <w:t xml:space="preserve">old religion</w:t>
      </w:r>
      <w:r>
        <w:t xml:space="preserve"> </w:t>
      </w:r>
      <w:r>
        <w:t xml:space="preserve">— temples and habits alive (Julian’s hope; the charms the canons penance); the fight of the era is for the schoolroom and the calendar more than against living cult (Documented edict-crisis; village practice against-the-grain). Toward</w:t>
      </w:r>
      <w:r>
        <w:t xml:space="preserve"> </w:t>
      </w:r>
      <w:r>
        <w:rPr>
          <w:b/>
        </w:rPr>
        <w:t xml:space="preserve">Jews</w:t>
      </w:r>
      <w:r>
        <w:t xml:space="preserve"> </w:t>
      </w:r>
      <w:r>
        <w:t xml:space="preserve">— engaged mostly at the level of text and typology in this corpus; thin as social boundary evidence here, and stated as thin rather than inflated. Toward the</w:t>
      </w:r>
      <w:r>
        <w:t xml:space="preserve"> </w:t>
      </w:r>
      <w:r>
        <w:rPr>
          <w:b/>
        </w:rPr>
        <w:t xml:space="preserve">frontier peoples</w:t>
      </w:r>
      <w:r>
        <w:t xml:space="preserve"> </w:t>
      </w:r>
      <w:r>
        <w:t xml:space="preserve">— the Gothic mission and its martyrs touch the world through relic-diplomacy (letters at work level); Armenia’s churches as neighbors needing ordination-help (Documented letters). Forces most visible: the court’s formula-politics made the doctrinal boundary a legal one; the ascetic ferment made the household a boundary zone.</w:t>
      </w:r>
    </w:p>
    <w:p>
      <w:pPr>
        <w:pStyle w:val="BodyText"/>
      </w:pPr>
      <w:r>
        <w:rPr>
          <w:b/>
        </w:rPr>
        <w:t xml:space="preserve">[Inhabited]</w:t>
      </w:r>
      <w:r>
        <w:t xml:space="preserve"> </w:t>
      </w:r>
      <w:r>
        <w:t xml:space="preserve">The lines you live among do not run where a stranger would draw them. The hardest line runs through churches that look like yours: same Scriptures, same feasts, and a creed one careful word apart — and for two reigns the court stood on the other side of that word, and bishops you loved slept in wagons on the exile roads. There is a line against the clever ones who say God’s essence sits inside a single name, and who baptize again those who come to them, as if the Name had failed the first time. There is a line — your own elders drew it — against the fierce ones who would break marriages and unseat masters and fast against the feasts for holiness’ sake: the church blessed the renouncers and refused the wreckers, and some of the fierce ones never forgave it. And there is the old religion, not so much an enemy across a field as a smell in the house: the emperor who loved the gods is dead, but the charm-seller two villages over is not. You were taught to keep the boundary the way you keep the doxology: exactly, and without hate — the God you cannot comprehend is not honored by a fist.</w:t>
      </w:r>
    </w:p>
    <w:p>
      <w:pPr>
        <w:pStyle w:val="Heading2"/>
      </w:pPr>
      <w:bookmarkStart w:id="31" w:name="X9988c281cea8fc8bebb1a01a51e9bcff37ea2f0"/>
      <w:r>
        <w:t xml:space="preserve">10. Formation Logic (summary; full synthesis at Doc_07 2E)</w:t>
      </w:r>
      <w:bookmarkEnd w:id="31"/>
    </w:p>
    <w:p>
      <w:pPr>
        <w:pStyle w:val="FirstParagraph"/>
      </w:pPr>
      <w:r>
        <w:rPr>
          <w:b/>
        </w:rPr>
        <w:t xml:space="preserve">Frame.</w:t>
      </w:r>
      <w:r>
        <w:t xml:space="preserve"> </w:t>
      </w:r>
      <w:r>
        <w:t xml:space="preserve">The world makes Christians by</w:t>
      </w:r>
      <w:r>
        <w:t xml:space="preserve"> </w:t>
      </w:r>
      <w:r>
        <w:rPr>
          <w:b/>
        </w:rPr>
        <w:t xml:space="preserve">binding the whole of life — household, speech, learning, wealth, grief — into the right glorification of the God no mind can compass</w:t>
      </w:r>
      <w:r>
        <w:t xml:space="preserve">, through a formation that runs: household teaching → baptism into the Name (the charter) → psalmody and festival as the affections’ curriculum → discipline (canons, penance, the ordered life) → for the formed core, the brotherhood’s common life with its guest-door → maturity as</w:t>
      </w:r>
      <w:r>
        <w:t xml:space="preserve"> </w:t>
      </w:r>
      <w:r>
        <w:rPr>
          <w:i/>
        </w:rPr>
        <w:t xml:space="preserve">eusebeia</w:t>
      </w:r>
      <w:r>
        <w:t xml:space="preserve">: exactness of confession and mercy toward the poor as one reverence. The aim’s horizon is unbounded: becoming like God (theōsis) with no final arrival — desire deepening, not concluding. Maturity looks like: psalms by heart, the Name held exactly, tears permitted and despair refused, a door open to guests and the poor, stillness sought and the summons obeyed when it comes. (Synthesis: Widely Accepted as construction reading of Documented practice; the unbounded-horizon note is circle-weighted, flagged.)</w:t>
      </w:r>
    </w:p>
    <w:p>
      <w:r>
        <w:pict>
          <v:rect style="width:0;height:1.5pt" o:hralign="center" o:hrstd="t" o:hr="t"/>
        </w:pict>
      </w:r>
    </w:p>
    <w:p>
      <w:pPr>
        <w:pStyle w:val="FirstParagraph"/>
      </w:pPr>
      <w:r>
        <w:rPr>
          <w:b/>
        </w:rPr>
        <w:t xml:space="preserve">Proportionality assessment:</w:t>
      </w:r>
      <w:r>
        <w:t xml:space="preserve"> </w:t>
      </w:r>
      <w:r>
        <w:t xml:space="preserve">the record’s weight lies with one family and one circle, and this reconstruction leans there as the record leans — with the countryside, the sisterhoods, the enslaved, and the defeated parties named where thin rather than inflated (probable-ecology note: each was formatively larger than its evidential trace — stated, not reconstructed beyond bounds). The elite-paideia material is deliberately held to its Supporting weight against its overrepresentation in the sources’ own brilliance.</w:t>
      </w:r>
      <w:r>
        <w:t xml:space="preserve"> </w:t>
      </w:r>
      <w:r>
        <w:rPr>
          <w:b/>
        </w:rPr>
        <w:t xml:space="preserve">Integration assessment:</w:t>
      </w:r>
      <w:r>
        <w:t xml:space="preserve"> </w:t>
      </w:r>
      <w:r>
        <w:t xml:space="preserve">hubs — baptism-with-its-formula (worship, doctrine, boundary, and discipline in one act); the brotherhood-with-guest-door (community, ministry, and the ascetic gravity in one institution); the martyr-festival (calendar, crowd, memory, preaching). Tension points: stillness vs. summons; precision vs. reserve; renunciation vs. order; Athens vs. the fishermen; the court’s word vs. the church’s word. These carry into Doc_07.</w:t>
      </w:r>
    </w:p>
    <w:p>
      <w:pPr>
        <w:pStyle w:val="BodyText"/>
      </w:pPr>
      <w:r>
        <w:rPr>
          <w:i/>
        </w:rPr>
        <w:t xml:space="preserve">No Representative content appears in this document.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2026-07-03T10:31:56Z</dcterms:created>
  <dcterms:modified xsi:type="dcterms:W3CDTF">2026-07-03T10:31:56Z</dcterms:modified>
</cp:coreProperties>
</file>

<file path=docProps/custom.xml><?xml version="1.0" encoding="utf-8"?>
<Properties xmlns="http://schemas.openxmlformats.org/officeDocument/2006/custom-properties" xmlns:vt="http://schemas.openxmlformats.org/officeDocument/2006/docPropsVTypes"/>
</file>