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oc_09-story-inventory"/>
    <w:p>
      <w:pPr>
        <w:pStyle w:val="Heading1"/>
      </w:pPr>
      <w:r>
        <w:t xml:space="preserve">Doc_09 — Story Inventory</w:t>
      </w:r>
    </w:p>
    <w:bookmarkStart w:id="20" w:name="X3a224018e614a0aaf42edbebe800571f6fb64c5"/>
    <w:p>
      <w:pPr>
        <w:pStyle w:val="Heading2"/>
      </w:pPr>
      <w:r>
        <w:t xml:space="preserve">Cappadocian Formation World (cappadocian) — Church in Conversation V7</w:t>
      </w:r>
    </w:p>
    <w:p>
      <w:pPr>
        <w:pStyle w:val="FirstParagraph"/>
      </w:pPr>
      <w:r>
        <w:rPr>
          <w:bCs/>
          <w:b/>
        </w:rPr>
        <w:t xml:space="preserve">Step:</w:t>
      </w:r>
      <w:r>
        <w:t xml:space="preserve"> </w:t>
      </w:r>
      <w:r>
        <w:t xml:space="preserve">9 of 10 ·</w:t>
      </w:r>
      <w:r>
        <w:t xml:space="preserve"> </w:t>
      </w:r>
      <w:r>
        <w:rPr>
          <w:bCs/>
          <w:b/>
        </w:rPr>
        <w:t xml:space="preserve">Governed by:</w:t>
      </w:r>
      <w:r>
        <w:t xml:space="preserve"> </w:t>
      </w:r>
      <w:r>
        <w:t xml:space="preserve">Construction Framework (Story and Narrative Sources Assessment; Part VII Step 9); Constitution Articles 17, 19</w:t>
      </w:r>
      <w:r>
        <w:t xml:space="preserve"> </w:t>
      </w:r>
      <w:r>
        <w:rPr>
          <w:bCs/>
          <w:b/>
        </w:rPr>
        <w:t xml:space="preserve">Rule in force:</w:t>
      </w:r>
      <w:r>
        <w:t xml:space="preserve"> </w:t>
      </w:r>
      <w:r>
        <w:t xml:space="preserve">Tiers 1–4 only;</w:t>
      </w:r>
      <w:r>
        <w:t xml:space="preserve"> </w:t>
      </w:r>
      <w:r>
        <w:rPr>
          <w:bCs/>
          <w:b/>
        </w:rPr>
        <w:t xml:space="preserve">no Tier 5 — if the evidence does not support a story, the story does not exist for this world.</w:t>
      </w:r>
      <w:r>
        <w:t xml:space="preserve"> </w:t>
      </w:r>
      <w:r>
        <w:t xml:space="preserve">Confidence per tier cross-walk. All loci and details flagged per Critic Finding 1: verify before external use. Critic Findings 5, 6, 7 implemented at the entries marked.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Story</w:t>
            </w:r>
          </w:p>
        </w:tc>
        <w:tc>
          <w:tcPr/>
          <w:p>
            <w:pPr>
              <w:pStyle w:val="Compact"/>
              <w:jc w:val="left"/>
            </w:pPr>
            <w:r>
              <w:t xml:space="preserve">Tier</w:t>
            </w:r>
          </w:p>
        </w:tc>
        <w:tc>
          <w:tcPr/>
          <w:p>
            <w:pPr>
              <w:pStyle w:val="Compact"/>
              <w:jc w:val="left"/>
            </w:pPr>
            <w:r>
              <w:t xml:space="preserve">Source</w:t>
            </w:r>
          </w:p>
        </w:tc>
        <w:tc>
          <w:tcPr/>
          <w:p>
            <w:pPr>
              <w:pStyle w:val="Compact"/>
              <w:jc w:val="left"/>
            </w:pPr>
            <w:r>
              <w:t xml:space="preserve">Confidence</w:t>
            </w:r>
          </w:p>
        </w:tc>
        <w:tc>
          <w:tcPr/>
          <w:p>
            <w:pPr>
              <w:pStyle w:val="Compact"/>
              <w:jc w:val="left"/>
            </w:pPr>
            <w:r>
              <w:t xml:space="preserve">Usage guidance (register)</w:t>
            </w:r>
          </w:p>
        </w:tc>
      </w:tr>
      <w:tr>
        <w:tc>
          <w:tcPr/>
          <w:p>
            <w:pPr>
              <w:pStyle w:val="Compact"/>
              <w:jc w:val="left"/>
            </w:pPr>
            <w:r>
              <w:t xml:space="preserve">1</w:t>
            </w:r>
          </w:p>
        </w:tc>
        <w:tc>
          <w:tcPr/>
          <w:p>
            <w:pPr>
              <w:pStyle w:val="Compact"/>
              <w:jc w:val="left"/>
            </w:pPr>
            <w:r>
              <w:t xml:space="preserve">The famine year and the open barns (c. 368/9): drought, hoarding, the preaching that shamed the granaries open, relief organized</w:t>
            </w:r>
          </w:p>
        </w:tc>
        <w:tc>
          <w:tcPr/>
          <w:p>
            <w:pPr>
              <w:pStyle w:val="Compact"/>
              <w:jc w:val="left"/>
            </w:pPr>
            <w:r>
              <w:t xml:space="preserve">1</w:t>
            </w:r>
          </w:p>
        </w:tc>
        <w:tc>
          <w:tcPr/>
          <w:p>
            <w:pPr>
              <w:pStyle w:val="Compact"/>
              <w:jc w:val="left"/>
            </w:pPr>
            <w:r>
              <w:t xml:space="preserve">Basil’s famine homilies (in famine and drought; on the rich fool’s barns; against usury) — the preacher’s own record; Or. 43’s narrative frame</w:t>
            </w:r>
          </w:p>
        </w:tc>
        <w:tc>
          <w:tcPr/>
          <w:p>
            <w:pPr>
              <w:pStyle w:val="Compact"/>
              <w:jc w:val="left"/>
            </w:pPr>
            <w:r>
              <w:t xml:space="preserve">Documented (homilies); Or. 43’s dramatization encomium-flagged; famine’s exact year Contested within a year or two</w:t>
            </w:r>
          </w:p>
        </w:tc>
        <w:tc>
          <w:tcPr/>
          <w:p>
            <w:pPr>
              <w:pStyle w:val="Compact"/>
              <w:jc w:val="left"/>
            </w:pPr>
            <w:r>
              <w:t xml:space="preserve">Historical narrative; the world’s touchstone for what wealth is for — told with the preaching’s own heat, not softened</w:t>
            </w:r>
          </w:p>
        </w:tc>
      </w:tr>
      <w:tr>
        <w:tc>
          <w:tcPr/>
          <w:p>
            <w:pPr>
              <w:pStyle w:val="Compact"/>
              <w:jc w:val="left"/>
            </w:pPr>
            <w:r>
              <w:t xml:space="preserve">2</w:t>
            </w:r>
          </w:p>
        </w:tc>
        <w:tc>
          <w:tcPr/>
          <w:p>
            <w:pPr>
              <w:pStyle w:val="Compact"/>
              <w:jc w:val="left"/>
            </w:pPr>
            <w:r>
              <w:t xml:space="preserve">The doxology at Caesarea and the writing of On the Holy Spirit (c. 374–375): a service’s wording challenged; a treatise answers</w:t>
            </w:r>
          </w:p>
        </w:tc>
        <w:tc>
          <w:tcPr/>
          <w:p>
            <w:pPr>
              <w:pStyle w:val="Compact"/>
              <w:jc w:val="left"/>
            </w:pPr>
            <w:r>
              <w:t xml:space="preserve">1</w:t>
            </w:r>
          </w:p>
        </w:tc>
        <w:tc>
          <w:tcPr/>
          <w:p>
            <w:pPr>
              <w:pStyle w:val="Compact"/>
              <w:jc w:val="left"/>
            </w:pPr>
            <w:r>
              <w:t xml:space="preserve">The treatise’s own account of its occasion; the correspondence with Amphilochius</w:t>
            </w:r>
          </w:p>
        </w:tc>
        <w:tc>
          <w:tcPr/>
          <w:p>
            <w:pPr>
              <w:pStyle w:val="Compact"/>
              <w:jc w:val="left"/>
            </w:pPr>
            <w:r>
              <w:t xml:space="preserve">Documented</w:t>
            </w:r>
          </w:p>
        </w:tc>
        <w:tc>
          <w:tcPr/>
          <w:p>
            <w:pPr>
              <w:pStyle w:val="Compact"/>
              <w:jc w:val="left"/>
            </w:pPr>
            <w:r>
              <w:t xml:space="preserve">Historical narrative; the world’s signature story — a preposition defended as the faith; gateway to Primary Gravity 1</w:t>
            </w:r>
          </w:p>
        </w:tc>
      </w:tr>
      <w:tr>
        <w:tc>
          <w:tcPr/>
          <w:p>
            <w:pPr>
              <w:pStyle w:val="Compact"/>
              <w:jc w:val="left"/>
            </w:pPr>
            <w:r>
              <w:t xml:space="preserve">3</w:t>
            </w:r>
          </w:p>
        </w:tc>
        <w:tc>
          <w:tcPr/>
          <w:p>
            <w:pPr>
              <w:pStyle w:val="Compact"/>
              <w:jc w:val="left"/>
            </w:pPr>
            <w:r>
              <w:t xml:space="preserve">Valens at Caesarea: the prefect’s bench and the Epiphany liturgy (371–372) —</w:t>
            </w:r>
            <w:r>
              <w:t xml:space="preserve"> </w:t>
            </w:r>
            <w:r>
              <w:rPr>
                <w:bCs/>
                <w:b/>
              </w:rPr>
              <w:t xml:space="preserve">split entry</w:t>
            </w:r>
          </w:p>
        </w:tc>
        <w:tc>
          <w:tcPr/>
          <w:p>
            <w:pPr>
              <w:pStyle w:val="Compact"/>
              <w:jc w:val="left"/>
            </w:pPr>
            <w:r>
              <w:t xml:space="preserve">1 (both halves — core event and celebrated dialogue are each Tier 1, genre-shaped for the dialogue;</w:t>
            </w:r>
            <w:r>
              <w:t xml:space="preserve"> </w:t>
            </w:r>
            <w:r>
              <w:rPr>
                <w:bCs/>
                <w:b/>
              </w:rPr>
              <w:t xml:space="preserve">not a distinct</w:t>
            </w:r>
            <w:r>
              <w:rPr>
                <w:bCs/>
                <w:b/>
              </w:rPr>
              <w:t xml:space="preserve"> </w:t>
            </w:r>
            <w:r>
              <w:rPr>
                <w:bCs/>
                <w:b/>
              </w:rPr>
              <w:t xml:space="preserve">“</w:t>
            </w:r>
            <w:r>
              <w:rPr>
                <w:bCs/>
                <w:b/>
              </w:rPr>
              <w:t xml:space="preserve">1-as-encomium</w:t>
            </w:r>
            <w:r>
              <w:rPr>
                <w:bCs/>
                <w:b/>
              </w:rPr>
              <w:t xml:space="preserve">”</w:t>
            </w:r>
            <w:r>
              <w:rPr>
                <w:bCs/>
                <w:b/>
              </w:rPr>
              <w:t xml:space="preserve"> </w:t>
            </w:r>
            <w:r>
              <w:rPr>
                <w:bCs/>
                <w:b/>
              </w:rPr>
              <w:t xml:space="preserve">tier — this project’s rule is Tiers 1–4 only, and the genre caution belongs in the Confidence column, corrected here</w:t>
            </w:r>
            <w:r>
              <w:t xml:space="preserve">)</w:t>
            </w:r>
          </w:p>
        </w:tc>
        <w:tc>
          <w:tcPr/>
          <w:p>
            <w:pPr>
              <w:pStyle w:val="Compact"/>
              <w:jc w:val="left"/>
            </w:pPr>
            <w:r>
              <w:t xml:space="preserve">Core (imperial pressure, the visitation, the church crowded at Epiphany, Basil unremoved): Or. 43 within living memory of eyewitnesses, converging with the documented policy arc. The famous exchange (</w:t>
            </w:r>
            <w:r>
              <w:t xml:space="preserve">“</w:t>
            </w:r>
            <w:r>
              <w:t xml:space="preserve">perhaps you have never met a bishop</w:t>
            </w:r>
            <w:r>
              <w:t xml:space="preserve">”</w:t>
            </w:r>
            <w:r>
              <w:t xml:space="preserve">) is Gregory’s public telling, unverifiable as stenography</w:t>
            </w:r>
          </w:p>
        </w:tc>
        <w:tc>
          <w:tcPr/>
          <w:p>
            <w:pPr>
              <w:pStyle w:val="Compact"/>
              <w:jc w:val="left"/>
            </w:pPr>
            <w:r>
              <w:t xml:space="preserve">Core Documented; scene-detail Contested (encomium)</w:t>
            </w:r>
          </w:p>
        </w:tc>
        <w:tc>
          <w:tcPr/>
          <w:p>
            <w:pPr>
              <w:pStyle w:val="Compact"/>
              <w:jc w:val="left"/>
            </w:pPr>
            <w:r>
              <w:t xml:space="preserve">The Representative may tell it as the church’s treasured telling —</w:t>
            </w:r>
            <w:r>
              <w:t xml:space="preserve"> </w:t>
            </w:r>
            <w:r>
              <w:t xml:space="preserve">“</w:t>
            </w:r>
            <w:r>
              <w:t xml:space="preserve">so it is told among us, by the one who praised him</w:t>
            </w:r>
            <w:r>
              <w:t xml:space="preserve">”</w:t>
            </w:r>
            <w:r>
              <w:t xml:space="preserve"> </w:t>
            </w:r>
            <w:r>
              <w:t xml:space="preserve">— never as court transcript; the split stated if pressed</w:t>
            </w:r>
          </w:p>
        </w:tc>
      </w:tr>
      <w:tr>
        <w:tc>
          <w:tcPr/>
          <w:p>
            <w:pPr>
              <w:pStyle w:val="Compact"/>
              <w:jc w:val="left"/>
            </w:pPr>
            <w:r>
              <w:t xml:space="preserve">4</w:t>
            </w:r>
          </w:p>
        </w:tc>
        <w:tc>
          <w:tcPr/>
          <w:p>
            <w:pPr>
              <w:pStyle w:val="Compact"/>
              <w:jc w:val="left"/>
            </w:pPr>
            <w:r>
              <w:t xml:space="preserve">Sasima: the new see, the wounded friendship (c. 372)</w:t>
            </w:r>
          </w:p>
        </w:tc>
        <w:tc>
          <w:tcPr/>
          <w:p>
            <w:pPr>
              <w:pStyle w:val="Compact"/>
              <w:jc w:val="left"/>
            </w:pPr>
            <w:r>
              <w:t xml:space="preserve">1 (one-sided)</w:t>
            </w:r>
          </w:p>
        </w:tc>
        <w:tc>
          <w:tcPr/>
          <w:p>
            <w:pPr>
              <w:pStyle w:val="Compact"/>
              <w:jc w:val="left"/>
            </w:pPr>
            <w:r>
              <w:t xml:space="preserve">Nazianzen’s own letters, poems, De vita sua — the wounded party’s account; Basil’s side essentially unrecorded</w:t>
            </w:r>
          </w:p>
        </w:tc>
        <w:tc>
          <w:tcPr/>
          <w:p>
            <w:pPr>
              <w:pStyle w:val="Compact"/>
              <w:jc w:val="left"/>
            </w:pPr>
            <w:r>
              <w:t xml:space="preserve">Documented as Gregory’s telling; the friendship’s interior Contested by nature</w:t>
            </w:r>
          </w:p>
        </w:tc>
        <w:tc>
          <w:tcPr/>
          <w:p>
            <w:pPr>
              <w:pStyle w:val="Compact"/>
              <w:jc w:val="left"/>
            </w:pPr>
            <w:r>
              <w:t xml:space="preserve">Told honestly as both things at once: a jurisdictional move in a provincial power-fight</w:t>
            </w:r>
            <w:r>
              <w:t xml:space="preserve"> </w:t>
            </w:r>
            <w:r>
              <w:rPr>
                <w:bCs/>
                <w:b/>
              </w:rPr>
              <w:t xml:space="preserve">and</w:t>
            </w:r>
            <w:r>
              <w:t xml:space="preserve"> </w:t>
            </w:r>
            <w:r>
              <w:t xml:space="preserve">a friendship’s wound never fully healed (Critic Finding 7 — the power-politics reading is carried, not softened into mere pathos); one side’s telling, said as such</w:t>
            </w:r>
          </w:p>
        </w:tc>
      </w:tr>
      <w:tr>
        <w:tc>
          <w:tcPr/>
          <w:p>
            <w:pPr>
              <w:pStyle w:val="Compact"/>
              <w:jc w:val="left"/>
            </w:pPr>
            <w:r>
              <w:t xml:space="preserve">5</w:t>
            </w:r>
          </w:p>
        </w:tc>
        <w:tc>
          <w:tcPr/>
          <w:p>
            <w:pPr>
              <w:pStyle w:val="Compact"/>
              <w:jc w:val="left"/>
            </w:pPr>
            <w:r>
              <w:t xml:space="preserve">Athens: the friendship formed (</w:t>
            </w:r>
            <w:r>
              <w:t xml:space="preserve">“</w:t>
            </w:r>
            <w:r>
              <w:t xml:space="preserve">one soul in two bodies</w:t>
            </w:r>
            <w:r>
              <w:t xml:space="preserve">”</w:t>
            </w:r>
            <w:r>
              <w:t xml:space="preserve">), the studies, the return (c. 350s)</w:t>
            </w:r>
          </w:p>
        </w:tc>
        <w:tc>
          <w:tcPr/>
          <w:p>
            <w:pPr>
              <w:pStyle w:val="Compact"/>
              <w:jc w:val="left"/>
            </w:pPr>
            <w:r>
              <w:t xml:space="preserve">1</w:t>
            </w:r>
          </w:p>
        </w:tc>
        <w:tc>
          <w:tcPr/>
          <w:p>
            <w:pPr>
              <w:pStyle w:val="Compact"/>
              <w:jc w:val="left"/>
            </w:pPr>
            <w:r>
              <w:t xml:space="preserve">Or. 43; De vita sua — retrospective self-accounts, idealized</w:t>
            </w:r>
          </w:p>
        </w:tc>
        <w:tc>
          <w:tcPr/>
          <w:p>
            <w:pPr>
              <w:pStyle w:val="Compact"/>
              <w:jc w:val="left"/>
            </w:pPr>
            <w:r>
              <w:t xml:space="preserve">Documented as self-account; idealization flagged</w:t>
            </w:r>
          </w:p>
        </w:tc>
        <w:tc>
          <w:tcPr/>
          <w:p>
            <w:pPr>
              <w:pStyle w:val="Compact"/>
              <w:jc w:val="left"/>
            </w:pPr>
            <w:r>
              <w:t xml:space="preserve">The world’s friendship-ideal at its warmest; told with the retrospect named (</w:t>
            </w:r>
            <w:r>
              <w:t xml:space="preserve">“</w:t>
            </w:r>
            <w:r>
              <w:t xml:space="preserve">as the survivor remembered it</w:t>
            </w:r>
            <w:r>
              <w:t xml:space="preserve">”</w:t>
            </w:r>
            <w:r>
              <w:t xml:space="preserve">)</w:t>
            </w:r>
          </w:p>
        </w:tc>
      </w:tr>
      <w:tr>
        <w:tc>
          <w:tcPr/>
          <w:p>
            <w:pPr>
              <w:pStyle w:val="Compact"/>
              <w:jc w:val="left"/>
            </w:pPr>
            <w:r>
              <w:t xml:space="preserve">6</w:t>
            </w:r>
          </w:p>
        </w:tc>
        <w:tc>
          <w:tcPr/>
          <w:p>
            <w:pPr>
              <w:pStyle w:val="Compact"/>
              <w:jc w:val="left"/>
            </w:pPr>
            <w:r>
              <w:t xml:space="preserve">Macrina’s deathbed and funeral (379): the Teacher dying on a plank, the deathbed teaching, the brother’s grief, the crowd at the burial</w:t>
            </w:r>
          </w:p>
        </w:tc>
        <w:tc>
          <w:tcPr/>
          <w:p>
            <w:pPr>
              <w:pStyle w:val="Compact"/>
              <w:jc w:val="left"/>
            </w:pPr>
            <w:r>
              <w:t xml:space="preserve">1 (with literary frame)</w:t>
            </w:r>
          </w:p>
        </w:tc>
        <w:tc>
          <w:tcPr/>
          <w:p>
            <w:pPr>
              <w:pStyle w:val="Compact"/>
              <w:jc w:val="left"/>
            </w:pPr>
            <w:r>
              <w:t xml:space="preserve">Vita Macrinae; On the Soul and Resurrection — eyewitness family memoir shaped as philosophical hagiography</w:t>
            </w:r>
          </w:p>
        </w:tc>
        <w:tc>
          <w:tcPr/>
          <w:p>
            <w:pPr>
              <w:pStyle w:val="Compact"/>
              <w:jc w:val="left"/>
            </w:pPr>
            <w:r>
              <w:t xml:space="preserve">Documented as Gregory’s account of events he witnessed; the dialogue’s content is his composition (Contested how much is hers)</w:t>
            </w:r>
          </w:p>
        </w:tc>
        <w:tc>
          <w:tcPr/>
          <w:p>
            <w:pPr>
              <w:pStyle w:val="Compact"/>
              <w:jc w:val="left"/>
            </w:pPr>
            <w:r>
              <w:t xml:space="preserve">Told as the brother told it, with the frame named:</w:t>
            </w:r>
            <w:r>
              <w:t xml:space="preserve"> </w:t>
            </w:r>
            <w:r>
              <w:t xml:space="preserve">“</w:t>
            </w:r>
            <w:r>
              <w:t xml:space="preserve">her brother wrote it, and we hear her through him</w:t>
            </w:r>
            <w:r>
              <w:t xml:space="preserve">”</w:t>
            </w:r>
            <w:r>
              <w:t xml:space="preserve"> </w:t>
            </w:r>
            <w:r>
              <w:t xml:space="preserve">— the mediation is part of the story (Critic Finding 6)</w:t>
            </w:r>
          </w:p>
        </w:tc>
      </w:tr>
      <w:tr>
        <w:tc>
          <w:tcPr/>
          <w:p>
            <w:pPr>
              <w:pStyle w:val="Compact"/>
              <w:jc w:val="left"/>
            </w:pPr>
            <w:r>
              <w:t xml:space="preserve">7</w:t>
            </w:r>
          </w:p>
        </w:tc>
        <w:tc>
          <w:tcPr/>
          <w:p>
            <w:pPr>
              <w:pStyle w:val="Compact"/>
              <w:jc w:val="left"/>
            </w:pPr>
            <w:r>
              <w:t xml:space="preserve">Macrina’s refusal: her betrothed dies; she declares the engagement binding and will not take another (c. 340s)</w:t>
            </w:r>
          </w:p>
        </w:tc>
        <w:tc>
          <w:tcPr/>
          <w:p>
            <w:pPr>
              <w:pStyle w:val="Compact"/>
              <w:jc w:val="left"/>
            </w:pPr>
            <w:r>
              <w:t xml:space="preserve">3</w:t>
            </w:r>
          </w:p>
        </w:tc>
        <w:tc>
          <w:tcPr/>
          <w:p>
            <w:pPr>
              <w:pStyle w:val="Compact"/>
              <w:jc w:val="left"/>
            </w:pPr>
            <w:r>
              <w:t xml:space="preserve">Vita Macrinae — family memory, genre-shaped (the virgin-philosopher’s resolve)</w:t>
            </w:r>
          </w:p>
        </w:tc>
        <w:tc>
          <w:tcPr/>
          <w:p>
            <w:pPr>
              <w:pStyle w:val="Compact"/>
              <w:jc w:val="left"/>
            </w:pPr>
            <w:r>
              <w:t xml:space="preserve">Contested for detail; the formation ideal (vowed stability, the household’s re-ordering beginning with her) is the evidence</w:t>
            </w:r>
          </w:p>
        </w:tc>
        <w:tc>
          <w:tcPr/>
          <w:p>
            <w:pPr>
              <w:pStyle w:val="Compact"/>
              <w:jc w:val="left"/>
            </w:pPr>
            <w:r>
              <w:t xml:space="preserve">The community’s own account of its founding resolve; hagiographic frame acknowledged</w:t>
            </w:r>
          </w:p>
        </w:tc>
      </w:tr>
      <w:tr>
        <w:tc>
          <w:tcPr/>
          <w:p>
            <w:pPr>
              <w:pStyle w:val="Compact"/>
              <w:jc w:val="left"/>
            </w:pPr>
            <w:r>
              <w:t xml:space="preserve">8</w:t>
            </w:r>
          </w:p>
        </w:tc>
        <w:tc>
          <w:tcPr/>
          <w:p>
            <w:pPr>
              <w:pStyle w:val="Compact"/>
              <w:jc w:val="left"/>
            </w:pPr>
            <w:r>
              <w:t xml:space="preserve">Naucratius: the brother who took to the wilderness with a companion to hunt and fish for the poor, killed in an accident (c. 357)</w:t>
            </w:r>
          </w:p>
        </w:tc>
        <w:tc>
          <w:tcPr/>
          <w:p>
            <w:pPr>
              <w:pStyle w:val="Compact"/>
              <w:jc w:val="left"/>
            </w:pPr>
            <w:r>
              <w:t xml:space="preserve">3</w:t>
            </w:r>
          </w:p>
        </w:tc>
        <w:tc>
          <w:tcPr/>
          <w:p>
            <w:pPr>
              <w:pStyle w:val="Compact"/>
              <w:jc w:val="left"/>
            </w:pPr>
            <w:r>
              <w:t xml:space="preserve">Vita Macrinae — family memory, genre-shaped</w:t>
            </w:r>
          </w:p>
        </w:tc>
        <w:tc>
          <w:tcPr/>
          <w:p>
            <w:pPr>
              <w:pStyle w:val="Compact"/>
              <w:jc w:val="left"/>
            </w:pPr>
            <w:r>
              <w:t xml:space="preserve">Contested for detail</w:t>
            </w:r>
          </w:p>
        </w:tc>
        <w:tc>
          <w:tcPr/>
          <w:p>
            <w:pPr>
              <w:pStyle w:val="Compact"/>
              <w:jc w:val="left"/>
            </w:pPr>
            <w:r>
              <w:t xml:space="preserve">The family’s grief-story and the era’s picture of lay renunciation before the rules existed; told as family memory</w:t>
            </w:r>
          </w:p>
        </w:tc>
      </w:tr>
      <w:tr>
        <w:tc>
          <w:tcPr/>
          <w:p>
            <w:pPr>
              <w:pStyle w:val="Compact"/>
              <w:jc w:val="left"/>
            </w:pPr>
            <w:r>
              <w:t xml:space="preserve">9</w:t>
            </w:r>
          </w:p>
        </w:tc>
        <w:tc>
          <w:tcPr/>
          <w:p>
            <w:pPr>
              <w:pStyle w:val="Compact"/>
              <w:jc w:val="left"/>
            </w:pPr>
            <w:r>
              <w:t xml:space="preserve">Basil’s death and funeral (Jan 379, or Sept 378): the city’s crush at the bier — Jews and pagans mourning among the crowd, as the encomium claims</w:t>
            </w:r>
          </w:p>
        </w:tc>
        <w:tc>
          <w:tcPr/>
          <w:p>
            <w:pPr>
              <w:pStyle w:val="Compact"/>
              <w:jc w:val="left"/>
            </w:pPr>
            <w:r>
              <w:t xml:space="preserve">1</w:t>
            </w:r>
          </w:p>
        </w:tc>
        <w:tc>
          <w:tcPr/>
          <w:p>
            <w:pPr>
              <w:pStyle w:val="Compact"/>
              <w:jc w:val="left"/>
            </w:pPr>
            <w:r>
              <w:t xml:space="preserve">Or. 43 (the claim of universal mourning is the encomiast’s); Nyssen’s memorial preaching</w:t>
            </w:r>
          </w:p>
        </w:tc>
        <w:tc>
          <w:tcPr/>
          <w:p>
            <w:pPr>
              <w:pStyle w:val="Compact"/>
              <w:jc w:val="left"/>
            </w:pPr>
            <w:r>
              <w:t xml:space="preserve">Death Documented (date Contested — 378/379 redating carried); funeral-scene detail encomium-flagged</w:t>
            </w:r>
          </w:p>
        </w:tc>
        <w:tc>
          <w:tcPr/>
          <w:p>
            <w:pPr>
              <w:pStyle w:val="Compact"/>
              <w:jc w:val="left"/>
            </w:pPr>
            <w:r>
              <w:t xml:space="preserve">Historical narrative with the genre named; the mourning-crowd claim spoken as the friend’s telling</w:t>
            </w:r>
          </w:p>
        </w:tc>
      </w:tr>
      <w:tr>
        <w:tc>
          <w:tcPr/>
          <w:p>
            <w:pPr>
              <w:pStyle w:val="Compact"/>
              <w:jc w:val="left"/>
            </w:pPr>
            <w:r>
              <w:t xml:space="preserve">10</w:t>
            </w:r>
          </w:p>
        </w:tc>
        <w:tc>
          <w:tcPr/>
          <w:p>
            <w:pPr>
              <w:pStyle w:val="Compact"/>
              <w:jc w:val="left"/>
            </w:pPr>
            <w:r>
              <w:t xml:space="preserve">Gregory at Constantinople (379–381): the Anastasia chapel, the Easter violence, the Theological Orations, the council seat taken and resigned</w:t>
            </w:r>
          </w:p>
        </w:tc>
        <w:tc>
          <w:tcPr/>
          <w:p>
            <w:pPr>
              <w:pStyle w:val="Compact"/>
              <w:jc w:val="left"/>
            </w:pPr>
            <w:r>
              <w:t xml:space="preserve">1</w:t>
            </w:r>
          </w:p>
        </w:tc>
        <w:tc>
          <w:tcPr/>
          <w:p>
            <w:pPr>
              <w:pStyle w:val="Compact"/>
              <w:jc w:val="left"/>
            </w:pPr>
            <w:r>
              <w:t xml:space="preserve">De vita sua; the orations themselves (including the farewell) — self-account throughout</w:t>
            </w:r>
          </w:p>
        </w:tc>
        <w:tc>
          <w:tcPr/>
          <w:p>
            <w:pPr>
              <w:pStyle w:val="Compact"/>
              <w:jc w:val="left"/>
            </w:pPr>
            <w:r>
              <w:t xml:space="preserve">Documented events; interior and adversary-detail are the self-justifying narrator’s (McGuckin-register caution)</w:t>
            </w:r>
          </w:p>
        </w:tc>
        <w:tc>
          <w:tcPr/>
          <w:p>
            <w:pPr>
              <w:pStyle w:val="Compact"/>
              <w:jc w:val="left"/>
            </w:pPr>
            <w:r>
              <w:t xml:space="preserve">The world’s costliest public episode: the Trinity preached to a hostile capital, and the throne walked away from; told with the self-account named</w:t>
            </w:r>
          </w:p>
        </w:tc>
      </w:tr>
      <w:tr>
        <w:tc>
          <w:tcPr/>
          <w:p>
            <w:pPr>
              <w:pStyle w:val="Compact"/>
              <w:jc w:val="left"/>
            </w:pPr>
            <w:r>
              <w:t xml:space="preserve">11</w:t>
            </w:r>
          </w:p>
        </w:tc>
        <w:tc>
          <w:tcPr/>
          <w:p>
            <w:pPr>
              <w:pStyle w:val="Compact"/>
              <w:jc w:val="left"/>
            </w:pPr>
            <w:r>
              <w:t xml:space="preserve">The Forty of Sebaste (c. 320): the soldiers on the frozen lake, the warm bath as the price of apostasy, the one who broke, the guard who took his place</w:t>
            </w:r>
          </w:p>
        </w:tc>
        <w:tc>
          <w:tcPr/>
          <w:p>
            <w:pPr>
              <w:pStyle w:val="Compact"/>
              <w:jc w:val="left"/>
            </w:pPr>
            <w:r>
              <w:t xml:space="preserve">2</w:t>
            </w:r>
          </w:p>
        </w:tc>
        <w:tc>
          <w:tcPr/>
          <w:p>
            <w:pPr>
              <w:pStyle w:val="Compact"/>
              <w:jc w:val="left"/>
            </w:pPr>
            <w:r>
              <w:t xml:space="preserve">Basil’s homily; Nyssen’s homilies; the cult and calendar; the family’s relic connection (Vita/homily notices — work level)</w:t>
            </w:r>
          </w:p>
        </w:tc>
        <w:tc>
          <w:tcPr/>
          <w:p>
            <w:pPr>
              <w:pStyle w:val="Compact"/>
              <w:jc w:val="left"/>
            </w:pPr>
            <w:r>
              <w:t xml:space="preserve">Widely Accepted as authentic early cult and tradition; passion details traditional</w:t>
            </w:r>
          </w:p>
        </w:tc>
        <w:tc>
          <w:tcPr/>
          <w:p>
            <w:pPr>
              <w:pStyle w:val="Compact"/>
              <w:jc w:val="left"/>
            </w:pPr>
            <w:r>
              <w:t xml:space="preserve">Community tradition register:</w:t>
            </w:r>
            <w:r>
              <w:t xml:space="preserve"> </w:t>
            </w:r>
            <w:r>
              <w:t xml:space="preserve">“</w:t>
            </w:r>
            <w:r>
              <w:t xml:space="preserve">so the church tells of her Forty</w:t>
            </w:r>
            <w:r>
              <w:t xml:space="preserve">”</w:t>
            </w:r>
            <w:r>
              <w:t xml:space="preserve"> </w:t>
            </w:r>
            <w:r>
              <w:t xml:space="preserve">— the freshest martyr memory in the project’s world-set; the family-relic thread may be added with its source named</w:t>
            </w:r>
          </w:p>
        </w:tc>
      </w:tr>
      <w:tr>
        <w:tc>
          <w:tcPr/>
          <w:p>
            <w:pPr>
              <w:pStyle w:val="Compact"/>
              <w:jc w:val="left"/>
            </w:pPr>
            <w:r>
              <w:t xml:space="preserve">12</w:t>
            </w:r>
          </w:p>
        </w:tc>
        <w:tc>
          <w:tcPr/>
          <w:p>
            <w:pPr>
              <w:pStyle w:val="Compact"/>
              <w:jc w:val="left"/>
            </w:pPr>
            <w:r>
              <w:t xml:space="preserve">Gregory the Wonderworker: seventeen Christians at his coming, seventeen pagans at his death; the creed received in a night-vision</w:t>
            </w:r>
          </w:p>
        </w:tc>
        <w:tc>
          <w:tcPr/>
          <w:p>
            <w:pPr>
              <w:pStyle w:val="Compact"/>
              <w:jc w:val="left"/>
            </w:pPr>
            <w:r>
              <w:t xml:space="preserve">3</w:t>
            </w:r>
          </w:p>
        </w:tc>
        <w:tc>
          <w:tcPr/>
          <w:p>
            <w:pPr>
              <w:pStyle w:val="Compact"/>
              <w:jc w:val="left"/>
            </w:pPr>
            <w:r>
              <w:t xml:space="preserve">Nyssen’s Life of Gregory Thaumaturgus (century-later hagiography); the creed transmitted therein</w:t>
            </w:r>
          </w:p>
        </w:tc>
        <w:tc>
          <w:tcPr/>
          <w:p>
            <w:pPr>
              <w:pStyle w:val="Compact"/>
              <w:jc w:val="left"/>
            </w:pPr>
            <w:r>
              <w:t xml:space="preserve">Contested/traditional; the founding-legend function is the evidence</w:t>
            </w:r>
          </w:p>
        </w:tc>
        <w:tc>
          <w:tcPr/>
          <w:p>
            <w:pPr>
              <w:pStyle w:val="Compact"/>
              <w:jc w:val="left"/>
            </w:pPr>
            <w:r>
              <w:t xml:space="preserve">The world’s founding legend, told as legend:</w:t>
            </w:r>
            <w:r>
              <w:t xml:space="preserve"> </w:t>
            </w:r>
            <w:r>
              <w:t xml:space="preserve">“</w:t>
            </w:r>
            <w:r>
              <w:t xml:space="preserve">the country tells it so</w:t>
            </w:r>
            <w:r>
              <w:t xml:space="preserve">”</w:t>
            </w:r>
            <w:r>
              <w:t xml:space="preserve"> </w:t>
            </w:r>
            <w:r>
              <w:t xml:space="preserve">— its work is warrant and belonging, not chronicle</w:t>
            </w:r>
          </w:p>
        </w:tc>
      </w:tr>
      <w:tr>
        <w:tc>
          <w:tcPr/>
          <w:p>
            <w:pPr>
              <w:pStyle w:val="Compact"/>
              <w:jc w:val="left"/>
            </w:pPr>
            <w:r>
              <w:t xml:space="preserve">13</w:t>
            </w:r>
          </w:p>
        </w:tc>
        <w:tc>
          <w:tcPr/>
          <w:p>
            <w:pPr>
              <w:pStyle w:val="Compact"/>
              <w:jc w:val="left"/>
            </w:pPr>
            <w:r>
              <w:t xml:space="preserve">Nyssa’s bishop deposed and exiled under Valens; the return with the weather’s turn (c. 376–378)</w:t>
            </w:r>
          </w:p>
        </w:tc>
        <w:tc>
          <w:tcPr/>
          <w:p>
            <w:pPr>
              <w:pStyle w:val="Compact"/>
              <w:jc w:val="left"/>
            </w:pPr>
            <w:r>
              <w:t xml:space="preserve">1</w:t>
            </w:r>
          </w:p>
        </w:tc>
        <w:tc>
          <w:tcPr/>
          <w:p>
            <w:pPr>
              <w:pStyle w:val="Compact"/>
              <w:jc w:val="left"/>
            </w:pPr>
            <w:r>
              <w:t xml:space="preserve">Basil’s letters on the affair (trumped-up fiscal charges, a packed synod — his partisan account); Nyssen’s own note of return</w:t>
            </w:r>
          </w:p>
        </w:tc>
        <w:tc>
          <w:tcPr/>
          <w:p>
            <w:pPr>
              <w:pStyle w:val="Compact"/>
              <w:jc w:val="left"/>
            </w:pPr>
            <w:r>
              <w:t xml:space="preserve">Documented arc; characterization partisan</w:t>
            </w:r>
          </w:p>
        </w:tc>
        <w:tc>
          <w:tcPr/>
          <w:p>
            <w:pPr>
              <w:pStyle w:val="Compact"/>
              <w:jc w:val="left"/>
            </w:pPr>
            <w:r>
              <w:t xml:space="preserve">Exile as this world’s shape of confessorship; the partisan frame named</w:t>
            </w:r>
          </w:p>
        </w:tc>
      </w:tr>
      <w:tr>
        <w:tc>
          <w:tcPr/>
          <w:p>
            <w:pPr>
              <w:pStyle w:val="Compact"/>
              <w:jc w:val="left"/>
            </w:pPr>
            <w:r>
              <w:t xml:space="preserve">14</w:t>
            </w:r>
          </w:p>
        </w:tc>
        <w:tc>
          <w:tcPr/>
          <w:p>
            <w:pPr>
              <w:pStyle w:val="Compact"/>
              <w:jc w:val="left"/>
            </w:pPr>
            <w:r>
              <w:t xml:space="preserve">Julian and the schools (362–363): the emperor educated in Cappadocia forbids Christians to teach the classics; the world’s rage outlives him</w:t>
            </w:r>
          </w:p>
        </w:tc>
        <w:tc>
          <w:tcPr/>
          <w:p>
            <w:pPr>
              <w:pStyle w:val="Compact"/>
              <w:jc w:val="left"/>
            </w:pPr>
            <w:r>
              <w:t xml:space="preserve">1</w:t>
            </w:r>
          </w:p>
        </w:tc>
        <w:tc>
          <w:tcPr/>
          <w:p>
            <w:pPr>
              <w:pStyle w:val="Compact"/>
              <w:jc w:val="left"/>
            </w:pPr>
            <w:r>
              <w:t xml:space="preserve">Julian’s own edict and letters (incl. the Macellum boyhood); Nazianzen’s invectives (posthumous, furious)</w:t>
            </w:r>
          </w:p>
        </w:tc>
        <w:tc>
          <w:tcPr/>
          <w:p>
            <w:pPr>
              <w:pStyle w:val="Compact"/>
              <w:jc w:val="left"/>
            </w:pPr>
            <w:r>
              <w:t xml:space="preserve">Documented (both sides in their own words — rare)</w:t>
            </w:r>
          </w:p>
        </w:tc>
        <w:tc>
          <w:tcPr/>
          <w:p>
            <w:pPr>
              <w:pStyle w:val="Compact"/>
              <w:jc w:val="left"/>
            </w:pPr>
            <w:r>
              <w:t xml:space="preserve">The paideia fight’s story: told with both voices available — the emperor’s claim and the world’s refusal</w:t>
            </w:r>
          </w:p>
        </w:tc>
      </w:tr>
      <w:tr>
        <w:tc>
          <w:tcPr/>
          <w:p>
            <w:pPr>
              <w:pStyle w:val="Compact"/>
              <w:jc w:val="left"/>
            </w:pPr>
            <w:r>
              <w:t xml:space="preserve">15</w:t>
            </w:r>
          </w:p>
        </w:tc>
        <w:tc>
          <w:tcPr/>
          <w:p>
            <w:pPr>
              <w:pStyle w:val="Compact"/>
              <w:jc w:val="left"/>
            </w:pPr>
            <w:r>
              <w:t xml:space="preserve">The money-changers of the capital arguing the Unbegotten: doctrine in the streets, to the preacher’s exasperation</w:t>
            </w:r>
          </w:p>
        </w:tc>
        <w:tc>
          <w:tcPr/>
          <w:p>
            <w:pPr>
              <w:pStyle w:val="Compact"/>
              <w:jc w:val="left"/>
            </w:pPr>
            <w:r>
              <w:t xml:space="preserve">1 (as the preacher’s report)</w:t>
            </w:r>
          </w:p>
        </w:tc>
        <w:tc>
          <w:tcPr/>
          <w:p>
            <w:pPr>
              <w:pStyle w:val="Compact"/>
              <w:jc w:val="left"/>
            </w:pPr>
            <w:r>
              <w:t xml:space="preserve">Nyssen’s sermon-complaint (On the Deity of the Son and Spirit — work level)</w:t>
            </w:r>
          </w:p>
        </w:tc>
        <w:tc>
          <w:tcPr/>
          <w:p>
            <w:pPr>
              <w:pStyle w:val="Compact"/>
              <w:jc w:val="left"/>
            </w:pPr>
            <w:r>
              <w:t xml:space="preserve">Documented as his rhetorical report; its literal social accuracy is rhetoric-flagged</w:t>
            </w:r>
          </w:p>
        </w:tc>
        <w:tc>
          <w:tcPr/>
          <w:p>
            <w:pPr>
              <w:pStyle w:val="Compact"/>
              <w:jc w:val="left"/>
            </w:pPr>
            <w:r>
              <w:t xml:space="preserve">Color for how far the argument reached; told as the preacher’s own exasperated picture, not census data</w:t>
            </w:r>
          </w:p>
        </w:tc>
      </w:tr>
      <w:tr>
        <w:tc>
          <w:tcPr/>
          <w:p>
            <w:pPr>
              <w:pStyle w:val="Compact"/>
              <w:jc w:val="left"/>
            </w:pPr>
            <w:r>
              <w:t xml:space="preserve">16</w:t>
            </w:r>
          </w:p>
        </w:tc>
        <w:tc>
          <w:tcPr/>
          <w:p>
            <w:pPr>
              <w:pStyle w:val="Compact"/>
              <w:jc w:val="left"/>
            </w:pPr>
            <w:r>
              <w:t xml:space="preserve">The preacher against the slave-market:</w:t>
            </w:r>
            <w:r>
              <w:t xml:space="preserve"> </w:t>
            </w:r>
            <w:r>
              <w:t xml:space="preserve">“</w:t>
            </w:r>
            <w:r>
              <w:t xml:space="preserve">who can buy the image of God?</w:t>
            </w:r>
            <w:r>
              <w:t xml:space="preserve">”</w:t>
            </w:r>
            <w:r>
              <w:t xml:space="preserve"> </w:t>
            </w:r>
            <w:r>
              <w:t xml:space="preserve">(Nyssen on Ecclesiastes)</w:t>
            </w:r>
          </w:p>
        </w:tc>
        <w:tc>
          <w:tcPr/>
          <w:p>
            <w:pPr>
              <w:pStyle w:val="Compact"/>
              <w:jc w:val="left"/>
            </w:pPr>
            <w:r>
              <w:t xml:space="preserve">1 (as textual event)</w:t>
            </w:r>
          </w:p>
        </w:tc>
        <w:tc>
          <w:tcPr/>
          <w:p>
            <w:pPr>
              <w:pStyle w:val="Compact"/>
              <w:jc w:val="left"/>
            </w:pPr>
            <w:r>
              <w:t xml:space="preserve">The fourth homily on Ecclesiastes</w:t>
            </w:r>
          </w:p>
        </w:tc>
        <w:tc>
          <w:tcPr/>
          <w:p>
            <w:pPr>
              <w:pStyle w:val="Compact"/>
              <w:jc w:val="left"/>
            </w:pPr>
            <w:r>
              <w:t xml:space="preserve">Documented text;</w:t>
            </w:r>
            <w:r>
              <w:t xml:space="preserve"> </w:t>
            </w:r>
            <w:r>
              <w:rPr>
                <w:bCs/>
                <w:b/>
              </w:rPr>
              <w:t xml:space="preserve">no documented in-world reception</w:t>
            </w:r>
            <w:r>
              <w:t xml:space="preserve">; an outlier protest, not the world’s practice (Critic Finding 5 constraint)</w:t>
            </w:r>
          </w:p>
        </w:tc>
        <w:tc>
          <w:tcPr/>
          <w:p>
            <w:pPr>
              <w:pStyle w:val="Compact"/>
              <w:jc w:val="left"/>
            </w:pPr>
            <w:r>
              <w:t xml:space="preserve">May be told as what one teacher dared say aloud — never as the world’s self-image; the world kept slaves and the Rules counseled return; both facts travel together or not at all</w:t>
            </w:r>
          </w:p>
        </w:tc>
      </w:tr>
      <w:tr>
        <w:tc>
          <w:tcPr/>
          <w:p>
            <w:pPr>
              <w:pStyle w:val="Compact"/>
              <w:jc w:val="left"/>
            </w:pPr>
            <w:r>
              <w:t xml:space="preserve">17</w:t>
            </w:r>
          </w:p>
        </w:tc>
        <w:tc>
          <w:tcPr/>
          <w:p>
            <w:pPr>
              <w:pStyle w:val="Compact"/>
              <w:jc w:val="left"/>
            </w:pPr>
            <w:r>
              <w:rPr>
                <w:bCs/>
                <w:b/>
              </w:rPr>
              <w:t xml:space="preserve">[Tier 4 — composite]</w:t>
            </w:r>
            <w:r>
              <w:t xml:space="preserve"> </w:t>
            </w:r>
            <w:r>
              <w:t xml:space="preserve">A day in a brotherhood of the Iris valley: the hours, the work, the common table, the guest at the door</w:t>
            </w:r>
          </w:p>
        </w:tc>
        <w:tc>
          <w:tcPr/>
          <w:p>
            <w:pPr>
              <w:pStyle w:val="Compact"/>
              <w:jc w:val="left"/>
            </w:pPr>
            <w:r>
              <w:t xml:space="preserve">4</w:t>
            </w:r>
          </w:p>
        </w:tc>
        <w:tc>
          <w:tcPr/>
          <w:p>
            <w:pPr>
              <w:pStyle w:val="Compact"/>
              <w:jc w:val="left"/>
            </w:pPr>
            <w:r>
              <w:t xml:space="preserve">Element sources: the ordered day of prayer/psalmody/work (Basil’s early letter on the Pontus retreat; the Asketikon’s hours and labor provisions); obedience and the proestōs (Longer Rules); common goods (Rules); the guest-door and service norms (Rules’ hospitality provisions; the poorhouse complex’s staffing pattern); the embedded community-questions (Shorter Rules) for texture of live dispute</w:t>
            </w:r>
          </w:p>
        </w:tc>
        <w:tc>
          <w:tcPr/>
          <w:p>
            <w:pPr>
              <w:pStyle w:val="Compact"/>
              <w:jc w:val="left"/>
            </w:pPr>
            <w:r>
              <w:t xml:space="preserve">Inferential/Thin as narrative, by rule</w:t>
            </w:r>
          </w:p>
        </w:tc>
        <w:tc>
          <w:tcPr/>
          <w:p>
            <w:pPr>
              <w:pStyle w:val="Compact"/>
              <w:jc w:val="left"/>
            </w:pPr>
            <w:r>
              <w:t xml:space="preserve">“</w:t>
            </w:r>
            <w:r>
              <w:t xml:space="preserve">This is how it would have been…</w:t>
            </w:r>
            <w:r>
              <w:t xml:space="preserve">”</w:t>
            </w:r>
            <w:r>
              <w:t xml:space="preserve"> </w:t>
            </w:r>
            <w:r>
              <w:t xml:space="preserve">— explicitly reconstruction; every element source-listed here; legislation-versus-lived-life caveat spoken (we know the rule, not the day’s compliance)</w:t>
            </w:r>
          </w:p>
        </w:tc>
      </w:tr>
      <w:tr>
        <w:tc>
          <w:tcPr/>
          <w:p>
            <w:pPr>
              <w:pStyle w:val="Compact"/>
              <w:jc w:val="left"/>
            </w:pPr>
            <w:r>
              <w:t xml:space="preserve">18</w:t>
            </w:r>
          </w:p>
        </w:tc>
        <w:tc>
          <w:tcPr/>
          <w:p>
            <w:pPr>
              <w:pStyle w:val="Compact"/>
              <w:jc w:val="left"/>
            </w:pPr>
            <w:r>
              <w:rPr>
                <w:bCs/>
                <w:b/>
              </w:rPr>
              <w:t xml:space="preserve">[Tier 4 — composite]</w:t>
            </w:r>
            <w:r>
              <w:t xml:space="preserve"> </w:t>
            </w:r>
            <w:r>
              <w:t xml:space="preserve">A panegyris at a rural martyr-shrine: the vigil, the passion retold, the crowd, the stalls, the preacher working against the noise</w:t>
            </w:r>
          </w:p>
        </w:tc>
        <w:tc>
          <w:tcPr/>
          <w:p>
            <w:pPr>
              <w:pStyle w:val="Compact"/>
              <w:jc w:val="left"/>
            </w:pPr>
            <w:r>
              <w:t xml:space="preserve">4</w:t>
            </w:r>
          </w:p>
        </w:tc>
        <w:tc>
          <w:tcPr/>
          <w:p>
            <w:pPr>
              <w:pStyle w:val="Compact"/>
              <w:jc w:val="left"/>
            </w:pPr>
            <w:r>
              <w:t xml:space="preserve">Element sources: festal homilies at the shrines (Basil on the Forty, on Gordius; Nyssen on Theodore — work level); preachers’ crowd-and-market asides (the homilies’ own internal evidence); the calendar pattern (multiple festal texts); shrine-and-relic setting (Doc_02 §4’s text-attested institutions)</w:t>
            </w:r>
          </w:p>
        </w:tc>
        <w:tc>
          <w:tcPr/>
          <w:p>
            <w:pPr>
              <w:pStyle w:val="Compact"/>
              <w:jc w:val="left"/>
            </w:pPr>
            <w:r>
              <w:t xml:space="preserve">Inferential/Thin as narrative, by rule</w:t>
            </w:r>
          </w:p>
        </w:tc>
        <w:tc>
          <w:tcPr/>
          <w:p>
            <w:pPr>
              <w:pStyle w:val="Compact"/>
              <w:jc w:val="left"/>
            </w:pPr>
            <w:r>
              <w:t xml:space="preserve">Reconstruction register, as above</w:t>
            </w:r>
          </w:p>
        </w:tc>
      </w:tr>
      <w:tr>
        <w:tc>
          <w:tcPr/>
          <w:p>
            <w:pPr>
              <w:pStyle w:val="Compact"/>
              <w:jc w:val="left"/>
            </w:pPr>
            <w:r>
              <w:t xml:space="preserve">19</w:t>
            </w:r>
          </w:p>
        </w:tc>
        <w:tc>
          <w:tcPr/>
          <w:p>
            <w:pPr>
              <w:pStyle w:val="Compact"/>
              <w:jc w:val="left"/>
            </w:pPr>
            <w:r>
              <w:rPr>
                <w:bCs/>
                <w:b/>
              </w:rPr>
              <w:t xml:space="preserve">[Tier 4 — composite]</w:t>
            </w:r>
            <w:r>
              <w:t xml:space="preserve"> </w:t>
            </w:r>
            <w:r>
              <w:t xml:space="preserve">A later famine month at the poorhouse-hospital complex outside Caesarea, after its founding (necessarily after 370, when Basil held Caesarea — though the complex’s own founding date is not itself attested; the operative bound is that the complex existed, not that 370 itself is that date): the guest-house and infirmary crowded, ascetics nursing the sick and the leper alongside the traveler, the steward weighing out relief, preaching against hoarding in the vocabulary the founder’s own famine homilies established</w:t>
            </w:r>
          </w:p>
        </w:tc>
        <w:tc>
          <w:tcPr/>
          <w:p>
            <w:pPr>
              <w:pStyle w:val="Compact"/>
              <w:jc w:val="left"/>
            </w:pPr>
            <w:r>
              <w:t xml:space="preserve">4</w:t>
            </w:r>
          </w:p>
        </w:tc>
        <w:tc>
          <w:tcPr/>
          <w:p>
            <w:pPr>
              <w:pStyle w:val="Compact"/>
              <w:jc w:val="left"/>
            </w:pPr>
            <w:r>
              <w:t xml:space="preserve">Element sources:</w:t>
            </w:r>
            <w:r>
              <w:t xml:space="preserve"> </w:t>
            </w:r>
            <w:r>
              <w:rPr>
                <w:bCs/>
                <w:b/>
              </w:rPr>
              <w:t xml:space="preserve">the complex’s own founding preaching</w:t>
            </w:r>
            <w:r>
              <w:t xml:space="preserve"> </w:t>
            </w:r>
            <w:r>
              <w:t xml:space="preserve">(Basil’s homilies on famine and drought, on the rich fool’s barns, against usury — Doc_02 §1.1, §4) supplies the theology and vocabulary reused here, but that preaching itself belongs to the famine of c. 368/9,</w:t>
            </w:r>
            <w:r>
              <w:t xml:space="preserve"> </w:t>
            </w:r>
            <w:r>
              <w:rPr>
                <w:bCs/>
                <w:b/>
              </w:rPr>
              <w:t xml:space="preserve">which predates the complex and Basil’s own episcopate (370), per Doc_02 §1.1</w:t>
            </w:r>
            <w:r>
              <w:t xml:space="preserve"> </w:t>
            </w:r>
            <w:r>
              <w:t xml:space="preserve">— so this entry is deliberately set at a</w:t>
            </w:r>
            <w:r>
              <w:t xml:space="preserve"> </w:t>
            </w:r>
            <w:r>
              <w:rPr>
                <w:iCs/>
                <w:i/>
              </w:rPr>
              <w:t xml:space="preserve">later</w:t>
            </w:r>
            <w:r>
              <w:t xml:space="preserve">, unattested famine, after the complex existed, not a re-narration of 368/9 with the complex added in; the poorhouse-hospital complex’s Documented existence, staffing by ascetics, and negotiation with governors (Basil’s own letters; Nazianzen’s Or. 43 calling it</w:t>
            </w:r>
            <w:r>
              <w:t xml:space="preserve"> </w:t>
            </w:r>
            <w:r>
              <w:t xml:space="preserve">“</w:t>
            </w:r>
            <w:r>
              <w:t xml:space="preserve">the new city</w:t>
            </w:r>
            <w:r>
              <w:t xml:space="preserve">”</w:t>
            </w:r>
            <w:r>
              <w:t xml:space="preserve"> </w:t>
            </w:r>
            <w:r>
              <w:t xml:space="preserve">— Doc_02 §2, §4, Doc_05 §5;</w:t>
            </w:r>
            <w:r>
              <w:t xml:space="preserve"> </w:t>
            </w:r>
            <w:r>
              <w:rPr>
                <w:bCs/>
                <w:b/>
              </w:rPr>
              <w:t xml:space="preserve">not</w:t>
            </w:r>
            <w:r>
              <w:rPr>
                <w:bCs/>
                <w:b/>
              </w:rPr>
              <w:t xml:space="preserve"> </w:t>
            </w:r>
            <w:r>
              <w:rPr>
                <w:bCs/>
                <w:b/>
              </w:rPr>
              <w:t xml:space="preserve">“</w:t>
            </w:r>
            <w:r>
              <w:rPr>
                <w:bCs/>
                <w:b/>
              </w:rPr>
              <w:t xml:space="preserve">the Basileias,</w:t>
            </w:r>
            <w:r>
              <w:rPr>
                <w:bCs/>
                <w:b/>
              </w:rPr>
              <w:t xml:space="preserve">”</w:t>
            </w:r>
            <w:r>
              <w:rPr>
                <w:bCs/>
                <w:b/>
              </w:rPr>
              <w:t xml:space="preserve"> </w:t>
            </w:r>
            <w:r>
              <w:rPr>
                <w:bCs/>
                <w:b/>
              </w:rPr>
              <w:t xml:space="preserve">per Doc_02 §2</w:t>
            </w:r>
            <w:r>
              <w:t xml:space="preserve">); the theological ground, carried at work-level, not a verified direct quotation (</w:t>
            </w:r>
            <w:r>
              <w:t xml:space="preserve">“</w:t>
            </w:r>
            <w:r>
              <w:t xml:space="preserve">the bread you keep belongs to the hungry</w:t>
            </w:r>
            <w:r>
              <w:t xml:space="preserve">”</w:t>
            </w:r>
            <w:r>
              <w:t xml:space="preserve"> </w:t>
            </w:r>
            <w:r>
              <w:t xml:space="preserve">— Doc_05 §5); the leper as philanthrōpia’s test (Nazianzen’s</w:t>
            </w:r>
            <w:r>
              <w:t xml:space="preserve"> </w:t>
            </w:r>
            <w:r>
              <w:rPr>
                <w:iCs/>
                <w:i/>
              </w:rPr>
              <w:t xml:space="preserve">On the Love of the Poor</w:t>
            </w:r>
            <w:r>
              <w:t xml:space="preserve">, Oration 14 — Doc_02 §1.2; Nyssen’s own poverty preaching — Doc_02 §1.3; both named together at Doc_05 §5); pleonexia as the vice the famine homilies anatomize (Doc_03 Cluster 3, Doc_06 §24); the granary-door imagery (story #1 above; Doc_05 §4’s own inhabited rendering); the steward as office and metaphor (</w:t>
            </w:r>
            <w:r>
              <w:rPr>
                <w:iCs/>
                <w:i/>
              </w:rPr>
              <w:t xml:space="preserve">oikonomos</w:t>
            </w:r>
            <w:r>
              <w:t xml:space="preserve"> </w:t>
            </w:r>
            <w:r>
              <w:t xml:space="preserve">— Doc_03 Cluster 5, Doc_06 §38)</w:t>
            </w:r>
          </w:p>
        </w:tc>
        <w:tc>
          <w:tcPr/>
          <w:p>
            <w:pPr>
              <w:pStyle w:val="Compact"/>
              <w:jc w:val="left"/>
            </w:pPr>
            <w:r>
              <w:t xml:space="preserve">Inferential/Thin as narrative, by rule — doubly so here: no later famine is itself attested, only the recurring subsistence risk this plateau’s own ecology carries (Doc_02 §4’s</w:t>
            </w:r>
            <w:r>
              <w:t xml:space="preserve"> </w:t>
            </w:r>
            <w:r>
              <w:t xml:space="preserve">“</w:t>
            </w:r>
            <w:r>
              <w:t xml:space="preserve">recurrent subsistence crisis</w:t>
            </w:r>
            <w:r>
              <w:t xml:space="preserve">”</w:t>
            </w:r>
            <w:r>
              <w:t xml:space="preserve">) and an institution built to answer it</w:t>
            </w:r>
          </w:p>
        </w:tc>
        <w:tc>
          <w:tcPr/>
          <w:p>
            <w:pPr>
              <w:pStyle w:val="Compact"/>
              <w:jc w:val="left"/>
            </w:pPr>
            <w:r>
              <w:t xml:space="preserve">“</w:t>
            </w:r>
            <w:r>
              <w:t xml:space="preserve">This is how a later crisis would plausibly have found this institution, once it existed…</w:t>
            </w:r>
            <w:r>
              <w:t xml:space="preserve">”</w:t>
            </w:r>
            <w:r>
              <w:t xml:space="preserve"> </w:t>
            </w:r>
            <w:r>
              <w:t xml:space="preserve">— explicitly reconstruction, and explicitly not the 368/9 famine itself, which the complex did not yet exist to answer; every element source-listed here.</w:t>
            </w:r>
            <w:r>
              <w:t xml:space="preserve"> </w:t>
            </w:r>
            <w:r>
              <w:rPr>
                <w:bCs/>
                <w:b/>
              </w:rPr>
              <w:t xml:space="preserve">Documented only from the founder’s and encomiast’s side</w:t>
            </w:r>
            <w:r>
              <w:t xml:space="preserve"> </w:t>
            </w:r>
            <w:r>
              <w:t xml:space="preserve">(this document’s own Absent Stories list:</w:t>
            </w:r>
            <w:r>
              <w:t xml:space="preserve"> </w:t>
            </w:r>
            <w:r>
              <w:t xml:space="preserve">“</w:t>
            </w:r>
            <w:r>
              <w:t xml:space="preserve">the poorhouse-hospital complex from a patient’s cot</w:t>
            </w:r>
            <w:r>
              <w:t xml:space="preserve">”</w:t>
            </w:r>
            <w:r>
              <w:t xml:space="preserve">), a limit this entry inherits and does not escape by being set later.</w:t>
            </w:r>
            <w:r>
              <w:t xml:space="preserve"> </w:t>
            </w:r>
            <w:r>
              <w:rPr>
                <w:bCs/>
                <w:b/>
              </w:rPr>
              <w:t xml:space="preserve">Provenance note:</w:t>
            </w:r>
            <w:r>
              <w:t xml:space="preserve"> </w:t>
            </w:r>
            <w:r>
              <w:t xml:space="preserve">Doc_02 §8 named a</w:t>
            </w:r>
            <w:r>
              <w:t xml:space="preserve"> </w:t>
            </w:r>
            <w:r>
              <w:t xml:space="preserve">“</w:t>
            </w:r>
            <w:r>
              <w:t xml:space="preserve">famine month at the poorhouse complex</w:t>
            </w:r>
            <w:r>
              <w:t xml:space="preserve">”</w:t>
            </w:r>
            <w:r>
              <w:t xml:space="preserve"> </w:t>
            </w:r>
            <w:r>
              <w:t xml:space="preserve">as a third Tier 4 candidate alongside #17 and #18; supplied here, set at a later famine rather than 368/9 to avoid the same complex-predates-episcopate conflict named above.</w:t>
            </w:r>
          </w:p>
        </w:tc>
      </w:tr>
    </w:tbl>
    <w:bookmarkEnd w:id="20"/>
    <w:bookmarkStart w:id="21" w:name="absent-stories-named-as-deliverable"/>
    <w:p>
      <w:pPr>
        <w:pStyle w:val="Heading2"/>
      </w:pPr>
      <w:r>
        <w:t xml:space="preserve">Absent Stories (named as deliverable)</w:t>
      </w:r>
    </w:p>
    <w:p>
      <w:pPr>
        <w:numPr>
          <w:ilvl w:val="0"/>
          <w:numId w:val="1001"/>
        </w:numPr>
        <w:pStyle w:val="Compact"/>
      </w:pPr>
      <w:r>
        <w:rPr>
          <w:bCs/>
          <w:b/>
        </w:rPr>
        <w:t xml:space="preserve">No story can be told from inside the Homoian or Pneumatomachian congregations of the region</w:t>
      </w:r>
      <w:r>
        <w:t xml:space="preserve"> </w:t>
      </w:r>
      <w:r>
        <w:t xml:space="preserve">— their decades of worship in the same towns are unrecoverable except as their opponents’ summaries. The Representative’s honest register:</w:t>
      </w:r>
      <w:r>
        <w:t xml:space="preserve"> </w:t>
      </w:r>
      <w:r>
        <w:t xml:space="preserve">“</w:t>
      </w:r>
      <w:r>
        <w:t xml:space="preserve">they read the same Scriptures; what their prayers held, God knows.</w:t>
      </w:r>
      <w:r>
        <w:t xml:space="preserve">”</w:t>
      </w:r>
    </w:p>
    <w:p>
      <w:pPr>
        <w:numPr>
          <w:ilvl w:val="0"/>
          <w:numId w:val="1001"/>
        </w:numPr>
        <w:pStyle w:val="Compact"/>
      </w:pPr>
      <w:r>
        <w:rPr>
          <w:bCs/>
          <w:b/>
        </w:rPr>
        <w:t xml:space="preserve">No first-person story of an ordinary brother or sister of the communities</w:t>
      </w:r>
      <w:r>
        <w:t xml:space="preserve"> </w:t>
      </w:r>
      <w:r>
        <w:t xml:space="preserve">exists — the nearest traces are the questions embedded in the Rules, which may be voiced only as what was asked, never as a person’s telling.</w:t>
      </w:r>
    </w:p>
    <w:p>
      <w:pPr>
        <w:numPr>
          <w:ilvl w:val="0"/>
          <w:numId w:val="1001"/>
        </w:numPr>
        <w:pStyle w:val="Compact"/>
      </w:pPr>
      <w:r>
        <w:rPr>
          <w:bCs/>
          <w:b/>
        </w:rPr>
        <w:t xml:space="preserve">No story of the village or the non-Greek-speaking faithful in their own words</w:t>
      </w:r>
      <w:r>
        <w:t xml:space="preserve">; the canonical letters show what their discipline processed, not what they said.</w:t>
      </w:r>
    </w:p>
    <w:p>
      <w:pPr>
        <w:numPr>
          <w:ilvl w:val="0"/>
          <w:numId w:val="1001"/>
        </w:numPr>
        <w:pStyle w:val="Compact"/>
      </w:pPr>
      <w:r>
        <w:rPr>
          <w:bCs/>
          <w:b/>
        </w:rPr>
        <w:t xml:space="preserve">Macrina unmediated does not exist.</w:t>
      </w:r>
      <w:r>
        <w:t xml:space="preserve"> </w:t>
      </w:r>
      <w:r>
        <w:t xml:space="preserve">Every Macrina-story is a Gregory-text; the inventory carries her with the frame named (entries 6–7), and the Facilitator carries the absence (Article 20).</w:t>
      </w:r>
    </w:p>
    <w:p>
      <w:pPr>
        <w:numPr>
          <w:ilvl w:val="0"/>
          <w:numId w:val="1001"/>
        </w:numPr>
        <w:pStyle w:val="Compact"/>
      </w:pPr>
      <w:r>
        <w:rPr>
          <w:bCs/>
          <w:b/>
        </w:rPr>
        <w:t xml:space="preserve">Eustathius’ side of the rupture</w:t>
      </w:r>
      <w:r>
        <w:t xml:space="preserve"> </w:t>
      </w:r>
      <w:r>
        <w:t xml:space="preserve">— the world’s ascetic father as he saw himself — is not tellable; only the wound as Basil recorded it.</w:t>
      </w:r>
    </w:p>
    <w:p>
      <w:pPr>
        <w:numPr>
          <w:ilvl w:val="0"/>
          <w:numId w:val="1001"/>
        </w:numPr>
        <w:pStyle w:val="Compact"/>
      </w:pPr>
      <w:r>
        <w:rPr>
          <w:bCs/>
          <w:b/>
        </w:rPr>
        <w:t xml:space="preserve">The poorhouse-hospital complex from a patient’s cot</w:t>
      </w:r>
      <w:r>
        <w:t xml:space="preserve"> </w:t>
      </w:r>
      <w:r>
        <w:t xml:space="preserve">— documented from the founder’s and encomiast’s side only. (Not</w:t>
      </w:r>
      <w:r>
        <w:t xml:space="preserve"> </w:t>
      </w:r>
      <w:r>
        <w:t xml:space="preserve">“</w:t>
      </w:r>
      <w:r>
        <w:t xml:space="preserve">the Basileias</w:t>
      </w:r>
      <w:r>
        <w:t xml:space="preserve">”</w:t>
      </w:r>
      <w:r>
        <w:t xml:space="preserve"> </w:t>
      </w:r>
      <w:r>
        <w:t xml:space="preserve">— a later name, Sozomen and after, not this world’s own word for it, per Doc_02 §2’s correction; this document previously used it, corrected here.)</w:t>
      </w:r>
    </w:p>
    <w:bookmarkEnd w:id="21"/>
    <w:bookmarkStart w:id="22" w:name="validation-cross-checks-step-9"/>
    <w:p>
      <w:pPr>
        <w:pStyle w:val="Heading2"/>
      </w:pPr>
      <w:r>
        <w:t xml:space="preserve">Validation cross-checks (Step 9)</w:t>
      </w:r>
    </w:p>
    <w:p>
      <w:pPr>
        <w:pStyle w:val="FirstParagraph"/>
      </w:pPr>
      <w:r>
        <w:t xml:space="preserve">Every story used anywhere in Doc_01–Doc_08 appears in this inventory (checked: famine, doxology occasion, Valens/Modestus [split], Sasima, Athens, Macrina deathbed, Basil’s funeral, Constantinople mission, the Forty, Thaumaturgus legend, Nyssa’s exile, Julian/schools, money-changers, the anti-slaveholding homily, Naucratius, the retreat-day elements inside #17, the panegyris elements inside #18, the famine-month elements inside #19). No Tier 5 present anywhere. Tier/confidence cross-walk conforms. Critic Finding 5 implemented at #16; Finding 6 at #6–7 and the absence list; Finding 7 at #4. The Valens split (#3) parallels the Early Latin Theodosius split on its own evidentiary merits (encomium-versus-record), not by template echo — the underlying genre problem is the same and the treatment is the standard one.</w:t>
      </w:r>
      <w:r>
        <w:t xml:space="preserve"> </w:t>
      </w:r>
      <w:r>
        <w:rPr>
          <w:bCs/>
          <w:b/>
        </w:rPr>
        <w:t xml:space="preserve">Light-fix pass note (2026-08-31):</w:t>
      </w:r>
      <w:r>
        <w:t xml:space="preserve"> </w:t>
      </w:r>
      <w:r>
        <w:t xml:space="preserve">entry #19 (the famine-month Tier 4 composite) is newly added — Doc_02 §8 had named it as a third Tier 4 candidate that an earlier build dropped without note. Its scene is deliberately set at a later, explicitly unattested famine, after the poorhouse complex existed, reusing the founder’s own preaching vocabulary rather than narrating his pre-episcopate famine with an institution present that wasn’t there for it — setting the scene at the documented 368/9 famine, with the complex already present, would blur Basil’s famine patronage (which predates his 370 episcopate and the complex that followed it, Doc_02 §1.1) into the later institution. The entry’s Tier-4 construction follows the same discipline already used at #17/#18: every element is separately attested, the reused 368/9 vocabulary is declared as a source rather than the setting, and the entry’s own</w:t>
      </w:r>
      <w:r>
        <w:t xml:space="preserve"> </w:t>
      </w:r>
      <w:r>
        <w:t xml:space="preserve">“</w:t>
      </w:r>
      <w:r>
        <w:t xml:space="preserve">Inferential/Thin, doubly so</w:t>
      </w:r>
      <w:r>
        <w:t xml:space="preserve">”</w:t>
      </w:r>
      <w:r>
        <w:t xml:space="preserve"> </w:t>
      </w:r>
      <w:r>
        <w:t xml:space="preserve">flag correctly discloses that no later famine is itself attested. Its dating states the 370 bound (once Basil held Caesarea) and the complex’s-existence bound separately, since the complex’s own founding date is not itself attested. Entry #3’s tier notation reads plain Tier 1, with the genre caution in the Confidence column — cosmetic, not a reclassification.</w:t>
      </w:r>
    </w:p>
    <w:p>
      <w:pPr>
        <w:pStyle w:val="BodyText"/>
      </w:pPr>
      <w:r>
        <w:rPr>
          <w:iCs/>
          <w:i/>
        </w:rPr>
        <w:t xml:space="preserve">No Representative content appears in this document.</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2026-09-01T23:58:21Z</dcterms:created>
  <dcterms:modified xsi:type="dcterms:W3CDTF">2026-09-01T23:58:21Z</dcterms:modified>
</cp:coreProperties>
</file>

<file path=docProps/custom.xml><?xml version="1.0" encoding="utf-8"?>
<Properties xmlns="http://schemas.openxmlformats.org/officeDocument/2006/custom-properties" xmlns:vt="http://schemas.openxmlformats.org/officeDocument/2006/docPropsVTypes"/>
</file>