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
      </w:pPr>
      <w:r>
        <w:t xml:space="preserve">Church in Conversation</w:t>
      </w:r>
    </w:p>
    <w:p>
      <w:pPr>
        <w:spacing w:after="40"/>
      </w:pPr>
      <w:r>
        <w:rPr>
          <w:b/>
          <w:bCs/>
          <w:sz w:val="28"/>
          <w:szCs w:val="28"/>
        </w:rPr>
        <w:t xml:space="preserve">Org &amp; Funding — Bridge Memo</w:t>
      </w:r>
    </w:p>
    <w:p>
      <w:pPr>
        <w:spacing w:after="240"/>
      </w:pPr>
      <w:r>
        <w:rPr>
          <w:i/>
          <w:iCs/>
          <w:color w:val="666666"/>
        </w:rPr>
        <w:t xml:space="preserve">DRAFT v0.1 — for Mark's reaction, not yet final  ·  July 8, 2026</w:t>
      </w:r>
    </w:p>
    <w:p>
      <w:r>
        <w:rPr>
          <w:b/>
        </w:rPr>
        <w:t>SUPERSEDED 2026-07-21 — this memo's own analysis and recommendation ("Nonprofit is where this ends up") were superseded by a later, deeper research pass that reached a different final decision: Faithways Studio, Inc., a Colorado Public Benefit Corporation, not a nonprofit. See Ministry/Organization/CiC_Nonprofit_Formation_Decision_Log.md (2026-07-21, final entry) for the actual decision and reasoning. Kept in place as the historical analysis that led there, not current guidance.</w:t>
      </w:r>
    </w:p>
    <w:p>
      <w:pPr>
        <w:spacing w:after="160"/>
      </w:pPr>
      <w:r>
        <w:t xml:space="preserve">This memo answers three questions the scoping document raised and the project's own materials make newly concrete: what to do about funding Mark can't keep carrying personally, what legal-structure question is worth researching first without needing to answer it this week, and what the Article 31 external-reviewer requirement actually asks for next. It's deliberately short — a full nonprofit business plan is a later deliverable, not this one.</w:t>
      </w:r>
    </w:p>
    <w:p>
      <w:pPr>
        <w:pBdr>
          <w:bottom w:val="single" w:color="999999" w:sz="6" w:space="1"/>
        </w:pBdr>
        <w:spacing w:after="240" w:before="120"/>
      </w:pPr>
    </w:p>
    <w:p>
      <w:pPr>
        <w:pStyle w:val="Heading1"/>
        <w:spacing w:after="140" w:before="280"/>
      </w:pPr>
      <w:r>
        <w:t xml:space="preserve">1. Bridge funding: start with direct/informal support now; treat fiscal sponsorship as the next step, not the first one</w:t>
      </w:r>
    </w:p>
    <w:p>
      <w:pPr>
        <w:spacing w:after="160"/>
      </w:pPr>
      <w:r>
        <w:rPr>
          <w:b/>
          <w:bCs/>
        </w:rPr>
        <w:t xml:space="preserve">Recommendation: </w:t>
      </w:r>
      <w:r>
        <w:t xml:space="preserve">send the Letter to Friends essentially as it already exists — informal, direct support from people who already trust you and the vision — rather than waiting to stand up a donation page or find a fiscal sponsor first. Begin a fiscal-sponsorship search in parallel, not because this week's need requires it, but because the moment the ask broadens past personal relationships — a public page, a church bulletin, anyone who needs a tax receipt to give what they want to give — you'll want it already lined up.</w:t>
      </w:r>
    </w:p>
    <w:p>
      <w:pPr>
        <w:pStyle w:val="Heading2"/>
        <w:spacing w:after="120" w:before="240"/>
      </w:pPr>
      <w:r>
        <w:t xml:space="preserve">Why this ordering, not another one</w:t>
      </w:r>
    </w:p>
    <w:p>
      <w:pPr>
        <w:pStyle w:val="ListParagraph"/>
        <w:numPr>
          <w:ilvl w:val="0"/>
          <w:numId w:val="1"/>
        </w:numPr>
        <w:spacing w:after="100"/>
      </w:pPr>
      <w:r>
        <w:t xml:space="preserve">What the letter already asks for matches what's true right now. The Letter to Friends is explicit that this "is not a grant pitch," and names modest, real costs — AI build/review, voice tech, hosting. That describes Prototype Alpha/Beta cost, not Phase 1 launch cost. Informal support from people who already know you is sized correctly for where the project actually is.</w:t>
      </w:r>
    </w:p>
    <w:p>
      <w:pPr>
        <w:pStyle w:val="ListParagraph"/>
        <w:numPr>
          <w:ilvl w:val="0"/>
          <w:numId w:val="1"/>
        </w:numPr>
        <w:spacing w:after="100"/>
      </w:pPr>
      <w:r>
        <w:t xml:space="preserve">Every dollar today comes from people, not institutions. Grants and institutional partners want a track record and, per Article 31, validated worlds — you don't have either yet by design, this is Prototype Alpha/Beta. Standing up a more formal giving mechanism before you have anything but personal relationships to draw on solves a problem you don't have yet.</w:t>
      </w:r>
    </w:p>
    <w:p>
      <w:pPr>
        <w:pStyle w:val="ListParagraph"/>
        <w:numPr>
          <w:ilvl w:val="0"/>
          <w:numId w:val="1"/>
        </w:numPr>
        <w:spacing w:after="100"/>
      </w:pPr>
      <w:r>
        <w:t xml:space="preserve">Real tradeoff, named plainly: without a 501(c)(3) or fiscal sponsor, nothing given to you right now is tax-deductible to the giver, and the money is legally yours personally, not an organization's — fine for gifts from friends who trust you, but a real liability, for you and for donors, the moment amounts grow or the circle widens past people who know you directly.</w:t>
      </w:r>
    </w:p>
    <w:p>
      <w:pPr>
        <w:pStyle w:val="ListParagraph"/>
        <w:numPr>
          <w:ilvl w:val="0"/>
          <w:numId w:val="1"/>
        </w:numPr>
        <w:spacing w:after="100"/>
      </w:pPr>
      <w:r>
        <w:t xml:space="preserve">The trigger to move to fiscal sponsorship isn't a calendar date, it's a threshold: the first time you want to ask someone who doesn't already know you personally, or the first time a gift is large enough that tax-deductibility actually matters to the giver's decision. Naming that trigger now means you don't drift past it without noticing.</w:t>
      </w:r>
    </w:p>
    <w:p>
      <w:pPr>
        <w:pStyle w:val="Heading2"/>
        <w:spacing w:after="120" w:before="240"/>
      </w:pPr>
      <w:r>
        <w:t xml:space="preserve">What a fiscal sponsor gets you when the time comes</w:t>
      </w:r>
    </w:p>
    <w:p>
      <w:pPr>
        <w:spacing w:after="160"/>
      </w:pPr>
      <w:r>
        <w:t xml:space="preserve">Immediate tax-deductibility for donors under an existing 501(c)(3)'s umbrella, without filing your own nonprofit paperwork first; funds held and administered separately from your personal finances; typically a fee of 5–10% of funds raised. It takes real weeks — finding a sponsor whose mission fits, being vetted, agreeing terms — not something to start the week you need it.</w:t>
      </w:r>
    </w:p>
    <w:p>
      <w:pPr>
        <w:pStyle w:val="Heading2"/>
        <w:spacing w:after="120" w:before="240"/>
      </w:pPr>
      <w:r>
        <w:t xml:space="preserve">What I did not recommend, and why</w:t>
      </w:r>
    </w:p>
    <w:p>
      <w:pPr>
        <w:spacing w:after="160"/>
      </w:pPr>
      <w:r>
        <w:t xml:space="preserve">A standalone donation page (GoFundMe, a personal Stripe link, etc.) without a sponsor behind it. It formalizes collection but solves none of the tax-deductibility or legal-separation problem informal giving already has — mechanism without the thing that actually matters once amounts grow.</w:t>
      </w:r>
    </w:p>
    <w:p>
      <w:pPr>
        <w:pBdr>
          <w:bottom w:val="single" w:color="999999" w:sz="6" w:space="1"/>
        </w:pBdr>
        <w:spacing w:after="240" w:before="120"/>
      </w:pPr>
    </w:p>
    <w:p>
      <w:pPr>
        <w:pStyle w:val="Heading1"/>
        <w:spacing w:after="140" w:before="280"/>
      </w:pPr>
      <w:r>
        <w:t xml:space="preserve">2. Legal structure: nonprofit is the directional lean; fiscal-sponsorship-first is the practical on-ramp; nothing here needs deciding this month</w:t>
      </w:r>
    </w:p>
    <w:p>
      <w:pPr>
        <w:spacing w:after="160"/>
      </w:pPr>
      <w:r>
        <w:t xml:space="preserve">This is the slower question, and it should stay visibly slower than Section 1 — nothing below blocks the bridge-funding recommendation above.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900"/>
        <w:gridCol w:w="2800"/>
        <w:gridCol w:w="2700"/>
      </w:tblGrid>
      <w:tr>
        <w:tc>
          <w:tcPr>
            <w:tcW w:type="dxa" w:w="1900"/>
            <w:shd w:fill="E8E4DC" w:val="clear"/>
          </w:tcPr>
          <w:p>
            <w:r>
              <w:rPr>
                <w:b/>
                <w:bCs/>
              </w:rPr>
              <w:t xml:space="preserve">Option</w:t>
            </w:r>
          </w:p>
        </w:tc>
        <w:tc>
          <w:tcPr>
            <w:tcW w:type="dxa" w:w="1500"/>
            <w:shd w:fill="E8E4DC" w:val="clear"/>
          </w:tcPr>
          <w:p>
            <w:r>
              <w:rPr>
                <w:b/>
                <w:bCs/>
              </w:rPr>
              <w:t xml:space="preserve">Donor tax-deductibility</w:t>
            </w:r>
          </w:p>
        </w:tc>
        <w:tc>
          <w:tcPr>
            <w:tcW w:type="dxa" w:w="1900"/>
            <w:shd w:fill="E8E4DC" w:val="clear"/>
          </w:tcPr>
          <w:p>
            <w:r>
              <w:rPr>
                <w:b/>
                <w:bCs/>
              </w:rPr>
              <w:t xml:space="preserve">Control</w:t>
            </w:r>
          </w:p>
        </w:tc>
        <w:tc>
          <w:tcPr>
            <w:tcW w:type="dxa" w:w="2800"/>
            <w:shd w:fill="E8E4DC" w:val="clear"/>
          </w:tcPr>
          <w:p>
            <w:r>
              <w:rPr>
                <w:b/>
                <w:bCs/>
              </w:rPr>
              <w:t xml:space="preserve">Formation time/cost</w:t>
            </w:r>
          </w:p>
        </w:tc>
        <w:tc>
          <w:tcPr>
            <w:tcW w:type="dxa" w:w="2700"/>
            <w:shd w:fill="E8E4DC" w:val="clear"/>
          </w:tcPr>
          <w:p>
            <w:r>
              <w:rPr>
                <w:b/>
                <w:bCs/>
              </w:rPr>
              <w:t xml:space="preserve">Grant eligibility</w:t>
            </w:r>
          </w:p>
        </w:tc>
      </w:tr>
      <w:tr>
        <w:tc>
          <w:tcPr>
            <w:tcW w:type="dxa" w:w="1900"/>
          </w:tcPr>
          <w:p>
            <w:r>
              <w:rPr>
                <w:b w:val="false"/>
                <w:bCs w:val="false"/>
              </w:rPr>
              <w:t xml:space="preserve">501(c)(3) nonprofit</w:t>
            </w:r>
          </w:p>
        </w:tc>
        <w:tc>
          <w:tcPr>
            <w:tcW w:type="dxa" w:w="1500"/>
          </w:tcPr>
          <w:p>
            <w:r>
              <w:rPr>
                <w:b w:val="false"/>
                <w:bCs w:val="false"/>
              </w:rPr>
              <w:t xml:space="preserve">Yes</w:t>
            </w:r>
          </w:p>
        </w:tc>
        <w:tc>
          <w:tcPr>
            <w:tcW w:type="dxa" w:w="1900"/>
          </w:tcPr>
          <w:p>
            <w:r>
              <w:rPr>
                <w:b w:val="false"/>
                <w:bCs w:val="false"/>
              </w:rPr>
              <w:t xml:space="preserve">Requires a board — real governance, not just paperwork</w:t>
            </w:r>
          </w:p>
        </w:tc>
        <w:tc>
          <w:tcPr>
            <w:tcW w:type="dxa" w:w="2800"/>
          </w:tcPr>
          <w:p>
            <w:r>
              <w:rPr>
                <w:b w:val="false"/>
                <w:bCs w:val="false"/>
              </w:rPr>
              <w:t xml:space="preserve">Months; state incorporation + IRS 1023/1023-EZ + bylaws; low four figures to several thousand dollars</w:t>
            </w:r>
          </w:p>
        </w:tc>
        <w:tc>
          <w:tcPr>
            <w:tcW w:type="dxa" w:w="2700"/>
          </w:tcPr>
          <w:p>
            <w:r>
              <w:rPr>
                <w:b w:val="false"/>
                <w:bCs w:val="false"/>
              </w:rPr>
              <w:t xml:space="preserve">Yes — matches the funding doc's own Phase 2+ plan</w:t>
            </w:r>
          </w:p>
        </w:tc>
      </w:tr>
      <w:tr>
        <w:tc>
          <w:tcPr>
            <w:tcW w:type="dxa" w:w="1900"/>
          </w:tcPr>
          <w:p>
            <w:r>
              <w:rPr>
                <w:b w:val="false"/>
                <w:bCs w:val="false"/>
              </w:rPr>
              <w:t xml:space="preserve">For-profit (LLC/corp)</w:t>
            </w:r>
          </w:p>
        </w:tc>
        <w:tc>
          <w:tcPr>
            <w:tcW w:type="dxa" w:w="1500"/>
          </w:tcPr>
          <w:p>
            <w:r>
              <w:rPr>
                <w:b w:val="false"/>
                <w:bCs w:val="false"/>
              </w:rPr>
              <w:t xml:space="preserve">No</w:t>
            </w:r>
          </w:p>
        </w:tc>
        <w:tc>
          <w:tcPr>
            <w:tcW w:type="dxa" w:w="1900"/>
          </w:tcPr>
          <w:p>
            <w:r>
              <w:rPr>
                <w:b w:val="false"/>
                <w:bCs w:val="false"/>
              </w:rPr>
              <w:t xml:space="preserve">Full, unilateral</w:t>
            </w:r>
          </w:p>
        </w:tc>
        <w:tc>
          <w:tcPr>
            <w:tcW w:type="dxa" w:w="2800"/>
          </w:tcPr>
          <w:p>
            <w:r>
              <w:rPr>
                <w:b w:val="false"/>
                <w:bCs w:val="false"/>
              </w:rPr>
              <w:t xml:space="preserve">Days to weeks</w:t>
            </w:r>
          </w:p>
        </w:tc>
        <w:tc>
          <w:tcPr>
            <w:tcW w:type="dxa" w:w="2700"/>
          </w:tcPr>
          <w:p>
            <w:r>
              <w:rPr>
                <w:b w:val="false"/>
                <w:bCs w:val="false"/>
              </w:rPr>
              <w:t xml:space="preserve">No — most religious/ed foundations and AI-for-good grants require nonprofit or fiscal-sponsor status</w:t>
            </w:r>
          </w:p>
        </w:tc>
      </w:tr>
      <w:tr>
        <w:tc>
          <w:tcPr>
            <w:tcW w:type="dxa" w:w="1900"/>
          </w:tcPr>
          <w:p>
            <w:r>
              <w:rPr>
                <w:b w:val="false"/>
                <w:bCs w:val="false"/>
              </w:rPr>
              <w:t xml:space="preserve">Hybrid (nonprofit + for-profit arm)</w:t>
            </w:r>
          </w:p>
        </w:tc>
        <w:tc>
          <w:tcPr>
            <w:tcW w:type="dxa" w:w="1500"/>
          </w:tcPr>
          <w:p>
            <w:r>
              <w:rPr>
                <w:b w:val="false"/>
                <w:bCs w:val="false"/>
              </w:rPr>
              <w:t xml:space="preserve">Yes, for the nonprofit side</w:t>
            </w:r>
          </w:p>
        </w:tc>
        <w:tc>
          <w:tcPr>
            <w:tcW w:type="dxa" w:w="1900"/>
          </w:tcPr>
          <w:p>
            <w:r>
              <w:rPr>
                <w:b w:val="false"/>
                <w:bCs w:val="false"/>
              </w:rPr>
              <w:t xml:space="preserve">Split — more moving parts to govern</w:t>
            </w:r>
          </w:p>
        </w:tc>
        <w:tc>
          <w:tcPr>
            <w:tcW w:type="dxa" w:w="2800"/>
          </w:tcPr>
          <w:p>
            <w:r>
              <w:rPr>
                <w:b w:val="false"/>
                <w:bCs w:val="false"/>
              </w:rPr>
              <w:t xml:space="preserve">Real complexity; effectively two entities</w:t>
            </w:r>
          </w:p>
        </w:tc>
        <w:tc>
          <w:tcPr>
            <w:tcW w:type="dxa" w:w="2700"/>
          </w:tcPr>
          <w:p>
            <w:r>
              <w:rPr>
                <w:b w:val="false"/>
                <w:bCs w:val="false"/>
              </w:rPr>
              <w:t xml:space="preserve">Yes, for the nonprofit side</w:t>
            </w:r>
          </w:p>
        </w:tc>
      </w:tr>
      <w:tr>
        <w:tc>
          <w:tcPr>
            <w:tcW w:type="dxa" w:w="1900"/>
          </w:tcPr>
          <w:p>
            <w:r>
              <w:rPr>
                <w:b w:val="false"/>
                <w:bCs w:val="false"/>
              </w:rPr>
              <w:t xml:space="preserve">Fiscal sponsorship first, spin out later</w:t>
            </w:r>
          </w:p>
        </w:tc>
        <w:tc>
          <w:tcPr>
            <w:tcW w:type="dxa" w:w="1500"/>
          </w:tcPr>
          <w:p>
            <w:r>
              <w:rPr>
                <w:b w:val="false"/>
                <w:bCs w:val="false"/>
              </w:rPr>
              <w:t xml:space="preserve">Yes, immediately</w:t>
            </w:r>
          </w:p>
        </w:tc>
        <w:tc>
          <w:tcPr>
            <w:tcW w:type="dxa" w:w="1900"/>
          </w:tcPr>
          <w:p>
            <w:r>
              <w:rPr>
                <w:b w:val="false"/>
                <w:bCs w:val="false"/>
              </w:rPr>
              <w:t xml:space="preserve">Some autonomy traded to the sponsor short-term</w:t>
            </w:r>
          </w:p>
        </w:tc>
        <w:tc>
          <w:tcPr>
            <w:tcW w:type="dxa" w:w="2800"/>
          </w:tcPr>
          <w:p>
            <w:r>
              <w:rPr>
                <w:b w:val="false"/>
                <w:bCs w:val="false"/>
              </w:rPr>
              <w:t xml:space="preserve">Weeks, not months</w:t>
            </w:r>
          </w:p>
        </w:tc>
        <w:tc>
          <w:tcPr>
            <w:tcW w:type="dxa" w:w="2700"/>
          </w:tcPr>
          <w:p>
            <w:r>
              <w:rPr>
                <w:b w:val="false"/>
                <w:bCs w:val="false"/>
              </w:rPr>
              <w:t xml:space="preserve">Sometimes — depends on the sponsor's own grant relationships</w:t>
            </w:r>
          </w:p>
        </w:tc>
      </w:tr>
    </w:tbl>
    <w:p>
      <w:pPr>
        <w:spacing w:after="200"/>
      </w:pPr>
    </w:p>
    <w:p>
      <w:pPr>
        <w:pStyle w:val="Heading2"/>
        <w:spacing w:after="120" w:before="240"/>
      </w:pPr>
      <w:r>
        <w:t xml:space="preserve">My lean, named plainly</w:t>
      </w:r>
    </w:p>
    <w:p>
      <w:pPr>
        <w:spacing w:after="160"/>
      </w:pPr>
      <w:r>
        <w:rPr>
          <w:b/>
          <w:bCs/>
        </w:rPr>
        <w:t xml:space="preserve">Nonprofit is where this ends up, reached through fiscal sponsorship rather than a direct filing. </w:t>
      </w:r>
      <w:r>
        <w:t xml:space="preserve">Two reasons, one mechanical and one closer to the heart of it:</w:t>
      </w:r>
    </w:p>
    <w:p>
      <w:pPr>
        <w:pStyle w:val="ListParagraph"/>
        <w:numPr>
          <w:ilvl w:val="0"/>
          <w:numId w:val="1"/>
        </w:numPr>
        <w:spacing w:after="100"/>
      </w:pPr>
      <w:r>
        <w:t xml:space="preserve">Mechanically: the funding strategy document already assumes donor and grant funding, not earned revenue, through Beta and into Phase 1 ("subscription or donation or both" only appears at Phase 1 launch). A for-profit structure closes off exactly the funding sources the existing plan already depends on for the next two phases. Hybrid is a real option eventually — once there's something to license to institutions — but that's a Phase 2+ problem, not now.</w:t>
      </w:r>
    </w:p>
    <w:p>
      <w:pPr>
        <w:pStyle w:val="ListParagraph"/>
        <w:numPr>
          <w:ilvl w:val="0"/>
          <w:numId w:val="1"/>
        </w:numPr>
        <w:spacing w:after="100"/>
      </w:pPr>
      <w:r>
        <w:t xml:space="preserve">Closer to the heart of it: a for-profit structure would sit oddly against the project's own convictions. Stewardship Over Optimization explicitly rejects evaluating decisions by efficiency alone; Encounter Over Persuasion draws a hard line against anything that looks like selling. A donor-funded nonprofit is the structure that matches what this project already says about itself. A for-profit that has to generate revenue from day one creates pressure in exactly the direction those convictions guard against.</w:t>
      </w:r>
    </w:p>
    <w:p>
      <w:pPr>
        <w:pStyle w:val="Heading2"/>
        <w:spacing w:after="120" w:before="240"/>
      </w:pPr>
      <w:r>
        <w:t xml:space="preserve">The real tension worth naming, not smoothing over</w:t>
      </w:r>
    </w:p>
    <w:p>
      <w:pPr>
        <w:spacing w:after="160"/>
      </w:pPr>
      <w:r>
        <w:t xml:space="preserve">Constitution Article 36 currently treats this as a sole-builder project — you hold unilateral governance. A nonprofit board is a real, permanent trade of some of that control, not a formality. Worth asking directly: is any hesitation here about the structure itself, or about handing formation-integrity decisions to people who didn't build the discipline the way you did? Those are different problems with different fixes — the first is solved by board design (a small, mission-aligned board that defers to you on formation questions); the second isn't really a legal-structure question at all — it's the same question Article 31 already raises about outside accountability, just applied to governance instead of scholarship.</w:t>
      </w:r>
    </w:p>
    <w:p>
      <w:pPr>
        <w:spacing w:after="160"/>
      </w:pPr>
      <w:r>
        <w:t xml:space="preserve">Fiscal sponsorship as the near-term vehicle defers this decision without stalling the funding it's meant to unblock — you get the tax-deductibility benefit of "nonprofit" now, and the board/bylaws/control question waits until you've actually decided you want it, rather than being forced by an urgent funding gap.</w:t>
      </w:r>
    </w:p>
    <w:p>
      <w:pPr>
        <w:pBdr>
          <w:bottom w:val="single" w:color="999999" w:sz="6" w:space="1"/>
        </w:pBdr>
        <w:spacing w:after="240" w:before="120"/>
      </w:pPr>
    </w:p>
    <w:p>
      <w:pPr>
        <w:pStyle w:val="Heading1"/>
        <w:spacing w:after="140" w:before="280"/>
      </w:pPr>
      <w:r>
        <w:t xml:space="preserve">3. External scholarly reviewer (Article 31): the search needs to start deliberately, not wait for an introduction</w:t>
      </w:r>
    </w:p>
    <w:p>
      <w:pPr>
        <w:spacing w:after="160"/>
      </w:pPr>
      <w:r>
        <w:t xml:space="preserve">This isn't optional or someday — the Phase Structure document lists "External scholarly review (Article 31)" as a deferred gate that must pass before Prototype Beta clears, alongside Living Tradition Status confirmation and safety validation. And per Article 35, Section B, every round of AI review the build threads have already produced — including Opus adversarial review — is constitutionally marked "informational only, not an Article 31 substitute." No amount of rigorous AI review, however deep, moves this requirement. Only a real, independent, subject-matter-qualified human does.</w:t>
      </w:r>
    </w:p>
    <w:p>
      <w:pPr>
        <w:spacing w:after="160"/>
      </w:pPr>
      <w:r>
        <w:t xml:space="preserve">It also just became more urgent for a reason outside this workstream: the CO-020 finalization-integrity fix. That detail isn't in front of me in this thread — worth you naming directly what CO-020 surfaced, since it may change how urgently this needs to move.</w:t>
      </w:r>
    </w:p>
    <w:p>
      <w:pPr>
        <w:pStyle w:val="Heading2"/>
        <w:spacing w:after="120" w:before="240"/>
      </w:pPr>
      <w:r>
        <w:t xml:space="preserve">What I need from you</w:t>
      </w:r>
    </w:p>
    <w:p>
      <w:pPr>
        <w:spacing w:after="160"/>
      </w:pPr>
      <w:r>
        <w:t xml:space="preserve">Is there a specific person you already have in mind — someone from your own network, a seminary contact, a scholar who's already seen the Letter to Friends draft (which itself asks friends to introduce you to "a scholar or pastor who ought to see it") — or does this need to become an active, structured search starting now?</w:t>
      </w:r>
    </w:p>
    <w:p>
      <w:pPr>
        <w:pStyle w:val="Heading2"/>
        <w:spacing w:after="120" w:before="240"/>
      </w:pPr>
      <w:r>
        <w:t xml:space="preserve">One thing worth flagging either way</w:t>
      </w:r>
    </w:p>
    <w:p>
      <w:pPr>
        <w:spacing w:after="160"/>
      </w:pPr>
      <w:r>
        <w:t xml:space="preserve">Article 31 requires a reviewer with "recognized scholarly standing in the specific historical or theological subfield the formation world reconstructs, not adjacent or general expertise." With two worlds in parallel construction, that may mean two different reviewers, not one generalist — worth confirming which worlds are far enough along to need a reviewer lined up first.</w:t>
      </w:r>
    </w:p>
    <w:p>
      <w:pPr>
        <w:pStyle w:val="Heading2"/>
        <w:spacing w:after="120" w:before="240"/>
      </w:pPr>
      <w:r>
        <w:t xml:space="preserve">Provisional next step, pending your answer</w:t>
      </w:r>
    </w:p>
    <w:p>
      <w:pPr>
        <w:spacing w:after="160"/>
      </w:pPr>
      <w:r>
        <w:t xml:space="preserve">If no one's already in mind, the next move is a short one-page brief — what Article 31 actually requires, what "qualified" means for each world in build, and what the review would involve — that you can send either to your own network (the same ask already implicit in the Letter to Friends) or to 2–3 target seminary/patristics departments as a backup channel, so the search isn't waiting on an introduction arriving by chance.</w:t>
      </w:r>
    </w:p>
    <w:p>
      <w:pPr>
        <w:pBdr>
          <w:bottom w:val="single" w:color="999999" w:sz="6" w:space="1"/>
        </w:pBdr>
        <w:spacing w:after="240" w:before="120"/>
      </w:pPr>
    </w:p>
    <w:p>
      <w:pPr>
        <w:spacing w:after="160"/>
      </w:pPr>
      <w:r>
        <w:rPr>
          <w:b/>
          <w:bCs/>
        </w:rPr>
        <w:t xml:space="preserve">The one question this memo actually needs from you: </w:t>
      </w:r>
      <w:r>
        <w:t xml:space="preserve">do you already have someone in mind for the Article 31 reviewer, or should this be treated as a cold search starting now — and separately, what did CO-020 actually surface that makes this feel urgent today rather than next month?</w:t>
      </w:r>
    </w:p>
    <w:sectPr>
      <w:pgSz w:w="12240" w:h="15840" w:orient="portrait"/>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2026-07-08T05:21:21.625Z</dcterms:created>
  <dcterms:modified xsi:type="dcterms:W3CDTF">2026-07-08T05:21:21.625Z</dcterms:modified>
</cp:coreProperties>
</file>

<file path=docProps/custom.xml><?xml version="1.0" encoding="utf-8"?>
<Properties xmlns="http://schemas.openxmlformats.org/officeDocument/2006/custom-properties" xmlns:vt="http://schemas.openxmlformats.org/officeDocument/2006/docPropsVTypes"/>
</file>