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Arial" w:cs="Arial" w:eastAsia="Arial" w:hAnsi="Arial"/>
          <w:b/>
          <w:bCs/>
          <w:color w:val="1F3864"/>
          <w:sz w:val="34"/>
          <w:szCs w:val="34"/>
        </w:rPr>
        <w:t xml:space="preserve">The Church in Conversation — Design Brief</w:t>
      </w:r>
    </w:p>
    <w:p>
      <w:pPr>
        <w:spacing w:after="40"/>
        <w:jc w:val="center"/>
      </w:pPr>
      <w:r>
        <w:rPr>
          <w:rFonts w:ascii="Arial" w:cs="Arial" w:eastAsia="Arial" w:hAnsi="Arial"/>
          <w:i/>
          <w:iCs/>
          <w:color w:val="595959"/>
          <w:sz w:val="18"/>
          <w:szCs w:val="18"/>
        </w:rPr>
        <w:t xml:space="preserve">Functional and experiential requirements for the front-end implementation — companion to the full specification set, not a replacement for it</w:t>
      </w:r>
    </w:p>
    <w:p>
      <w:pPr>
        <w:pBdr>
          <w:bottom w:val="single" w:color="1F3864" w:sz="4" w:space="4"/>
        </w:pBdr>
        <w:spacing w:after="160"/>
        <w:jc w:val="center"/>
      </w:pPr>
      <w:r>
        <w:rPr>
          <w:rFonts w:ascii="Arial" w:cs="Arial" w:eastAsia="Arial" w:hAnsi="Arial"/>
          <w:color w:val="8496B0"/>
          <w:sz w:val="15"/>
          <w:szCs w:val="15"/>
        </w:rPr>
        <w:t xml:space="preserve">July 2026 · Two pages by design, to include forward-compatibility requirements — see the Front-End Vision &amp; Phased Plan and Experience Vision documents for full detail</w:t>
      </w:r>
    </w:p>
    <w:p>
      <w:pPr>
        <w:pBdr>
          <w:bottom w:val="single" w:color="8FAADC" w:sz="4" w:space="2"/>
        </w:pBdr>
        <w:spacing w:after="60" w:before="160"/>
      </w:pPr>
      <w:r>
        <w:rPr>
          <w:rFonts w:ascii="Arial" w:cs="Arial" w:eastAsia="Arial" w:hAnsi="Arial"/>
          <w:b/>
          <w:bCs/>
          <w:color w:val="1F3864"/>
          <w:sz w:val="21"/>
          <w:szCs w:val="21"/>
        </w:rPr>
        <w:t xml:space="preserve">System Overview</w:t>
      </w:r>
    </w:p>
    <w:p>
      <w:pPr>
        <w:spacing w:after="100" w:line="250"/>
      </w:pPr>
      <w:r>
        <w:rPr>
          <w:rFonts w:ascii="Arial" w:cs="Arial" w:eastAsia="Arial" w:hAnsi="Arial"/>
          <w:sz w:val="18"/>
          <w:szCs w:val="18"/>
        </w:rPr>
        <w:t xml:space="preserve">The system supports a session (“the Table”) in which a participant interacts with up to three independently configured AI agents (“Representatives”), each constrained to generate output only from within a single historical Christian tradition’s formation ecology. A neutral orchestration layer (“the Facilitator”) manages turn-taking and shared context but does not generate Representative content. This is the entire product surface: there is no separate chat/discussion mode, no default general-purpose AI persona, and no direct, unmediated model access.</w:t>
      </w:r>
    </w:p>
    <w:p>
      <w:pPr>
        <w:pBdr>
          <w:bottom w:val="single" w:color="8FAADC" w:sz="4" w:space="2"/>
        </w:pBdr>
        <w:spacing w:after="60" w:before="160"/>
      </w:pPr>
      <w:r>
        <w:rPr>
          <w:rFonts w:ascii="Arial" w:cs="Arial" w:eastAsia="Arial" w:hAnsi="Arial"/>
          <w:b/>
          <w:bCs/>
          <w:color w:val="1F3864"/>
          <w:sz w:val="21"/>
          <w:szCs w:val="21"/>
        </w:rPr>
        <w:t xml:space="preserve">Design Intent</w:t>
      </w:r>
    </w:p>
    <w:p>
      <w:pPr>
        <w:spacing w:after="100" w:line="250"/>
      </w:pPr>
      <w:r>
        <w:rPr>
          <w:rFonts w:ascii="Arial" w:cs="Arial" w:eastAsia="Arial" w:hAnsi="Arial"/>
          <w:sz w:val="18"/>
          <w:szCs w:val="18"/>
        </w:rPr>
        <w:t xml:space="preserve">Target tone: unhurried pacing, communal framing, non-hierarchical visual composition. Reference model: an Inklings-style gathering (Lewis, Tolkien, and their circle at the Eagle and Child) — not a theological debate or an exegetical argument, but engaging conversation: healthy, deep, insightful, challenging, stretching, resonating (the source of the product name). This should inform pacing, camera behavior, and copy throughout, not visual styling alone.</w:t>
      </w:r>
    </w:p>
    <w:p>
      <w:pPr>
        <w:pBdr>
          <w:bottom w:val="single" w:color="8FAADC" w:sz="4" w:space="2"/>
        </w:pBdr>
        <w:spacing w:after="60" w:before="160"/>
      </w:pPr>
      <w:r>
        <w:rPr>
          <w:rFonts w:ascii="Arial" w:cs="Arial" w:eastAsia="Arial" w:hAnsi="Arial"/>
          <w:b/>
          <w:bCs/>
          <w:color w:val="1F3864"/>
          <w:sz w:val="21"/>
          <w:szCs w:val="21"/>
        </w:rPr>
        <w:t xml:space="preserve">Governing Content Rule</w:t>
      </w:r>
    </w:p>
    <w:p>
      <w:pPr>
        <w:spacing w:after="100" w:line="250"/>
      </w:pPr>
      <w:r>
        <w:rPr>
          <w:rFonts w:ascii="Arial" w:cs="Arial" w:eastAsia="Arial" w:hAnsi="Arial"/>
          <w:sz w:val="18"/>
          <w:szCs w:val="18"/>
        </w:rPr>
        <w:t xml:space="preserve">Global invariant, applies to every content-bearing surface: any claim, term, depicted ethnicity, object, or offered experience must be traceable to that world’s documented source evidence. Where evidence is absent, the system states that explicitly rather than defaulting to a generic or invented value. This governs lexicon terms, visual representation, and every future feature listed below.</w:t>
      </w:r>
    </w:p>
    <w:p>
      <w:pPr>
        <w:pBdr>
          <w:bottom w:val="single" w:color="8FAADC" w:sz="4" w:space="2"/>
        </w:pBdr>
        <w:spacing w:after="60" w:before="160"/>
      </w:pPr>
      <w:r>
        <w:rPr>
          <w:rFonts w:ascii="Arial" w:cs="Arial" w:eastAsia="Arial" w:hAnsi="Arial"/>
          <w:b/>
          <w:bCs/>
          <w:color w:val="1F3864"/>
          <w:sz w:val="21"/>
          <w:szCs w:val="21"/>
        </w:rPr>
        <w:t xml:space="preserve">Roadmap Context — Forward-Compatibility Requirements</w:t>
      </w:r>
    </w:p>
    <w:p>
      <w:pPr>
        <w:spacing w:after="100" w:line="250"/>
      </w:pPr>
      <w:r>
        <w:rPr>
          <w:rFonts w:ascii="Arial" w:cs="Arial" w:eastAsia="Arial" w:hAnsi="Arial"/>
          <w:sz w:val="18"/>
          <w:szCs w:val="18"/>
        </w:rPr>
        <w:t xml:space="preserve">Phase 1 ships five worlds; the implementation should not assume five is the ceiling. The roadmap below is out of scope for Phase 1 delivery and in scope for Phase 1 architecture — the data model and interfaces need to accommodate it without a breaking change or rebuild when it arrives.</w:t>
      </w:r>
    </w:p>
    <w:p>
      <w:pPr>
        <w:spacing w:after="100" w:line="250"/>
      </w:pPr>
      <w:r>
        <w:rPr>
          <w:rFonts w:ascii="Arial" w:cs="Arial" w:eastAsia="Arial" w:hAnsi="Arial"/>
          <w:sz w:val="18"/>
          <w:szCs w:val="18"/>
        </w:rPr>
        <w:t xml:space="preserve">The catalog eventually grows to 50–100 worlds spanning all of history and today, not just the Ancient Church set. Worlds stop being a flat list and become a real timeline — in the spirit of a Bible-timeline chart, not a literal map — positioned at their real historical moment, with contemporaries visible in parallel lanes and lines drawn between worlds that shaped each other. Worlds can be pulled to the same Table across eras, not just within one period.</w:t>
      </w:r>
    </w:p>
    <w:p>
      <w:pPr>
        <w:spacing w:after="100" w:line="250"/>
      </w:pPr>
      <w:r>
        <w:rPr>
          <w:rFonts w:ascii="Arial" w:cs="Arial" w:eastAsia="Arial" w:hAnsi="Arial"/>
          <w:sz w:val="18"/>
          <w:szCs w:val="18"/>
        </w:rPr>
        <w:t xml:space="preserve">Clicking into a world eventually opens four choices, not one: Description, Tour, Choose for Table, and Academic Documents. Only Choose for Table is implemented at Phase 1; the remaining three render as visibly disabled menu items. Academic Documents is a future standalone feature — raw, unmodified browsing of a world’s full lexicon, story repository, and source documents, independent of any conversation, distinct from the in-conversation hover/click (which stays free for everyone, permanently — a constitutional guarantee, never gated). Tours is a Representative guiding a participant through pictures of their world, potentially a church service or the Eucharist, bounded by the same evidence rule as everything else. The Phase 1 voice implementation is expected to be superseded by fully culturally- and gender-matched, multilingual text-to-speech as funding allows.</w:t>
      </w:r>
    </w:p>
    <w:p>
      <w:pPr>
        <w:spacing w:after="100" w:line="250"/>
      </w:pPr>
      <w:r>
        <w:rPr>
          <w:rFonts w:ascii="Arial" w:cs="Arial" w:eastAsia="Arial" w:hAnsi="Arial"/>
          <w:sz w:val="18"/>
          <w:szCs w:val="18"/>
        </w:rPr>
        <w:t xml:space="preserve">On funding: the core conversation stays free for everyone, donor-funded, permanently — a constitutional guarantee, not a pricing choice that might change. A future paid tier may eventually unlock deeper pastor and academic tooling on top of that free core. Tours and sermon-prep material are clean cases — experience/productivity features, not evidentiary access. Academic Documents is not: per the 2026-07-07 Decision Log, gating it is defensible but sits close enough to Article 30’s transparency guarantee that it requires an explicit constitutional carve-out before being built as a paid feature, and that carve-out has not yet been made. Treat Academic Documents’ gating as an open governance dependency, not a settled product decision. Some notion of user identity or entitlement is nonetheless worth including early, even if completely unused at Phase 1.</w:t>
      </w:r>
    </w:p>
    <w:p>
      <w:pPr>
        <w:spacing w:after="100" w:line="250"/>
      </w:pPr>
      <w:r>
        <w:rPr>
          <w:rFonts w:ascii="Arial" w:cs="Arial" w:eastAsia="Arial" w:hAnsi="Arial"/>
          <w:sz w:val="18"/>
          <w:szCs w:val="18"/>
        </w:rPr>
        <w:t xml:space="preserve">The table below translates the roadmap items above into concrete implementation requirements: each is a low-cost extension point if designed in at Phase 1, and a breaking change or partial rebuild if deferred.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Requirement (Phase 1)</w:t>
            </w:r>
          </w:p>
        </w:tc>
        <w:tc>
          <w:tcPr>
            <w:tcW w:type="dxa" w:w="468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Forward-Compatibility Rationale</w:t>
            </w:r>
          </w:p>
        </w:tc>
      </w:tr>
      <w:tr>
        <w:trPr>
          <w:cantSplit/>
        </w:trP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Include temporal range, region, and inter-world relationship fields in the world data schema, even if unused by Phase 1 UI.</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Avoids a data-migration effort across every deployed world when the World Map (timeline visualization) is implemented; the schema already supports it.</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Implement retrieval behind a single interface. Do not inline rule-matching logic at each call site.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Permits the retrieval implementation to be swapped (e.g., rule-based to embedding-based) without modifying calling code.</w:t>
            </w:r>
          </w:p>
        </w:tc>
      </w:tr>
      <w:tr>
        <w:trPr>
          <w:cantSplit/>
        </w:trP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Implement world selection as a four-option menu (Description, Tour, Choose for Table, Academic Documents) with three options disabled, rather than a single-action UI.</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Later options are enabled via configuration/feature flag rather than requiring a UI redesign.</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Include a role/entitlement field on the session or user model, even though no feature gating exists at Phase 1.</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A future paid tier is implemented as a check against an existing field rather than requiring a new identity system added retroactively.</w:t>
            </w:r>
          </w:p>
        </w:tc>
      </w:tr>
      <w:tr>
        <w:trPr>
          <w:cantSplit/>
        </w:trP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Implement the production voice pipeline now, configured with a low-cost voice model.</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Upgrading voice quality later is a configuration change (swap the model reference), not a new integration.</w:t>
            </w:r>
          </w:p>
        </w:tc>
      </w:tr>
      <w:tr>
        <w:trPr>
          <w:cantSplit/>
        </w:trPr>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Attach a content-version identifier to each world’s deployment package, tracked per session.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line="230"/>
            </w:pPr>
            <w:r>
              <w:rPr>
                <w:rFonts w:ascii="Arial" w:cs="Arial" w:eastAsia="Arial" w:hAnsi="Arial"/>
                <w:sz w:val="16"/>
                <w:szCs w:val="16"/>
              </w:rPr>
              <w:t xml:space="preserve">Enables content updates post-launch without a full application redeploy or disruption to an in-progress session.</w:t>
            </w:r>
          </w:p>
        </w:tc>
      </w:tr>
      <w:tr>
        <w:trPr>
          <w:cantSplit/>
        </w:trPr>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Define and document a conversation-logging policy (what is logged, retention, access) before Alpha testing begins.</w:t>
            </w:r>
          </w:p>
        </w:tc>
        <w:tc>
          <w:tcPr>
            <w:tcW w:type="dxa" w:w="468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pPr>
              <w:spacing w:line="230"/>
            </w:pPr>
            <w:r>
              <w:rPr>
                <w:rFonts w:ascii="Arial" w:cs="Arial" w:eastAsia="Arial" w:hAnsi="Arial"/>
                <w:sz w:val="16"/>
                <w:szCs w:val="16"/>
              </w:rPr>
              <w:t xml:space="preserve">Internal QA requires real conversation data for review; participant disclosure cannot be applied retroactively once sessions have occurred.</w:t>
            </w:r>
          </w:p>
        </w:tc>
      </w:tr>
    </w:tbl>
    <w:p>
      <w:pPr>
        <w:spacing w:after="0" w:before="120" w:line="230"/>
      </w:pPr>
      <w:r>
        <w:rPr>
          <w:rFonts w:ascii="Arial" w:cs="Arial" w:eastAsia="Arial" w:hAnsi="Arial"/>
          <w:i/>
          <w:iCs/>
          <w:color w:val="595959"/>
          <w:sz w:val="15"/>
          <w:szCs w:val="15"/>
        </w:rPr>
        <w:t xml:space="preserve">Full technical rationale for each row is documented in Project-Reference/CiC_Engineering_Considerations_Catalog_V1_0.md — request it directly for the detailed reasoning behind any item.</w:t>
      </w:r>
    </w:p>
    <w:p>
      <w:pPr>
        <w:pBdr>
          <w:bottom w:val="single" w:color="8FAADC" w:sz="4" w:space="2"/>
        </w:pBdr>
        <w:spacing w:after="60" w:before="160"/>
      </w:pPr>
      <w:r>
        <w:rPr>
          <w:rFonts w:ascii="Arial" w:cs="Arial" w:eastAsia="Arial" w:hAnsi="Arial"/>
          <w:b/>
          <w:bCs/>
          <w:color w:val="1F3864"/>
          <w:sz w:val="21"/>
          <w:szCs w:val="21"/>
        </w:rPr>
        <w:t xml:space="preserve">Functional Requirements — Core Experience</w:t>
      </w:r>
    </w:p>
    <w:p>
      <w:pPr>
        <w:pStyle w:val="ListParagraph"/>
        <w:numPr>
          <w:ilvl w:val="0"/>
          <w:numId w:val="2"/>
        </w:numPr>
        <w:spacing w:after="70" w:line="240"/>
      </w:pPr>
      <w:r>
        <w:rPr>
          <w:rFonts w:ascii="Arial" w:cs="Arial" w:eastAsia="Arial" w:hAnsi="Arial"/>
          <w:sz w:val="18"/>
          <w:szCs w:val="18"/>
        </w:rPr>
        <w:t xml:space="preserve">Entry state, full scope (Phase 1): default view renders the Table environment (ambient lighting, unoccupied seats) with no Representative instances loaded; the Facilitator is rendered as present from initial load. Three entry flows, equal-weighted in the UI: (1) direct message input, bypassing world selection ("Bypass"); (2) manual selection from a browsable world list ("Build Your Own Table"); (3) guided selection, in which the Facilitator elicits input via short dialogue and selects worlds algorithmically ("Guided Onboarding"). A fourth, secondary entry point ("Ask the Facilitator") supports pre-commitment Q&amp;A, handled by the same Facilitator persona rather than a separate agent. Per Table Design Document Section 11: Alpha implements Bypass only, with basic role selection — the full three-pathway portal, including world browsing, is deferred through Beta and delivered at Phase 1.</w:t>
      </w:r>
    </w:p>
    <w:p>
      <w:pPr>
        <w:pStyle w:val="ListParagraph"/>
        <w:numPr>
          <w:ilvl w:val="0"/>
          <w:numId w:val="2"/>
        </w:numPr>
        <w:spacing w:after="70" w:line="240"/>
      </w:pPr>
      <w:r>
        <w:rPr>
          <w:rFonts w:ascii="Arial" w:cs="Arial" w:eastAsia="Arial" w:hAnsi="Arial"/>
          <w:sz w:val="18"/>
          <w:szCs w:val="18"/>
        </w:rPr>
        <w:t xml:space="preserve">Table rendering: single static background image containing up to three figures, one per active Representative, in period-appropriate attire. Demographic representation is data-driven from each world’s source-ecology record, not defaulted or randomized. Each figure may render an associated object, sourced from the same record; absence of an attested object is a valid, expected state — not an error condition or a placeholder to fill.</w:t>
      </w:r>
    </w:p>
    <w:p>
      <w:pPr>
        <w:pStyle w:val="ListParagraph"/>
        <w:numPr>
          <w:ilvl w:val="0"/>
          <w:numId w:val="2"/>
        </w:numPr>
        <w:spacing w:after="70" w:line="240"/>
      </w:pPr>
      <w:r>
        <w:rPr>
          <w:rFonts w:ascii="Arial" w:cs="Arial" w:eastAsia="Arial" w:hAnsi="Arial"/>
          <w:sz w:val="18"/>
          <w:szCs w:val="18"/>
        </w:rPr>
        <w:t xml:space="preserve">Camera behavior: static image with programmatic pan/zoom driven by active-speaker state — zoom on current speaker, pan between two Representatives during an exchange, zoom-out on whole-Table address. Camera state should derive from the same turn-taking state the Facilitator already maintains, not a separate signal.</w:t>
      </w:r>
    </w:p>
    <w:p>
      <w:pPr>
        <w:pStyle w:val="ListParagraph"/>
        <w:numPr>
          <w:ilvl w:val="0"/>
          <w:numId w:val="2"/>
        </w:numPr>
        <w:spacing w:after="70" w:line="240"/>
      </w:pPr>
      <w:r>
        <w:rPr>
          <w:rFonts w:ascii="Arial" w:cs="Arial" w:eastAsia="Arial" w:hAnsi="Arial"/>
          <w:sz w:val="18"/>
          <w:szCs w:val="18"/>
        </w:rPr>
        <w:t xml:space="preserve">Primary interaction surface: text input/output in a persistent dialogue panel. This is not a placeholder pending a voice-first interface — text is the permanent primary UI layer regardless of voice feature maturity (see Constraints). Voice output (TTS) is an additive layer, not a replacement path.</w:t>
      </w:r>
    </w:p>
    <w:p>
      <w:pPr>
        <w:pStyle w:val="ListParagraph"/>
        <w:numPr>
          <w:ilvl w:val="0"/>
          <w:numId w:val="2"/>
        </w:numPr>
        <w:spacing w:after="70" w:line="240"/>
      </w:pPr>
      <w:r>
        <w:rPr>
          <w:rFonts w:ascii="Arial" w:cs="Arial" w:eastAsia="Arial" w:hAnsi="Arial"/>
          <w:sz w:val="18"/>
          <w:szCs w:val="18"/>
        </w:rPr>
        <w:t xml:space="preserve">Inline annotation: terms, quotes, and narrative elements carrying a confidence rating are marked up in the dialogue text. Hover triggers a short tooltip (plain-language summary); click opens a detail view (full lexicon/source entry). Implement one uniform interaction pattern across all annotated content types — do not implement per-type variants.</w:t>
      </w:r>
    </w:p>
    <w:p>
      <w:pPr>
        <w:spacing w:after="0" w:before="120" w:line="230"/>
      </w:pPr>
      <w:r>
        <w:rPr>
          <w:rFonts w:ascii="Arial" w:cs="Arial" w:eastAsia="Arial" w:hAnsi="Arial"/>
          <w:i/>
          <w:iCs/>
          <w:color w:val="595959"/>
          <w:sz w:val="15"/>
          <w:szCs w:val="15"/>
        </w:rPr>
        <w:t xml:space="preserve">Open scope question, not resolved by the governing design documents: Table Design Document Section 11 specifies world count at Alpha (one to three) and confirms entry-pathway scope (Bypass only, above), but is silent on whether full multi-Representative Facilitator orchestration (turn-taking across concurrent Representatives, cross-world drift monitoring) is required at Alpha or can be deferred to Beta. This materially affects Alpha engineering scope and should be resolved before Alpha is estimated.</w:t>
      </w:r>
    </w:p>
    <w:p>
      <w:pPr>
        <w:pBdr>
          <w:bottom w:val="single" w:color="8FAADC" w:sz="4" w:space="2"/>
        </w:pBdr>
        <w:spacing w:after="60" w:before="160"/>
      </w:pPr>
      <w:r>
        <w:rPr>
          <w:rFonts w:ascii="Arial" w:cs="Arial" w:eastAsia="Arial" w:hAnsi="Arial"/>
          <w:b/>
          <w:bCs/>
          <w:color w:val="1F3864"/>
          <w:sz w:val="21"/>
          <w:szCs w:val="21"/>
        </w:rPr>
        <w:t xml:space="preserve">Build Order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100"/>
        <w:gridCol w:w="1800"/>
        <w:gridCol w:w="2060"/>
      </w:tblGrid>
      <w:tr>
        <w:trPr>
          <w:tblHeader/>
        </w:trPr>
        <w:tc>
          <w:tcPr>
            <w:tcW w:type="dxa" w:w="24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Stage</w:t>
            </w:r>
          </w:p>
        </w:tc>
        <w:tc>
          <w:tcPr>
            <w:tcW w:type="dxa" w:w="1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Worlds</w:t>
            </w:r>
          </w:p>
        </w:tc>
        <w:tc>
          <w:tcPr>
            <w:tcW w:type="dxa" w:w="21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Visual</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Voice</w:t>
            </w:r>
          </w:p>
        </w:tc>
        <w:tc>
          <w:tcPr>
            <w:tcW w:type="dxa" w:w="2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16"/>
                <w:szCs w:val="16"/>
              </w:rPr>
              <w:t xml:space="preserve">Transparency UI</w:t>
            </w:r>
          </w:p>
        </w:tc>
      </w:tr>
      <w:tr>
        <w:trPr>
          <w:cantSplit/>
        </w:trP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Prototype Alpha</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1–3</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Static image + camera zoom/pan</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Text + simple voice</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None yet (deferred)</w:t>
            </w:r>
          </w:p>
        </w:tc>
      </w:tr>
      <w:tr>
        <w:trPr>
          <w:cantSplit/>
        </w:trPr>
        <w:tc>
          <w:tcPr>
            <w:tcW w:type="dxa" w:w="24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Prototype Beta</w:t>
            </w:r>
          </w:p>
        </w:tc>
        <w:tc>
          <w:tcPr>
            <w:tcW w:type="dxa" w:w="1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1–3</w:t>
            </w:r>
          </w:p>
        </w:tc>
        <w:tc>
          <w:tcPr>
            <w:tcW w:type="dxa" w:w="21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Static image + camera zoom/pan</w:t>
            </w:r>
          </w:p>
        </w:tc>
        <w:tc>
          <w:tcPr>
            <w:tcW w:type="dxa" w:w="18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Text + simple voice</w:t>
            </w:r>
          </w:p>
        </w:tc>
        <w:tc>
          <w:tcPr>
            <w:tcW w:type="dxa" w:w="20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r>
              <w:rPr>
                <w:rFonts w:ascii="Arial" w:cs="Arial" w:eastAsia="Arial" w:hAnsi="Arial"/>
                <w:sz w:val="16"/>
                <w:szCs w:val="16"/>
              </w:rPr>
              <w:t xml:space="preserve">Basic glossary, 5 terms/world</w:t>
            </w:r>
          </w:p>
        </w:tc>
      </w:tr>
      <w:tr>
        <w:trPr>
          <w:cantSplit/>
        </w:trPr>
        <w:tc>
          <w:tcPr>
            <w:tcW w:type="dxa" w:w="24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Phase 1 — “Conversations with the Early Church”</w:t>
            </w:r>
          </w:p>
        </w:tc>
        <w:tc>
          <w:tcPr>
            <w:tcW w:type="dxa" w:w="1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3 (permanent ceiling)</w:t>
            </w:r>
          </w:p>
        </w:tc>
        <w:tc>
          <w:tcPr>
            <w:tcW w:type="dxa" w:w="21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Animated table</w:t>
            </w:r>
          </w:p>
        </w:tc>
        <w:tc>
          <w:tcPr>
            <w:tcW w:type="dxa" w:w="18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Text + voice, improving</w:t>
            </w:r>
          </w:p>
        </w:tc>
        <w:tc>
          <w:tcPr>
            <w:tcW w:type="dxa" w:w="206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tcPr>
          <w:p>
            <w:r>
              <w:rPr>
                <w:rFonts w:ascii="Arial" w:cs="Arial" w:eastAsia="Arial" w:hAnsi="Arial"/>
                <w:sz w:val="16"/>
                <w:szCs w:val="16"/>
              </w:rPr>
              <w:t xml:space="preserve">Full 3-level glossary + sourcing</w:t>
            </w:r>
          </w:p>
        </w:tc>
      </w:tr>
    </w:tbl>
    <w:p>
      <w:pPr>
        <w:spacing w:after="0" w:before="120" w:line="230"/>
      </w:pPr>
      <w:r>
        <w:rPr>
          <w:rFonts w:ascii="Arial" w:cs="Arial" w:eastAsia="Arial" w:hAnsi="Arial"/>
          <w:i/>
          <w:iCs/>
          <w:color w:val="595959"/>
          <w:sz w:val="15"/>
          <w:szCs w:val="15"/>
        </w:rPr>
        <w:t xml:space="preserve">Beyond Phase 1: richer multilingual voice casting and role-based emphasis layer in on an ongoing track as funding allows; the eventual Ultimate Vision adds a full world timeline spanning history, cross-era Tables, and guided "Tours" of a world’s worship life — bounded by the same evidentiary rule above.</w:t>
      </w:r>
    </w:p>
    <w:p>
      <w:pPr>
        <w:spacing w:after="0" w:before="120" w:line="230"/>
      </w:pPr>
      <w:r>
        <w:rPr>
          <w:rFonts w:ascii="Arial" w:cs="Arial" w:eastAsia="Arial" w:hAnsi="Arial"/>
          <w:i/>
          <w:iCs/>
          <w:color w:val="595959"/>
          <w:sz w:val="15"/>
          <w:szCs w:val="15"/>
        </w:rPr>
        <w:t xml:space="preserve">Entry-pathway scope (Bypass only at Alpha; full three-pathway portal at Phase 1) is detailed under Functional Requirements above, not repeated in this table.</w:t>
      </w:r>
    </w:p>
    <w:p>
      <w:pPr>
        <w:pBdr>
          <w:bottom w:val="single" w:color="8FAADC" w:sz="4" w:space="2"/>
        </w:pBdr>
        <w:spacing w:after="60" w:before="160"/>
      </w:pPr>
      <w:r>
        <w:rPr>
          <w:rFonts w:ascii="Arial" w:cs="Arial" w:eastAsia="Arial" w:hAnsi="Arial"/>
          <w:b/>
          <w:bCs/>
          <w:color w:val="1F3864"/>
          <w:sz w:val="21"/>
          <w:szCs w:val="21"/>
        </w:rPr>
        <w:t xml:space="preserve">Constraints</w:t>
      </w:r>
    </w:p>
    <w:p>
      <w:pPr>
        <w:pStyle w:val="ListParagraph"/>
        <w:numPr>
          <w:ilvl w:val="0"/>
          <w:numId w:val="2"/>
        </w:numPr>
        <w:spacing w:after="70" w:line="240"/>
      </w:pPr>
      <w:r>
        <w:rPr>
          <w:rFonts w:ascii="Arial" w:cs="Arial" w:eastAsia="Arial" w:hAnsi="Arial"/>
          <w:sz w:val="18"/>
          <w:szCs w:val="18"/>
        </w:rPr>
        <w:t xml:space="preserve">Concurrency limit: three Representatives is a fixed, permanent system constraint (Mark’s 2026-08-01 decision retired the earlier five-Representative design ceiling) — enforce it explicitly in session/state logic rather than relying on UI or prompt behavior to hold it.</w:t>
      </w:r>
    </w:p>
    <w:p>
      <w:pPr>
        <w:pStyle w:val="ListParagraph"/>
        <w:numPr>
          <w:ilvl w:val="0"/>
          <w:numId w:val="2"/>
        </w:numPr>
        <w:spacing w:after="70" w:line="240"/>
      </w:pPr>
      <w:r>
        <w:rPr>
          <w:rFonts w:ascii="Arial" w:cs="Arial" w:eastAsia="Arial" w:hAnsi="Arial"/>
          <w:sz w:val="18"/>
          <w:szCs w:val="18"/>
        </w:rPr>
        <w:t xml:space="preserve">Text is a permanent UI layer, not a fallback pending voice: the hover/click transparency mechanic has no audio equivalent, so text cannot be deprecated as voice output matures.</w:t>
      </w:r>
    </w:p>
    <w:p>
      <w:pPr>
        <w:pStyle w:val="ListParagraph"/>
        <w:numPr>
          <w:ilvl w:val="0"/>
          <w:numId w:val="2"/>
        </w:numPr>
        <w:spacing w:after="70" w:line="240"/>
      </w:pPr>
      <w:r>
        <w:rPr>
          <w:rFonts w:ascii="Arial" w:cs="Arial" w:eastAsia="Arial" w:hAnsi="Arial"/>
          <w:sz w:val="18"/>
          <w:szCs w:val="18"/>
        </w:rPr>
        <w:t xml:space="preserve">The requirements under Roadmap Context are forward-compatibility constraints on the Phase 1 implementation, not optional scope — treat them as non-functional requirements alongside the functional spec above.</w:t>
      </w:r>
    </w:p>
    <w:sectPr>
      <w:footerReference w:type="default" r:id="rId7"/>
      <w:pgSz w:w="12240" w:h="15840" w:orient="portrait"/>
      <w:pgMar w:top="720" w:right="1080" w:bottom="72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3"/>
        <w:szCs w:val="13"/>
      </w:rPr>
      <w:t xml:space="preserve">The Church in Conversation — Design Brief · Page </w:t>
    </w:r>
    <w:r>
      <w:rPr>
        <w:rFonts w:ascii="Arial" w:cs="Arial" w:eastAsia="Arial" w:hAnsi="Arial"/>
        <w:color w:val="999999"/>
        <w:sz w:val="13"/>
        <w:szCs w:val="13"/>
      </w:rPr>
      <w:fldChar w:fldCharType="begin"/>
      <w:instrText xml:space="preserve">PAGE</w:instrText>
      <w:fldChar w:fldCharType="separate"/>
      <w:fldChar w:fldCharType="end"/>
    </w:r>
    <w:r>
      <w:rPr>
        <w:rFonts w:ascii="Arial" w:cs="Arial" w:eastAsia="Arial" w:hAnsi="Arial"/>
        <w:color w:val="999999"/>
        <w:sz w:val="13"/>
        <w:szCs w:val="13"/>
      </w:rPr>
      <w:t xml:space="preserve"> of </w:t>
    </w:r>
    <w:r>
      <w:rPr>
        <w:rFonts w:ascii="Arial" w:cs="Arial" w:eastAsia="Arial" w:hAnsi="Arial"/>
        <w:color w:val="999999"/>
        <w:sz w:val="13"/>
        <w:szCs w:val="13"/>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2026-07-09T05:04:59.892Z</dcterms:created>
  <dcterms:modified xsi:type="dcterms:W3CDTF">2026-07-09T05:04:59.892Z</dcterms:modified>
</cp:coreProperties>
</file>

<file path=docProps/custom.xml><?xml version="1.0" encoding="utf-8"?>
<Properties xmlns="http://schemas.openxmlformats.org/officeDocument/2006/custom-properties" xmlns:vt="http://schemas.openxmlformats.org/officeDocument/2006/docPropsVTypes"/>
</file>