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oc_09-story-inventory"/>
    <w:p>
      <w:pPr>
        <w:pStyle w:val="Heading1"/>
      </w:pPr>
      <w:r>
        <w:t xml:space="preserve">Doc_09 — Story Inventory</w:t>
      </w:r>
    </w:p>
    <w:p>
      <w:pPr>
        <w:pStyle w:val="FirstParagraph"/>
      </w:pPr>
      <w:r>
        <w:rPr>
          <w:bCs/>
          <w:b/>
        </w:rPr>
        <w:t xml:space="preserve">World #1: Post-Apostolic/Sub-Apostolic House-Church Christianity (c.70–200 CE; Antioch/Syria, Asia Minor, Rome)</w:t>
      </w:r>
    </w:p>
    <w:p>
      <w:pPr>
        <w:pStyle w:val="BodyText"/>
      </w:pPr>
      <w:r>
        <w:rPr>
          <w:bCs/>
          <w:b/>
        </w:rPr>
        <w:t xml:space="preserve">World code:</w:t>
      </w:r>
      <w:r>
        <w:t xml:space="preserve"> </w:t>
      </w:r>
      <w:r>
        <w:rPr>
          <w:rStyle w:val="VerbatimChar"/>
        </w:rPr>
        <w:t xml:space="preserve">pahc</w:t>
      </w:r>
    </w:p>
    <w:p>
      <w:pPr>
        <w:pStyle w:val="BodyText"/>
      </w:pPr>
      <w:r>
        <w:rPr>
          <w:bCs/>
          <w:b/>
        </w:rPr>
        <w:t xml:space="preserve">Status: APPROVED TO PROCEED.</w:t>
      </w:r>
      <w:r>
        <w:t xml:space="preserve"> </w:t>
      </w:r>
      <w:r>
        <w:t xml:space="preserve">Round-1 independent review complete, round-1 fixes applied, round-2 independent verification confirmed the fixes landed correctly, and the project lead (Mark) signed off on 2026-07-07 — explicitly including sign-off on the ambiguities and judgment calls disclosed in this document’s own Document Log and Section 7 Outstanding Items (the Story 006 Tier 1 edge case, the two still-unregistered Ignatius passages, and the open Strand B martyrdom question).</w:t>
      </w:r>
    </w:p>
    <w:p>
      <w:pPr>
        <w:pStyle w:val="BodyText"/>
      </w:pPr>
      <w:r>
        <w:rPr>
          <w:bCs/>
          <w:b/>
        </w:rPr>
        <w:t xml:space="preserve">Governed by:</w:t>
      </w:r>
      <w:r>
        <w:t xml:space="preserve"> </w:t>
      </w:r>
      <w:r>
        <w:t xml:space="preserve">Construction Framework V7.3, Part II — Evidence Development (Story Tier to Confidence Cross-Walk; Story and Narrative Sources Assessment; four-tier story classification; No Tier 5; Story Inventory Requirement), Step 9; Constitution Article 19; the Story Repository Chunk Template (L4), v1.0.</w:t>
      </w:r>
    </w:p>
    <w:p>
      <w:pPr>
        <w:pStyle w:val="BodyText"/>
      </w:pPr>
      <w:r>
        <w:rPr>
          <w:bCs/>
          <w:b/>
        </w:rPr>
        <w:t xml:space="preserve">Built from:</w:t>
      </w:r>
      <w:r>
        <w:t xml:space="preserve"> </w:t>
      </w:r>
      <w:r>
        <w:t xml:space="preserve">Doc_01 through Doc_08 (all finalized, all project-lead signed off 2026-07-07) and the Source Registry (73 rows as of this document’s own construction, including newly-added row P16 — see Document Log). No story in this inventory is invented, composited beyond what the Framework’s Tier 4 discipline permits, or drawn from a source outside this world’s own Native evidentiary base. Every story traces to a specific, already-established claim in Doc_01–08 and a specific Registry row.</w:t>
      </w:r>
    </w:p>
    <w:p>
      <w:pPr>
        <w:pStyle w:val="BodyText"/>
      </w:pPr>
      <w:r>
        <w:rPr>
          <w:bCs/>
          <w:b/>
        </w:rPr>
        <w:t xml:space="preserve">Confidence vocabulary used throughout:</w:t>
      </w:r>
      <w:r>
        <w:t xml:space="preserve"> </w:t>
      </w:r>
      <w:r>
        <w:t xml:space="preserve">unchanged from Doc_01–08 — Documented / Widely Accepted / Dominant Modern Reconstruction / Contested / Inferential-Thin. Story-tier confidence follows the Framework’s own Tier-to-Confidence Cross-Walk (Section 1 below), not an independently invented scale.</w:t>
      </w:r>
    </w:p>
    <w:p>
      <w:r>
        <w:pict>
          <v:rect style="width:0;height:1.5pt" o:hralign="center" o:hrstd="t" o:hr="t"/>
        </w:pict>
      </w:r>
    </w:p>
    <w:bookmarkStart w:id="20" w:name="X7177e54b6b7ea4721a0bf83afb66f14c88f20c8"/>
    <w:p>
      <w:pPr>
        <w:pStyle w:val="Heading2"/>
      </w:pPr>
      <w:r>
        <w:t xml:space="preserve">Section 1 — The Four-Tier System, As Governed by This World</w:t>
      </w:r>
    </w:p>
    <w:p>
      <w:pPr>
        <w:pStyle w:val="FirstParagraph"/>
      </w:pPr>
      <w:r>
        <w:t xml:space="preserve">Restated here for self-containedness, per Framework V7.3 Part II:</w:t>
      </w:r>
    </w:p>
    <w:p>
      <w:pPr>
        <w:numPr>
          <w:ilvl w:val="0"/>
          <w:numId w:val="1001"/>
        </w:numPr>
        <w:pStyle w:val="Compact"/>
      </w:pPr>
      <w:r>
        <w:rPr>
          <w:bCs/>
          <w:b/>
        </w:rPr>
        <w:t xml:space="preserve">Tier 1 — Documented Historical Narrative.</w:t>
      </w:r>
      <w:r>
        <w:t xml:space="preserve"> </w:t>
      </w:r>
      <w:r>
        <w:t xml:space="preserve">Direct textual attestation within or close to the world’s horizon; named author with identifiable social location; datable with reasonable confidence. Confidence: Documented to Widely Accepted at the narrative level.</w:t>
      </w:r>
    </w:p>
    <w:p>
      <w:pPr>
        <w:numPr>
          <w:ilvl w:val="0"/>
          <w:numId w:val="1001"/>
        </w:numPr>
        <w:pStyle w:val="Compact"/>
      </w:pPr>
      <w:r>
        <w:rPr>
          <w:bCs/>
          <w:b/>
        </w:rPr>
        <w:t xml:space="preserve">Tier 2 — Collected and Traditional Material.</w:t>
      </w:r>
      <w:r>
        <w:t xml:space="preserve"> </w:t>
      </w:r>
      <w:r>
        <w:t xml:space="preserve">Stories transmitted in collected form with identifiable collection history, traceable to the world’s own community memory; individual attribution may be uncertain even where the tradition itself is authentic. Confidence: Widely Accepted to Dominant Modern Reconstruction; specific attributions Contested.</w:t>
      </w:r>
    </w:p>
    <w:p>
      <w:pPr>
        <w:numPr>
          <w:ilvl w:val="0"/>
          <w:numId w:val="1001"/>
        </w:numPr>
        <w:pStyle w:val="Compact"/>
      </w:pPr>
      <w:r>
        <w:rPr>
          <w:bCs/>
          <w:b/>
        </w:rPr>
        <w:t xml:space="preserve">Tier 3 — Attributed Tradition.</w:t>
      </w:r>
      <w:r>
        <w:t xml:space="preserve"> </w:t>
      </w:r>
      <w:r>
        <w:t xml:space="preserve">Material attributed to specific figures or moments but resting on collected tradition or hagiographic convention rather than direct documentation. Confidence: Contested for the general portrait; Inferential-Thin for specific details.</w:t>
      </w:r>
    </w:p>
    <w:p>
      <w:pPr>
        <w:numPr>
          <w:ilvl w:val="0"/>
          <w:numId w:val="1001"/>
        </w:numPr>
        <w:pStyle w:val="Compact"/>
      </w:pPr>
      <w:r>
        <w:rPr>
          <w:bCs/>
          <w:b/>
        </w:rPr>
        <w:t xml:space="preserve">Tier 4 — Historically Grounded Reconstruction.</w:t>
      </w:r>
      <w:r>
        <w:t xml:space="preserve"> </w:t>
      </w:r>
      <w:r>
        <w:t xml:space="preserve">A composite reconstruction of typical practice, not a story about one named individual or event; every element must be traceable to attested evidence within the world’s own horizon. Confidence: always Inferential-Thin, regardless of source quality.</w:t>
      </w:r>
    </w:p>
    <w:p>
      <w:pPr>
        <w:numPr>
          <w:ilvl w:val="0"/>
          <w:numId w:val="1001"/>
        </w:numPr>
        <w:pStyle w:val="Compact"/>
      </w:pPr>
      <w:r>
        <w:rPr>
          <w:bCs/>
          <w:b/>
        </w:rPr>
        <w:t xml:space="preserve">No Tier 5.</w:t>
      </w:r>
      <w:r>
        <w:t xml:space="preserve"> </w:t>
      </w:r>
      <w:r>
        <w:t xml:space="preserve">Generated or illustrative narrative — anything not traceable to this world’s own evidence — does not exist for this world. Silence in thin areas is the correct response.</w:t>
      </w:r>
    </w:p>
    <w:p>
      <w:pPr>
        <w:pStyle w:val="FirstParagraph"/>
      </w:pPr>
      <w:r>
        <w:rPr>
          <w:bCs/>
          <w:b/>
        </w:rPr>
        <w:t xml:space="preserve">A note on this world’s own Tier 2 absence.</w:t>
      </w:r>
      <w:r>
        <w:t xml:space="preserve"> </w:t>
      </w:r>
      <w:r>
        <w:t xml:space="preserve">This world’s evidence base produces no genuine Tier 2 candidate. Tier 2 requires</w:t>
      </w:r>
      <w:r>
        <w:t xml:space="preserve"> </w:t>
      </w:r>
      <w:r>
        <w:t xml:space="preserve">“</w:t>
      </w:r>
      <w:r>
        <w:t xml:space="preserve">stories transmitted in collected form with identifiable collection history, traceable to the world’s own community memory</w:t>
      </w:r>
      <w:r>
        <w:t xml:space="preserve">”</w:t>
      </w:r>
      <w:r>
        <w:t xml:space="preserve"> </w:t>
      </w:r>
      <w:r>
        <w:t xml:space="preserve">— a sayings-collection or anecdotal-tradition genre distinct from both direct correspondence (Tier 1) and hagiographic attribution (Tier 3). No such collected-narrative genre survives in this world’s own Native evidentiary base: the Didache is a catechetical/church-order manual, not a narrative collection; no apophthegmata-style sayings collection exists for this period and these regions. This is stated here explicitly rather than left as a silent gap a reviewer might mistake for an oversight — see Section 4 (Absent Stories), Item 6.</w:t>
      </w:r>
    </w:p>
    <w:p>
      <w:r>
        <w:pict>
          <v:rect style="width:0;height:1.5pt" o:hralign="center" o:hrstd="t" o:hr="t"/>
        </w:pict>
      </w:r>
    </w:p>
    <w:bookmarkEnd w:id="20"/>
    <w:bookmarkStart w:id="24" w:name="section-2-story-catalog"/>
    <w:p>
      <w:pPr>
        <w:pStyle w:val="Heading2"/>
      </w:pPr>
      <w:r>
        <w:t xml:space="preserve">Section 2 — Story Catalog</w:t>
      </w:r>
    </w:p>
    <w:p>
      <w:pPr>
        <w:pStyle w:val="FirstParagraph"/>
      </w:pPr>
      <w:r>
        <w:t xml:space="preserve">Thirteen stories are inventoried below: seven Tier 1, one Tier 3, five Tier 4. Each has its own full deployment chunk file (named</w:t>
      </w:r>
      <w:r>
        <w:t xml:space="preserve"> </w:t>
      </w:r>
      <w:r>
        <w:rPr>
          <w:rStyle w:val="VerbatimChar"/>
        </w:rPr>
        <w:t xml:space="preserve">pahcstoryNNN_slug.md</w:t>
      </w:r>
      <w:r>
        <w:t xml:space="preserve">, one per story catalogued below, and separately indexed in full in the companion Story Index workbook). This section catalogs each story’s essential facts; the deployment chunks carry the full tier-register story text, formation ecology connection, and usage guidance.</w:t>
      </w:r>
    </w:p>
    <w:bookmarkStart w:id="21" w:name="tier-1-documented-historical-narrative"/>
    <w:p>
      <w:pPr>
        <w:pStyle w:val="Heading3"/>
      </w:pPr>
      <w:r>
        <w:t xml:space="preserve">TIER 1 — DOCUMENTED HISTORICAL NARRATIVE</w:t>
      </w:r>
    </w:p>
    <w:p>
      <w:r>
        <w:pict>
          <v:rect style="width:0;height:1.5pt" o:hralign="center" o:hrstd="t" o:hr="t"/>
        </w:pict>
      </w:r>
    </w:p>
    <w:p>
      <w:pPr>
        <w:pStyle w:val="FirstParagraph"/>
      </w:pPr>
      <w:r>
        <w:rPr>
          <w:bCs/>
          <w:b/>
        </w:rPr>
        <w:t xml:space="preserve">Story 001 — Ignatius’s Guarded Journey to Rome</w:t>
      </w:r>
      <w:r>
        <w:t xml:space="preserve"> </w:t>
      </w:r>
      <w:r>
        <w:rPr>
          <w:iCs/>
          <w:i/>
        </w:rPr>
        <w:t xml:space="preserve">File:</w:t>
      </w:r>
      <w:r>
        <w:t xml:space="preserve"> </w:t>
      </w:r>
      <w:r>
        <w:rPr>
          <w:rStyle w:val="VerbatimChar"/>
        </w:rPr>
        <w:t xml:space="preserve">pahcstory001_ignatius-guarded-journey.md</w:t>
      </w:r>
    </w:p>
    <w:p>
      <w:pPr>
        <w:numPr>
          <w:ilvl w:val="0"/>
          <w:numId w:val="1002"/>
        </w:numPr>
        <w:pStyle w:val="Compact"/>
      </w:pPr>
      <w:r>
        <w:rPr>
          <w:bCs/>
          <w:b/>
        </w:rPr>
        <w:t xml:space="preserve">Source:</w:t>
      </w:r>
      <w:r>
        <w:t xml:space="preserve"> </w:t>
      </w:r>
      <w:r>
        <w:t xml:space="preserve">Ignatius’s seven letters, middle recension (Registry P03), written en route under armed guard, traditional dating c. 107–117 CE.</w:t>
      </w:r>
    </w:p>
    <w:p>
      <w:pPr>
        <w:numPr>
          <w:ilvl w:val="0"/>
          <w:numId w:val="1002"/>
        </w:numPr>
        <w:pStyle w:val="Compact"/>
      </w:pPr>
      <w:r>
        <w:rPr>
          <w:bCs/>
          <w:b/>
        </w:rPr>
        <w:t xml:space="preserve">Confidence:</w:t>
      </w:r>
      <w:r>
        <w:t xml:space="preserve"> </w:t>
      </w:r>
      <w:r>
        <w:t xml:space="preserve">Widely Accepted (the journey itself, the letters’ basic circumstances) / Contested (specific dating; a serious minority position, per Hübner/Lechner, holds the letters are 2nd-half-of-century Roman pseudepigraphy rather than an authentic Antiochene journey at all).</w:t>
      </w:r>
    </w:p>
    <w:p>
      <w:pPr>
        <w:numPr>
          <w:ilvl w:val="0"/>
          <w:numId w:val="1002"/>
        </w:numPr>
        <w:pStyle w:val="Compact"/>
      </w:pPr>
      <w:r>
        <w:rPr>
          <w:bCs/>
          <w:b/>
        </w:rPr>
        <w:t xml:space="preserve">Strand:</w:t>
      </w:r>
      <w:r>
        <w:t xml:space="preserve"> </w:t>
      </w:r>
      <w:r>
        <w:t xml:space="preserve">A only.</w:t>
      </w:r>
    </w:p>
    <w:p>
      <w:pPr>
        <w:numPr>
          <w:ilvl w:val="0"/>
          <w:numId w:val="1002"/>
        </w:numPr>
        <w:pStyle w:val="Compact"/>
      </w:pPr>
      <w:r>
        <w:rPr>
          <w:bCs/>
          <w:b/>
        </w:rPr>
        <w:t xml:space="preserve">Connected gravities:</w:t>
      </w:r>
      <w:r>
        <w:t xml:space="preserve"> </w:t>
      </w:r>
      <w:r>
        <w:t xml:space="preserve">G01 (Supporting), G02 (Primary), G04 (Supporting, Strand A only), G05 (Tensional, Strand A only), G07 (Primary).</w:t>
      </w:r>
    </w:p>
    <w:p>
      <w:pPr>
        <w:numPr>
          <w:ilvl w:val="0"/>
          <w:numId w:val="1002"/>
        </w:numPr>
        <w:pStyle w:val="Compact"/>
      </w:pPr>
      <w:r>
        <w:rPr>
          <w:bCs/>
          <w:b/>
        </w:rPr>
        <w:t xml:space="preserve">Tier justification, in brief:</w:t>
      </w:r>
      <w:r>
        <w:t xml:space="preserve"> </w:t>
      </w:r>
      <w:r>
        <w:t xml:space="preserve">Named author, direct textual attestation, datable with reasonable confidence under the majority (Trajanic) view. The three-way authenticity/dating split (Doc_01 §10) is carried forward here at full strength, not smoothed — this is this world’s single most Author-Gravity-loaded story, and the deployment chunk discloses the minority pseudepigraphy view prominently rather than in a trailing footnote.</w:t>
      </w:r>
    </w:p>
    <w:p>
      <w:pPr>
        <w:numPr>
          <w:ilvl w:val="0"/>
          <w:numId w:val="1002"/>
        </w:numPr>
        <w:pStyle w:val="Compact"/>
      </w:pPr>
      <w:r>
        <w:rPr>
          <w:bCs/>
          <w:b/>
        </w:rPr>
        <w:t xml:space="preserve">Usage guidance, in brief:</w:t>
      </w:r>
      <w:r>
        <w:t xml:space="preserve"> </w:t>
      </w:r>
      <w:r>
        <w:t xml:space="preserve">May be offered as historical narrative with Ignatius named as author and his perspective (a condemned man, writing under guard) acknowledged. The Representative should be prepared to acknowledge, if asked, that a minority scholarly position holds these letters may not be genuinely Antiochene or contemporaneous at all.</w:t>
      </w:r>
    </w:p>
    <w:p>
      <w:r>
        <w:pict>
          <v:rect style="width:0;height:1.5pt" o:hralign="center" o:hrstd="t" o:hr="t"/>
        </w:pict>
      </w:r>
    </w:p>
    <w:p>
      <w:pPr>
        <w:pStyle w:val="FirstParagraph"/>
      </w:pPr>
      <w:r>
        <w:rPr>
          <w:bCs/>
          <w:b/>
        </w:rPr>
        <w:t xml:space="preserve">Story 002 — 1 Clement’s Intervention in the Corinthian Dispute</w:t>
      </w:r>
      <w:r>
        <w:t xml:space="preserve"> </w:t>
      </w:r>
      <w:r>
        <w:rPr>
          <w:iCs/>
          <w:i/>
        </w:rPr>
        <w:t xml:space="preserve">File:</w:t>
      </w:r>
      <w:r>
        <w:t xml:space="preserve"> </w:t>
      </w:r>
      <w:r>
        <w:rPr>
          <w:rStyle w:val="VerbatimChar"/>
        </w:rPr>
        <w:t xml:space="preserve">pahcstory002_1clement-corinthian-dispute.md</w:t>
      </w:r>
    </w:p>
    <w:p>
      <w:pPr>
        <w:numPr>
          <w:ilvl w:val="0"/>
          <w:numId w:val="1003"/>
        </w:numPr>
        <w:pStyle w:val="Compact"/>
      </w:pPr>
      <w:r>
        <w:rPr>
          <w:bCs/>
          <w:b/>
        </w:rPr>
        <w:t xml:space="preserve">Source:</w:t>
      </w:r>
      <w:r>
        <w:t xml:space="preserve"> </w:t>
      </w:r>
      <w:r>
        <w:t xml:space="preserve">1 Clement (Registry P02), traditionally dated c. 96 CE (Contested range 80–140 CE).</w:t>
      </w:r>
    </w:p>
    <w:p>
      <w:pPr>
        <w:numPr>
          <w:ilvl w:val="0"/>
          <w:numId w:val="1003"/>
        </w:numPr>
        <w:pStyle w:val="Compact"/>
      </w:pPr>
      <w:r>
        <w:rPr>
          <w:bCs/>
          <w:b/>
        </w:rPr>
        <w:t xml:space="preserve">Confidence:</w:t>
      </w:r>
      <w:r>
        <w:t xml:space="preserve"> </w:t>
      </w:r>
      <w:r>
        <w:t xml:space="preserve">Widely Accepted that Rome intervened; Contested on the exact date.</w:t>
      </w:r>
    </w:p>
    <w:p>
      <w:pPr>
        <w:numPr>
          <w:ilvl w:val="0"/>
          <w:numId w:val="1003"/>
        </w:numPr>
        <w:pStyle w:val="Compact"/>
      </w:pPr>
      <w:r>
        <w:rPr>
          <w:bCs/>
          <w:b/>
        </w:rPr>
        <w:t xml:space="preserve">Strand:</w:t>
      </w:r>
      <w:r>
        <w:t xml:space="preserve"> </w:t>
      </w:r>
      <w:r>
        <w:t xml:space="preserve">B only.</w:t>
      </w:r>
    </w:p>
    <w:p>
      <w:pPr>
        <w:numPr>
          <w:ilvl w:val="0"/>
          <w:numId w:val="1003"/>
        </w:numPr>
        <w:pStyle w:val="Compact"/>
      </w:pPr>
      <w:r>
        <w:rPr>
          <w:bCs/>
          <w:b/>
        </w:rPr>
        <w:t xml:space="preserve">Connected gravities:</w:t>
      </w:r>
      <w:r>
        <w:t xml:space="preserve"> </w:t>
      </w:r>
      <w:r>
        <w:t xml:space="preserve">G01 (Supporting), G02 (Primary).</w:t>
      </w:r>
    </w:p>
    <w:p>
      <w:pPr>
        <w:numPr>
          <w:ilvl w:val="0"/>
          <w:numId w:val="1003"/>
        </w:numPr>
        <w:pStyle w:val="Compact"/>
      </w:pPr>
      <w:r>
        <w:rPr>
          <w:bCs/>
          <w:b/>
        </w:rPr>
        <w:t xml:space="preserve">Tier justification, in brief:</w:t>
      </w:r>
      <w:r>
        <w:t xml:space="preserve"> </w:t>
      </w:r>
      <w:r>
        <w:t xml:space="preserve">A specific, named occasion (the deposition of legitimately appointed Corinthian presbyters) addressed in a real letter, though the letter is anonymous in its own text and attribution to Clement is traditional rather than self-declared.</w:t>
      </w:r>
    </w:p>
    <w:p>
      <w:pPr>
        <w:numPr>
          <w:ilvl w:val="0"/>
          <w:numId w:val="1003"/>
        </w:numPr>
        <w:pStyle w:val="Compact"/>
      </w:pPr>
      <w:r>
        <w:rPr>
          <w:bCs/>
          <w:b/>
        </w:rPr>
        <w:t xml:space="preserve">Usage guidance, in brief:</w:t>
      </w:r>
      <w:r>
        <w:t xml:space="preserve"> </w:t>
      </w:r>
      <w:r>
        <w:t xml:space="preserve">May be offered as remembered history — Rome’s own church writing to correct a specific dispute — with the traditional-attribution caveat named.</w:t>
      </w:r>
    </w:p>
    <w:p>
      <w:r>
        <w:pict>
          <v:rect style="width:0;height:1.5pt" o:hralign="center" o:hrstd="t" o:hr="t"/>
        </w:pict>
      </w:r>
    </w:p>
    <w:p>
      <w:pPr>
        <w:pStyle w:val="FirstParagraph"/>
      </w:pPr>
      <w:r>
        <w:rPr>
          <w:bCs/>
          <w:b/>
        </w:rPr>
        <w:t xml:space="preserve">Story 003 — Polycarp Forwards Ignatius’s Letters to Philippi</w:t>
      </w:r>
      <w:r>
        <w:t xml:space="preserve"> </w:t>
      </w:r>
      <w:r>
        <w:rPr>
          <w:iCs/>
          <w:i/>
        </w:rPr>
        <w:t xml:space="preserve">File:</w:t>
      </w:r>
      <w:r>
        <w:t xml:space="preserve"> </w:t>
      </w:r>
      <w:r>
        <w:rPr>
          <w:rStyle w:val="VerbatimChar"/>
        </w:rPr>
        <w:t xml:space="preserve">pahcstory003_polycarp-forwards-letters.md</w:t>
      </w:r>
    </w:p>
    <w:p>
      <w:pPr>
        <w:numPr>
          <w:ilvl w:val="0"/>
          <w:numId w:val="1004"/>
        </w:numPr>
        <w:pStyle w:val="Compact"/>
      </w:pPr>
      <w:r>
        <w:rPr>
          <w:bCs/>
          <w:b/>
        </w:rPr>
        <w:t xml:space="preserve">Source:</w:t>
      </w:r>
      <w:r>
        <w:t xml:space="preserve"> </w:t>
      </w:r>
      <w:r>
        <w:t xml:space="preserve">Polycarp,</w:t>
      </w:r>
      <w:r>
        <w:t xml:space="preserve"> </w:t>
      </w:r>
      <w:r>
        <w:rPr>
          <w:iCs/>
          <w:i/>
        </w:rPr>
        <w:t xml:space="preserve">Letter to the Philippians</w:t>
      </w:r>
      <w:r>
        <w:t xml:space="preserve"> </w:t>
      </w:r>
      <w:r>
        <w:t xml:space="preserve">ch. 13 (Registry P04).</w:t>
      </w:r>
    </w:p>
    <w:p>
      <w:pPr>
        <w:numPr>
          <w:ilvl w:val="0"/>
          <w:numId w:val="1004"/>
        </w:numPr>
        <w:pStyle w:val="Compact"/>
      </w:pPr>
      <w:r>
        <w:rPr>
          <w:bCs/>
          <w:b/>
        </w:rPr>
        <w:t xml:space="preserve">Confidence:</w:t>
      </w:r>
      <w:r>
        <w:t xml:space="preserve"> </w:t>
      </w:r>
      <w:r>
        <w:t xml:space="preserve">Documented (the forwarding act itself, as textual content) / Contested (the letter’s own unity and precise dating).</w:t>
      </w:r>
    </w:p>
    <w:p>
      <w:pPr>
        <w:numPr>
          <w:ilvl w:val="0"/>
          <w:numId w:val="1004"/>
        </w:numPr>
        <w:pStyle w:val="Compact"/>
      </w:pPr>
      <w:r>
        <w:rPr>
          <w:bCs/>
          <w:b/>
        </w:rPr>
        <w:t xml:space="preserve">Strand:</w:t>
      </w:r>
      <w:r>
        <w:t xml:space="preserve"> </w:t>
      </w:r>
      <w:r>
        <w:t xml:space="preserve">A (geography), though Polycarp’s own self-designation as merely</w:t>
      </w:r>
      <w:r>
        <w:t xml:space="preserve"> </w:t>
      </w:r>
      <w:r>
        <w:t xml:space="preserve">“</w:t>
      </w:r>
      <w:r>
        <w:t xml:space="preserve">one of the presbyters</w:t>
      </w:r>
      <w:r>
        <w:t xml:space="preserve">”</w:t>
      </w:r>
      <w:r>
        <w:t xml:space="preserve"> </w:t>
      </w:r>
      <w:r>
        <w:t xml:space="preserve">complicates a clean Strand A reading — carried forward as its own disclosed tension, not resolved here.</w:t>
      </w:r>
    </w:p>
    <w:p>
      <w:pPr>
        <w:numPr>
          <w:ilvl w:val="0"/>
          <w:numId w:val="1004"/>
        </w:numPr>
        <w:pStyle w:val="Compact"/>
      </w:pPr>
      <w:r>
        <w:rPr>
          <w:bCs/>
          <w:b/>
        </w:rPr>
        <w:t xml:space="preserve">Connected gravities:</w:t>
      </w:r>
      <w:r>
        <w:t xml:space="preserve"> </w:t>
      </w:r>
      <w:r>
        <w:t xml:space="preserve">G02 (Primary — one of its three founding data points).</w:t>
      </w:r>
    </w:p>
    <w:p>
      <w:pPr>
        <w:numPr>
          <w:ilvl w:val="0"/>
          <w:numId w:val="1004"/>
        </w:numPr>
        <w:pStyle w:val="Compact"/>
      </w:pPr>
      <w:r>
        <w:rPr>
          <w:bCs/>
          <w:b/>
        </w:rPr>
        <w:t xml:space="preserve">Tier justification, in brief:</w:t>
      </w:r>
      <w:r>
        <w:t xml:space="preserve"> </w:t>
      </w:r>
      <w:r>
        <w:t xml:space="preserve">A specific, directly attested transmission event, named by the person who performed it, in his own surviving letter.</w:t>
      </w:r>
    </w:p>
    <w:p>
      <w:pPr>
        <w:numPr>
          <w:ilvl w:val="0"/>
          <w:numId w:val="1004"/>
        </w:numPr>
        <w:pStyle w:val="Compact"/>
      </w:pPr>
      <w:r>
        <w:rPr>
          <w:bCs/>
          <w:b/>
        </w:rPr>
        <w:t xml:space="preserve">Usage guidance, in brief:</w:t>
      </w:r>
      <w:r>
        <w:t xml:space="preserve"> </w:t>
      </w:r>
      <w:r>
        <w:t xml:space="preserve">May be offered as a small, concrete instance of how this world’s correspondence network actually functioned — one named person doing one specific, requested thing.</w:t>
      </w:r>
    </w:p>
    <w:p>
      <w:r>
        <w:pict>
          <v:rect style="width:0;height:1.5pt" o:hralign="center" o:hrstd="t" o:hr="t"/>
        </w:pict>
      </w:r>
    </w:p>
    <w:p>
      <w:pPr>
        <w:pStyle w:val="FirstParagraph"/>
      </w:pPr>
      <w:r>
        <w:rPr>
          <w:bCs/>
          <w:b/>
        </w:rPr>
        <w:t xml:space="preserve">Story 004 — Pliny’s Interrogation in Bithynia-Pontus</w:t>
      </w:r>
      <w:r>
        <w:t xml:space="preserve"> </w:t>
      </w:r>
      <w:r>
        <w:rPr>
          <w:iCs/>
          <w:i/>
        </w:rPr>
        <w:t xml:space="preserve">File:</w:t>
      </w:r>
      <w:r>
        <w:t xml:space="preserve"> </w:t>
      </w:r>
      <w:r>
        <w:rPr>
          <w:rStyle w:val="VerbatimChar"/>
        </w:rPr>
        <w:t xml:space="preserve">pahcstory004_pliny-interrogation.md</w:t>
      </w:r>
    </w:p>
    <w:p>
      <w:pPr>
        <w:numPr>
          <w:ilvl w:val="0"/>
          <w:numId w:val="1005"/>
        </w:numPr>
        <w:pStyle w:val="Compact"/>
      </w:pPr>
      <w:r>
        <w:rPr>
          <w:bCs/>
          <w:b/>
        </w:rPr>
        <w:t xml:space="preserve">Source:</w:t>
      </w:r>
      <w:r>
        <w:t xml:space="preserve"> </w:t>
      </w:r>
      <w:r>
        <w:t xml:space="preserve">Pliny the Younger,</w:t>
      </w:r>
      <w:r>
        <w:t xml:space="preserve"> </w:t>
      </w:r>
      <w:r>
        <w:rPr>
          <w:iCs/>
          <w:i/>
        </w:rPr>
        <w:t xml:space="preserve">Letters</w:t>
      </w:r>
      <w:r>
        <w:t xml:space="preserve"> </w:t>
      </w:r>
      <w:r>
        <w:t xml:space="preserve">10.96–97 (Registry P07), c. 111–113 CE.</w:t>
      </w:r>
    </w:p>
    <w:p>
      <w:pPr>
        <w:numPr>
          <w:ilvl w:val="0"/>
          <w:numId w:val="1005"/>
        </w:numPr>
        <w:pStyle w:val="Compact"/>
      </w:pPr>
      <w:r>
        <w:rPr>
          <w:bCs/>
          <w:b/>
        </w:rPr>
        <w:t xml:space="preserve">Confidence:</w:t>
      </w:r>
      <w:r>
        <w:t xml:space="preserve"> </w:t>
      </w:r>
      <w:r>
        <w:t xml:space="preserve">Documented (the letter and its basic content) / Contested (what the</w:t>
      </w:r>
      <w:r>
        <w:t xml:space="preserve"> </w:t>
      </w:r>
      <w:r>
        <w:t xml:space="preserve">“</w:t>
      </w:r>
      <w:r>
        <w:t xml:space="preserve">ordinary meal</w:t>
      </w:r>
      <w:r>
        <w:t xml:space="preserve">”</w:t>
      </w:r>
      <w:r>
        <w:t xml:space="preserve"> </w:t>
      </w:r>
      <w:r>
        <w:t xml:space="preserve">was; whether this reflects one standing legal condition or scattered local exposure).</w:t>
      </w:r>
    </w:p>
    <w:p>
      <w:pPr>
        <w:numPr>
          <w:ilvl w:val="0"/>
          <w:numId w:val="1005"/>
        </w:numPr>
        <w:pStyle w:val="Compact"/>
      </w:pPr>
      <w:r>
        <w:rPr>
          <w:bCs/>
          <w:b/>
        </w:rPr>
        <w:t xml:space="preserve">Strand:</w:t>
      </w:r>
      <w:r>
        <w:t xml:space="preserve"> </w:t>
      </w:r>
      <w:r>
        <w:t xml:space="preserve">N/A — outside/etic evidence, applies to both strands as external pressure.</w:t>
      </w:r>
    </w:p>
    <w:p>
      <w:pPr>
        <w:numPr>
          <w:ilvl w:val="0"/>
          <w:numId w:val="1005"/>
        </w:numPr>
        <w:pStyle w:val="Compact"/>
      </w:pPr>
      <w:r>
        <w:rPr>
          <w:bCs/>
          <w:b/>
        </w:rPr>
        <w:t xml:space="preserve">Connected gravities:</w:t>
      </w:r>
      <w:r>
        <w:t xml:space="preserve"> </w:t>
      </w:r>
      <w:r>
        <w:t xml:space="preserve">G03 (Supporting).</w:t>
      </w:r>
    </w:p>
    <w:p>
      <w:pPr>
        <w:numPr>
          <w:ilvl w:val="0"/>
          <w:numId w:val="1005"/>
        </w:numPr>
        <w:pStyle w:val="Compact"/>
      </w:pPr>
      <w:r>
        <w:rPr>
          <w:bCs/>
          <w:b/>
        </w:rPr>
        <w:t xml:space="preserve">Tier justification, in brief:</w:t>
      </w:r>
      <w:r>
        <w:t xml:space="preserve"> </w:t>
      </w:r>
      <w:r>
        <w:t xml:space="preserve">A specific, dated, named-author account of a real interrogation. Told entirely from the interrogator’s own perspective — this is this world’s only outside description of internal practice, and its single most granular detail (the</w:t>
      </w:r>
      <w:r>
        <w:t xml:space="preserve"> </w:t>
      </w:r>
      <w:r>
        <w:t xml:space="preserve">“</w:t>
      </w:r>
      <w:r>
        <w:t xml:space="preserve">ordinary meal</w:t>
      </w:r>
      <w:r>
        <w:t xml:space="preserve">”</w:t>
      </w:r>
      <w:r>
        <w:t xml:space="preserve">) was extracted from two enslaved women, called</w:t>
      </w:r>
      <w:r>
        <w:t xml:space="preserve"> </w:t>
      </w:r>
      <w:r>
        <w:rPr>
          <w:iCs/>
          <w:i/>
        </w:rPr>
        <w:t xml:space="preserve">ministrae</w:t>
      </w:r>
      <w:r>
        <w:t xml:space="preserve">, under torture.</w:t>
      </w:r>
    </w:p>
    <w:p>
      <w:pPr>
        <w:numPr>
          <w:ilvl w:val="0"/>
          <w:numId w:val="1005"/>
        </w:numPr>
        <w:pStyle w:val="Compact"/>
      </w:pPr>
      <w:r>
        <w:rPr>
          <w:bCs/>
          <w:b/>
        </w:rPr>
        <w:t xml:space="preserve">Usage guidance, in brief:</w:t>
      </w:r>
      <w:r>
        <w:t xml:space="preserve"> </w:t>
      </w:r>
      <w:r>
        <w:rPr>
          <w:bCs/>
          <w:b/>
        </w:rPr>
        <w:t xml:space="preserve">Requires particular care.</w:t>
      </w:r>
      <w:r>
        <w:t xml:space="preserve"> </w:t>
      </w:r>
      <w:r>
        <w:t xml:space="preserve">This story must not be offered as if it were the enslaved</w:t>
      </w:r>
      <w:r>
        <w:t xml:space="preserve"> </w:t>
      </w:r>
      <w:r>
        <w:rPr>
          <w:iCs/>
          <w:i/>
        </w:rPr>
        <w:t xml:space="preserve">ministrae</w:t>
      </w:r>
      <w:r>
        <w:t xml:space="preserve">’s own story — it is Pliny’s report, filtered through elite Roman prejudice and a method ancient jurists themselves distrusted. The Representative should name this plainly if the story is used: these two women have no surviving voice of their own; what survives is what their torturer chose to record. See Section 4, Item 4.</w:t>
      </w:r>
    </w:p>
    <w:p>
      <w:r>
        <w:pict>
          <v:rect style="width:0;height:1.5pt" o:hralign="center" o:hrstd="t" o:hr="t"/>
        </w:pict>
      </w:r>
    </w:p>
    <w:p>
      <w:pPr>
        <w:pStyle w:val="FirstParagraph"/>
      </w:pPr>
      <w:r>
        <w:rPr>
          <w:bCs/>
          <w:b/>
        </w:rPr>
        <w:t xml:space="preserve">Story 005 — Nero’s Fire and the First Scapegoating</w:t>
      </w:r>
      <w:r>
        <w:t xml:space="preserve"> </w:t>
      </w:r>
      <w:r>
        <w:rPr>
          <w:iCs/>
          <w:i/>
        </w:rPr>
        <w:t xml:space="preserve">File:</w:t>
      </w:r>
      <w:r>
        <w:t xml:space="preserve"> </w:t>
      </w:r>
      <w:r>
        <w:rPr>
          <w:rStyle w:val="VerbatimChar"/>
        </w:rPr>
        <w:t xml:space="preserve">pahcstory005_nero-scapegoating.md</w:t>
      </w:r>
    </w:p>
    <w:p>
      <w:pPr>
        <w:numPr>
          <w:ilvl w:val="0"/>
          <w:numId w:val="1006"/>
        </w:numPr>
        <w:pStyle w:val="Compact"/>
      </w:pPr>
      <w:r>
        <w:rPr>
          <w:bCs/>
          <w:b/>
        </w:rPr>
        <w:t xml:space="preserve">Source:</w:t>
      </w:r>
      <w:r>
        <w:t xml:space="preserve"> </w:t>
      </w:r>
      <w:r>
        <w:t xml:space="preserve">Tacitus,</w:t>
      </w:r>
      <w:r>
        <w:t xml:space="preserve"> </w:t>
      </w:r>
      <w:r>
        <w:rPr>
          <w:iCs/>
          <w:i/>
        </w:rPr>
        <w:t xml:space="preserve">Annals</w:t>
      </w:r>
      <w:r>
        <w:t xml:space="preserve"> </w:t>
      </w:r>
      <w:r>
        <w:t xml:space="preserve">15.44 (Registry P08), written c. 116 CE describing events of 64 CE.</w:t>
      </w:r>
    </w:p>
    <w:p>
      <w:pPr>
        <w:numPr>
          <w:ilvl w:val="0"/>
          <w:numId w:val="1006"/>
        </w:numPr>
        <w:pStyle w:val="Compact"/>
      </w:pPr>
      <w:r>
        <w:rPr>
          <w:bCs/>
          <w:b/>
        </w:rPr>
        <w:t xml:space="preserve">Confidence:</w:t>
      </w:r>
      <w:r>
        <w:t xml:space="preserve"> </w:t>
      </w:r>
      <w:r>
        <w:t xml:space="preserve">Widely Accepted (the passage’s basic authenticity) / Contested (whether a discrete, fire-linked persecution of Christians</w:t>
      </w:r>
      <w:r>
        <w:t xml:space="preserve"> </w:t>
      </w:r>
      <w:r>
        <w:rPr>
          <w:iCs/>
          <w:i/>
        </w:rPr>
        <w:t xml:space="preserve">as a named group</w:t>
      </w:r>
      <w:r>
        <w:t xml:space="preserve"> </w:t>
      </w:r>
      <w:r>
        <w:t xml:space="preserve">actually occurred — the live Shaw/Jones debate).</w:t>
      </w:r>
    </w:p>
    <w:p>
      <w:pPr>
        <w:numPr>
          <w:ilvl w:val="0"/>
          <w:numId w:val="1006"/>
        </w:numPr>
        <w:pStyle w:val="Compact"/>
      </w:pPr>
      <w:r>
        <w:rPr>
          <w:bCs/>
          <w:b/>
        </w:rPr>
        <w:t xml:space="preserve">Strand:</w:t>
      </w:r>
      <w:r>
        <w:t xml:space="preserve"> </w:t>
      </w:r>
      <w:r>
        <w:t xml:space="preserve">N/A — pre-dates and generates both strands.</w:t>
      </w:r>
    </w:p>
    <w:p>
      <w:pPr>
        <w:numPr>
          <w:ilvl w:val="0"/>
          <w:numId w:val="1006"/>
        </w:numPr>
        <w:pStyle w:val="Compact"/>
      </w:pPr>
      <w:r>
        <w:rPr>
          <w:bCs/>
          <w:b/>
        </w:rPr>
        <w:t xml:space="preserve">Connected gravities:</w:t>
      </w:r>
      <w:r>
        <w:t xml:space="preserve"> </w:t>
      </w:r>
      <w:r>
        <w:t xml:space="preserve">Generative trigger for G01 (per Doc_08 Connection 1); background to G03, G04.</w:t>
      </w:r>
    </w:p>
    <w:p>
      <w:pPr>
        <w:numPr>
          <w:ilvl w:val="0"/>
          <w:numId w:val="1006"/>
        </w:numPr>
        <w:pStyle w:val="Compact"/>
      </w:pPr>
      <w:r>
        <w:rPr>
          <w:bCs/>
          <w:b/>
        </w:rPr>
        <w:t xml:space="preserve">Tier justification, in brief:</w:t>
      </w:r>
      <w:r>
        <w:t xml:space="preserve"> </w:t>
      </w:r>
      <w:r>
        <w:t xml:space="preserve">A specific, dated historical event from a named, datable historian, describing named individuals (though no Christian individual is named). This is the closest thing this world has to an origin story — the eyewitness-generation loss this event set in motion is what Doc_01 and Doc_08 both treat as this world’s whole generative condition.</w:t>
      </w:r>
    </w:p>
    <w:p>
      <w:pPr>
        <w:numPr>
          <w:ilvl w:val="0"/>
          <w:numId w:val="1006"/>
        </w:numPr>
        <w:pStyle w:val="Compact"/>
      </w:pPr>
      <w:r>
        <w:rPr>
          <w:bCs/>
          <w:b/>
        </w:rPr>
        <w:t xml:space="preserve">Usage guidance, in brief:</w:t>
      </w:r>
      <w:r>
        <w:t xml:space="preserve"> </w:t>
      </w:r>
      <w:r>
        <w:t xml:space="preserve">May be offered as historical background explaining why this world’s formation logic is</w:t>
      </w:r>
      <w:r>
        <w:t xml:space="preserve"> </w:t>
      </w:r>
      <w:r>
        <w:t xml:space="preserve">“</w:t>
      </w:r>
      <w:r>
        <w:t xml:space="preserve">argued, not inherited</w:t>
      </w:r>
      <w:r>
        <w:t xml:space="preserve">”</w:t>
      </w:r>
      <w:r>
        <w:t xml:space="preserve"> </w:t>
      </w:r>
      <w:r>
        <w:t xml:space="preserve">— but the live Shaw/Jones dispute over whether a discrete, named-group persecution actually occurred (versus a more general scapegoating) should be named if the story is pressed on for detail.</w:t>
      </w:r>
    </w:p>
    <w:p>
      <w:r>
        <w:pict>
          <v:rect style="width:0;height:1.5pt" o:hralign="center" o:hrstd="t" o:hr="t"/>
        </w:pict>
      </w:r>
    </w:p>
    <w:p>
      <w:pPr>
        <w:pStyle w:val="FirstParagraph"/>
      </w:pPr>
      <w:r>
        <w:rPr>
          <w:bCs/>
          <w:b/>
        </w:rPr>
        <w:t xml:space="preserve">Story 006 — A Sunday Gathering in Rome, As Justin Describes It</w:t>
      </w:r>
      <w:r>
        <w:t xml:space="preserve"> </w:t>
      </w:r>
      <w:r>
        <w:rPr>
          <w:iCs/>
          <w:i/>
        </w:rPr>
        <w:t xml:space="preserve">File:</w:t>
      </w:r>
      <w:r>
        <w:t xml:space="preserve"> </w:t>
      </w:r>
      <w:r>
        <w:rPr>
          <w:rStyle w:val="VerbatimChar"/>
        </w:rPr>
        <w:t xml:space="preserve">pahcstory006_justin-sunday-gathering.md</w:t>
      </w:r>
    </w:p>
    <w:p>
      <w:pPr>
        <w:numPr>
          <w:ilvl w:val="0"/>
          <w:numId w:val="1007"/>
        </w:numPr>
        <w:pStyle w:val="Compact"/>
      </w:pPr>
      <w:r>
        <w:rPr>
          <w:bCs/>
          <w:b/>
        </w:rPr>
        <w:t xml:space="preserve">Source:</w:t>
      </w:r>
      <w:r>
        <w:t xml:space="preserve"> </w:t>
      </w:r>
      <w:r>
        <w:t xml:space="preserve">Justin Martyr,</w:t>
      </w:r>
      <w:r>
        <w:t xml:space="preserve"> </w:t>
      </w:r>
      <w:r>
        <w:rPr>
          <w:iCs/>
          <w:i/>
        </w:rPr>
        <w:t xml:space="preserve">First Apology</w:t>
      </w:r>
      <w:r>
        <w:t xml:space="preserve"> </w:t>
      </w:r>
      <w:r>
        <w:t xml:space="preserve">65–67 (Registry P06), c. 153–157 CE.</w:t>
      </w:r>
    </w:p>
    <w:p>
      <w:pPr>
        <w:numPr>
          <w:ilvl w:val="0"/>
          <w:numId w:val="1007"/>
        </w:numPr>
        <w:pStyle w:val="Compact"/>
      </w:pPr>
      <w:r>
        <w:rPr>
          <w:bCs/>
          <w:b/>
        </w:rPr>
        <w:t xml:space="preserve">Confidence:</w:t>
      </w:r>
      <w:r>
        <w:t xml:space="preserve"> </w:t>
      </w:r>
      <w:r>
        <w:t xml:space="preserve">Widely Accepted as an accurate description of Roman practice / Contested as a network-wide template.</w:t>
      </w:r>
    </w:p>
    <w:p>
      <w:pPr>
        <w:numPr>
          <w:ilvl w:val="0"/>
          <w:numId w:val="1007"/>
        </w:numPr>
        <w:pStyle w:val="Compact"/>
      </w:pPr>
      <w:r>
        <w:rPr>
          <w:bCs/>
          <w:b/>
        </w:rPr>
        <w:t xml:space="preserve">Strand:</w:t>
      </w:r>
      <w:r>
        <w:t xml:space="preserve"> </w:t>
      </w:r>
      <w:r>
        <w:t xml:space="preserve">B.</w:t>
      </w:r>
    </w:p>
    <w:p>
      <w:pPr>
        <w:numPr>
          <w:ilvl w:val="0"/>
          <w:numId w:val="1007"/>
        </w:numPr>
        <w:pStyle w:val="Compact"/>
      </w:pPr>
      <w:r>
        <w:rPr>
          <w:bCs/>
          <w:b/>
        </w:rPr>
        <w:t xml:space="preserve">Connected gravities:</w:t>
      </w:r>
      <w:r>
        <w:t xml:space="preserve"> </w:t>
      </w:r>
      <w:r>
        <w:t xml:space="preserve">G07 (Primary).</w:t>
      </w:r>
    </w:p>
    <w:p>
      <w:pPr>
        <w:numPr>
          <w:ilvl w:val="0"/>
          <w:numId w:val="1007"/>
        </w:numPr>
        <w:pStyle w:val="Compact"/>
      </w:pPr>
      <w:r>
        <w:rPr>
          <w:bCs/>
          <w:b/>
        </w:rPr>
        <w:t xml:space="preserve">Tier justification, in brief:</w:t>
      </w:r>
      <w:r>
        <w:t xml:space="preserve"> </w:t>
      </w:r>
      <w:r>
        <w:t xml:space="preserve">A direct, first-person, named-author description — not a builder’s composite reconstruction, but Justin’s own report of what</w:t>
      </w:r>
      <w:r>
        <w:t xml:space="preserve"> </w:t>
      </w:r>
      <w:r>
        <w:t xml:space="preserve">“</w:t>
      </w:r>
      <w:r>
        <w:t xml:space="preserve">we do.</w:t>
      </w:r>
      <w:r>
        <w:t xml:space="preserve">”</w:t>
      </w:r>
      <w:r>
        <w:t xml:space="preserve"> </w:t>
      </w:r>
      <w:r>
        <w:t xml:space="preserve">Told in his own apologetic genre (addressed to an outside, imperial audience), which shapes how persuasively tidy the account may be.</w:t>
      </w:r>
    </w:p>
    <w:p>
      <w:pPr>
        <w:numPr>
          <w:ilvl w:val="0"/>
          <w:numId w:val="1007"/>
        </w:numPr>
        <w:pStyle w:val="Compact"/>
      </w:pPr>
      <w:r>
        <w:rPr>
          <w:bCs/>
          <w:b/>
        </w:rPr>
        <w:t xml:space="preserve">Usage guidance, in brief:</w:t>
      </w:r>
      <w:r>
        <w:t xml:space="preserve"> </w:t>
      </w:r>
      <w:r>
        <w:t xml:space="preserve">May be offered as historical narrative in Justin’s own voice, but must not be silently generalized to Antioch or Asia Minor — this is one Roman writer’s own account, not a network-wide template (Bradshaw’s caution, carried forward from Doc_02 §4).</w:t>
      </w:r>
    </w:p>
    <w:p>
      <w:r>
        <w:pict>
          <v:rect style="width:0;height:1.5pt" o:hralign="center" o:hrstd="t" o:hr="t"/>
        </w:pict>
      </w:r>
    </w:p>
    <w:p>
      <w:pPr>
        <w:pStyle w:val="FirstParagraph"/>
      </w:pPr>
      <w:r>
        <w:rPr>
          <w:bCs/>
          <w:b/>
        </w:rPr>
        <w:t xml:space="preserve">Story 007 — Hermas’s Visions of Mercy After Sin</w:t>
      </w:r>
      <w:r>
        <w:t xml:space="preserve"> </w:t>
      </w:r>
      <w:r>
        <w:rPr>
          <w:iCs/>
          <w:i/>
        </w:rPr>
        <w:t xml:space="preserve">File:</w:t>
      </w:r>
      <w:r>
        <w:t xml:space="preserve"> </w:t>
      </w:r>
      <w:r>
        <w:rPr>
          <w:rStyle w:val="VerbatimChar"/>
        </w:rPr>
        <w:t xml:space="preserve">pahcstory007_hermas-visions.md</w:t>
      </w:r>
    </w:p>
    <w:p>
      <w:pPr>
        <w:numPr>
          <w:ilvl w:val="0"/>
          <w:numId w:val="1008"/>
        </w:numPr>
        <w:pStyle w:val="Compact"/>
      </w:pPr>
      <w:r>
        <w:rPr>
          <w:bCs/>
          <w:b/>
        </w:rPr>
        <w:t xml:space="preserve">Source:</w:t>
      </w:r>
      <w:r>
        <w:t xml:space="preserve"> </w:t>
      </w:r>
      <w:r>
        <w:rPr>
          <w:iCs/>
          <w:i/>
        </w:rPr>
        <w:t xml:space="preserve">Shepherd of Hermas</w:t>
      </w:r>
      <w:r>
        <w:t xml:space="preserve"> </w:t>
      </w:r>
      <w:r>
        <w:t xml:space="preserve">(Registry P05), composite composition c. 90–150 CE.</w:t>
      </w:r>
    </w:p>
    <w:p>
      <w:pPr>
        <w:numPr>
          <w:ilvl w:val="0"/>
          <w:numId w:val="1008"/>
        </w:numPr>
        <w:pStyle w:val="Compact"/>
      </w:pPr>
      <w:r>
        <w:rPr>
          <w:bCs/>
          <w:b/>
        </w:rPr>
        <w:t xml:space="preserve">Confidence:</w:t>
      </w:r>
      <w:r>
        <w:t xml:space="preserve"> </w:t>
      </w:r>
      <w:r>
        <w:t xml:space="preserve">Widely Accepted that the text and its visions are genuinely Hermas’s own reported content / Contested on composition dating and staging.</w:t>
      </w:r>
    </w:p>
    <w:p>
      <w:pPr>
        <w:numPr>
          <w:ilvl w:val="0"/>
          <w:numId w:val="1008"/>
        </w:numPr>
        <w:pStyle w:val="Compact"/>
      </w:pPr>
      <w:r>
        <w:rPr>
          <w:bCs/>
          <w:b/>
        </w:rPr>
        <w:t xml:space="preserve">Strand:</w:t>
      </w:r>
      <w:r>
        <w:t xml:space="preserve"> </w:t>
      </w:r>
      <w:r>
        <w:t xml:space="preserve">B only.</w:t>
      </w:r>
    </w:p>
    <w:p>
      <w:pPr>
        <w:numPr>
          <w:ilvl w:val="0"/>
          <w:numId w:val="1008"/>
        </w:numPr>
        <w:pStyle w:val="Compact"/>
      </w:pPr>
      <w:r>
        <w:rPr>
          <w:bCs/>
          <w:b/>
        </w:rPr>
        <w:t xml:space="preserve">Connected gravities:</w:t>
      </w:r>
      <w:r>
        <w:t xml:space="preserve"> </w:t>
      </w:r>
      <w:r>
        <w:t xml:space="preserve">Feeds G01 (Strand B plural-presbyter reading,</w:t>
      </w:r>
      <w:r>
        <w:t xml:space="preserve"> </w:t>
      </w:r>
      <w:r>
        <w:rPr>
          <w:iCs/>
          <w:i/>
        </w:rPr>
        <w:t xml:space="preserve">Vision</w:t>
      </w:r>
      <w:r>
        <w:t xml:space="preserve"> </w:t>
      </w:r>
      <w:r>
        <w:t xml:space="preserve">2.4.3) and Roman penitential-formation material (Doc_05, Doc_07 §§2A, 2H).</w:t>
      </w:r>
    </w:p>
    <w:p>
      <w:pPr>
        <w:numPr>
          <w:ilvl w:val="0"/>
          <w:numId w:val="1008"/>
        </w:numPr>
        <w:pStyle w:val="Compact"/>
      </w:pPr>
      <w:r>
        <w:rPr>
          <w:bCs/>
          <w:b/>
        </w:rPr>
        <w:t xml:space="preserve">Tier justification, in brief:</w:t>
      </w:r>
      <w:r>
        <w:t xml:space="preserve"> </w:t>
      </w:r>
      <w:r>
        <w:t xml:space="preserve">Hermas names himself as the recipient and narrator of these visions in his own surviving text — direct textual attestation, not a later attribution or hagiographic convention applied to him by someone else. The genre distinction is disclosed explicitly in the deployment chunk: this tier classification concerns the text’s own direct, named attestation of</w:t>
      </w:r>
      <w:r>
        <w:t xml:space="preserve"> </w:t>
      </w:r>
      <w:r>
        <w:rPr>
          <w:iCs/>
          <w:i/>
        </w:rPr>
        <w:t xml:space="preserve">reporting</w:t>
      </w:r>
      <w:r>
        <w:t xml:space="preserve"> </w:t>
      </w:r>
      <w:r>
        <w:t xml:space="preserve">these visions, not a claim that the supernatural content of the visions is historically factual.</w:t>
      </w:r>
    </w:p>
    <w:p>
      <w:pPr>
        <w:numPr>
          <w:ilvl w:val="0"/>
          <w:numId w:val="1008"/>
        </w:numPr>
        <w:pStyle w:val="Compact"/>
      </w:pPr>
      <w:r>
        <w:rPr>
          <w:bCs/>
          <w:b/>
        </w:rPr>
        <w:t xml:space="preserve">Usage guidance, in brief:</w:t>
      </w:r>
      <w:r>
        <w:t xml:space="preserve"> </w:t>
      </w:r>
      <w:r>
        <w:t xml:space="preserve">May be offered as Hermas’s own account of what he received. The apocalyptic/visionary genre should be named as such — this is not a claim that an angelic figure literally appeared, but that Hermas himself, in his own surviving text, presents his formation this way.</w:t>
      </w:r>
    </w:p>
    <w:p>
      <w:r>
        <w:pict>
          <v:rect style="width:0;height:1.5pt" o:hralign="center" o:hrstd="t" o:hr="t"/>
        </w:pict>
      </w:r>
    </w:p>
    <w:bookmarkEnd w:id="21"/>
    <w:bookmarkStart w:id="22" w:name="tier-3-attributed-tradition"/>
    <w:p>
      <w:pPr>
        <w:pStyle w:val="Heading3"/>
      </w:pPr>
      <w:r>
        <w:t xml:space="preserve">TIER 3 — ATTRIBUTED TRADITION</w:t>
      </w:r>
    </w:p>
    <w:p>
      <w:r>
        <w:pict>
          <v:rect style="width:0;height:1.5pt" o:hralign="center" o:hrstd="t" o:hr="t"/>
        </w:pict>
      </w:r>
    </w:p>
    <w:p>
      <w:pPr>
        <w:pStyle w:val="FirstParagraph"/>
      </w:pPr>
      <w:r>
        <w:rPr>
          <w:bCs/>
          <w:b/>
        </w:rPr>
        <w:t xml:space="preserve">Story 008 — The Martyrdom of Polycarp</w:t>
      </w:r>
      <w:r>
        <w:t xml:space="preserve"> </w:t>
      </w:r>
      <w:r>
        <w:rPr>
          <w:iCs/>
          <w:i/>
        </w:rPr>
        <w:t xml:space="preserve">File:</w:t>
      </w:r>
      <w:r>
        <w:t xml:space="preserve"> </w:t>
      </w:r>
      <w:r>
        <w:rPr>
          <w:rStyle w:val="VerbatimChar"/>
        </w:rPr>
        <w:t xml:space="preserve">pahcstory008_martyrdom-of-polycarp.md</w:t>
      </w:r>
    </w:p>
    <w:p>
      <w:pPr>
        <w:numPr>
          <w:ilvl w:val="0"/>
          <w:numId w:val="1009"/>
        </w:numPr>
        <w:pStyle w:val="Compact"/>
      </w:pPr>
      <w:r>
        <w:rPr>
          <w:bCs/>
          <w:b/>
        </w:rPr>
        <w:t xml:space="preserve">Source:</w:t>
      </w:r>
      <w:r>
        <w:t xml:space="preserve"> </w:t>
      </w:r>
      <w:r>
        <w:rPr>
          <w:iCs/>
          <w:i/>
        </w:rPr>
        <w:t xml:space="preserve">Martyrdom of Polycarp</w:t>
      </w:r>
      <w:r>
        <w:t xml:space="preserve"> </w:t>
      </w:r>
      <w:r>
        <w:t xml:space="preserve">(Registry P16, added during this document’s own construction — see Document Log). Traditional dating c. 155–156 CE; Eusebius’s</w:t>
      </w:r>
      <w:r>
        <w:t xml:space="preserve"> </w:t>
      </w:r>
      <w:r>
        <w:rPr>
          <w:iCs/>
          <w:i/>
        </w:rPr>
        <w:t xml:space="preserve">Chronicon</w:t>
      </w:r>
      <w:r>
        <w:t xml:space="preserve"> </w:t>
      </w:r>
      <w:r>
        <w:t xml:space="preserve">dates it 167 CE; concluding chapters (20–22) widely regarded as later redactional additions.</w:t>
      </w:r>
    </w:p>
    <w:p>
      <w:pPr>
        <w:numPr>
          <w:ilvl w:val="0"/>
          <w:numId w:val="1009"/>
        </w:numPr>
        <w:pStyle w:val="Compact"/>
      </w:pPr>
      <w:r>
        <w:rPr>
          <w:bCs/>
          <w:b/>
        </w:rPr>
        <w:t xml:space="preserve">Confidence:</w:t>
      </w:r>
      <w:r>
        <w:t xml:space="preserve"> </w:t>
      </w:r>
      <w:r>
        <w:t xml:space="preserve">Contested (dating) / Inferential-Thin (specific details shaped by hagiographic and martyrological convention).</w:t>
      </w:r>
    </w:p>
    <w:p>
      <w:pPr>
        <w:numPr>
          <w:ilvl w:val="0"/>
          <w:numId w:val="1009"/>
        </w:numPr>
        <w:pStyle w:val="Compact"/>
      </w:pPr>
      <w:r>
        <w:rPr>
          <w:bCs/>
          <w:b/>
        </w:rPr>
        <w:t xml:space="preserve">Strand:</w:t>
      </w:r>
      <w:r>
        <w:t xml:space="preserve"> </w:t>
      </w:r>
      <w:r>
        <w:t xml:space="preserve">A only.</w:t>
      </w:r>
    </w:p>
    <w:p>
      <w:pPr>
        <w:numPr>
          <w:ilvl w:val="0"/>
          <w:numId w:val="1009"/>
        </w:numPr>
        <w:pStyle w:val="Compact"/>
      </w:pPr>
      <w:r>
        <w:rPr>
          <w:bCs/>
          <w:b/>
        </w:rPr>
        <w:t xml:space="preserve">Connected gravities:</w:t>
      </w:r>
      <w:r>
        <w:t xml:space="preserve"> </w:t>
      </w:r>
      <w:r>
        <w:t xml:space="preserve">G04 (Supporting, Strand A only — one of exactly two data points this gravity rests on).</w:t>
      </w:r>
    </w:p>
    <w:p>
      <w:pPr>
        <w:numPr>
          <w:ilvl w:val="0"/>
          <w:numId w:val="1009"/>
        </w:numPr>
        <w:pStyle w:val="Compact"/>
      </w:pPr>
      <w:r>
        <w:rPr>
          <w:bCs/>
          <w:b/>
        </w:rPr>
        <w:t xml:space="preserve">Tier justification, in brief:</w:t>
      </w:r>
      <w:r>
        <w:t xml:space="preserve"> </w:t>
      </w:r>
      <w:r>
        <w:t xml:space="preserve">This is the clearest Tier 3 case in this world’s evidentiary base. It is attributed to a specific figure and moment (Polycarp’s arrest and death), transmitted by the receiving community (framed as a letter from the church at Smyrna to the church at Philomelium), and shaped by recognizable hagiographic and martyrological convention — the idealized courage, the theatrical arrest, the</w:t>
      </w:r>
      <w:r>
        <w:t xml:space="preserve"> </w:t>
      </w:r>
      <w:r>
        <w:rPr>
          <w:iCs/>
          <w:i/>
        </w:rPr>
        <w:t xml:space="preserve">dies natalis</w:t>
      </w:r>
      <w:r>
        <w:t xml:space="preserve"> </w:t>
      </w:r>
      <w:r>
        <w:t xml:space="preserve">framing of death as birth, the bone-collection scene (ch. 18) explicitly echoing relic-veneration language. The text’s own concluding chapters are independently regarded as later additions, meaning even its own ending is not a clean single-layer witness. This is not treated as a defect that disqualifies the story — per the Framework’s own discipline,</w:t>
      </w:r>
      <w:r>
        <w:t xml:space="preserve"> </w:t>
      </w:r>
      <w:r>
        <w:t xml:space="preserve">“</w:t>
      </w:r>
      <w:r>
        <w:t xml:space="preserve">the account of what a formed life looks like is itself genuine formation ecology evidence,</w:t>
      </w:r>
      <w:r>
        <w:t xml:space="preserve">”</w:t>
      </w:r>
      <w:r>
        <w:t xml:space="preserve"> </w:t>
      </w:r>
      <w:r>
        <w:t xml:space="preserve">even where the specific details cannot be treated as historical reporting.</w:t>
      </w:r>
    </w:p>
    <w:p>
      <w:pPr>
        <w:numPr>
          <w:ilvl w:val="0"/>
          <w:numId w:val="1009"/>
        </w:numPr>
        <w:pStyle w:val="Compact"/>
      </w:pPr>
      <w:r>
        <w:rPr>
          <w:bCs/>
          <w:b/>
        </w:rPr>
        <w:t xml:space="preserve">Usage guidance, in brief:</w:t>
      </w:r>
      <w:r>
        <w:t xml:space="preserve"> </w:t>
      </w:r>
      <w:r>
        <w:t xml:space="preserve">May be offered as the tradition’s own account of what a formed life under martyrdom looks like — not as verified historical fact about the specific events. The formation ideal (courage, deliberate imitation of the founder, the community’s own act of honoring him) is the evidence; the narrative’s specific staged details are not.</w:t>
      </w:r>
    </w:p>
    <w:p>
      <w:r>
        <w:pict>
          <v:rect style="width:0;height:1.5pt" o:hralign="center" o:hrstd="t" o:hr="t"/>
        </w:pict>
      </w:r>
    </w:p>
    <w:bookmarkEnd w:id="22"/>
    <w:bookmarkStart w:id="23" w:name="X064a76b0f599af8a69f3d52d173ccc1242c40ef"/>
    <w:p>
      <w:pPr>
        <w:pStyle w:val="Heading3"/>
      </w:pPr>
      <w:r>
        <w:t xml:space="preserve">TIER 4 — HISTORICALLY GROUNDED RECONSTRUCTION</w:t>
      </w:r>
    </w:p>
    <w:p>
      <w:r>
        <w:pict>
          <v:rect style="width:0;height:1.5pt" o:hralign="center" o:hrstd="t" o:hr="t"/>
        </w:pict>
      </w:r>
    </w:p>
    <w:p>
      <w:pPr>
        <w:pStyle w:val="FirstParagraph"/>
      </w:pPr>
      <w:r>
        <w:rPr>
          <w:bCs/>
          <w:b/>
        </w:rPr>
        <w:t xml:space="preserve">Story 009 — The Two Ways: A Catechumen’s Path to the Water</w:t>
      </w:r>
      <w:r>
        <w:t xml:space="preserve"> </w:t>
      </w:r>
      <w:r>
        <w:rPr>
          <w:iCs/>
          <w:i/>
        </w:rPr>
        <w:t xml:space="preserve">File:</w:t>
      </w:r>
      <w:r>
        <w:t xml:space="preserve"> </w:t>
      </w:r>
      <w:r>
        <w:rPr>
          <w:rStyle w:val="VerbatimChar"/>
        </w:rPr>
        <w:t xml:space="preserve">pahcstory009_two-ways-catechumen.md</w:t>
      </w:r>
    </w:p>
    <w:p>
      <w:pPr>
        <w:numPr>
          <w:ilvl w:val="0"/>
          <w:numId w:val="1010"/>
        </w:numPr>
        <w:pStyle w:val="Compact"/>
      </w:pPr>
      <w:r>
        <w:rPr>
          <w:bCs/>
          <w:b/>
        </w:rPr>
        <w:t xml:space="preserve">Sources:</w:t>
      </w:r>
      <w:r>
        <w:t xml:space="preserve"> </w:t>
      </w:r>
      <w:r>
        <w:t xml:space="preserve">Didache chs. 1–7 (Registry P01) — every element traceable; see the chunk’s own Source Identification section.</w:t>
      </w:r>
    </w:p>
    <w:p>
      <w:pPr>
        <w:numPr>
          <w:ilvl w:val="0"/>
          <w:numId w:val="1010"/>
        </w:numPr>
        <w:pStyle w:val="Compact"/>
      </w:pPr>
      <w:r>
        <w:rPr>
          <w:bCs/>
          <w:b/>
        </w:rPr>
        <w:t xml:space="preserve">Confidence:</w:t>
      </w:r>
      <w:r>
        <w:t xml:space="preserve"> </w:t>
      </w:r>
      <w:r>
        <w:t xml:space="preserve">Inferential-Thin (Tier 4, always), though the underlying textual facts are Documented; the schema’s specific</w:t>
      </w:r>
      <w:r>
        <w:t xml:space="preserve"> </w:t>
      </w:r>
      <w:r>
        <w:rPr>
          <w:iCs/>
          <w:i/>
        </w:rPr>
        <w:t xml:space="preserve">procedural</w:t>
      </w:r>
      <w:r>
        <w:t xml:space="preserve"> </w:t>
      </w:r>
      <w:r>
        <w:t xml:space="preserve">detail (water-type fallback sequence, threefold pouring) is not claimed beyond the Didache’s own single (likely Syrian) community.</w:t>
      </w:r>
      <w:r>
        <w:t xml:space="preserve"> </w:t>
      </w:r>
      <w:r>
        <w:rPr>
          <w:bCs/>
          <w:b/>
        </w:rPr>
        <w:t xml:space="preserve">Updated at Step 9’s Validation &amp; Testing pass, 2026-07-08:</w:t>
      </w:r>
      <w:r>
        <w:t xml:space="preserve"> </w:t>
      </w:r>
      <w:r>
        <w:t xml:space="preserve">the basic shape this story depicts — catechesis before baptism, water invoked under a triadic divine naming, pre-baptismal fasting, baptism as the gate to the community’s shared meal — is now independently corroborated by Justin Martyr’s</w:t>
      </w:r>
      <w:r>
        <w:t xml:space="preserve"> </w:t>
      </w:r>
      <w:r>
        <w:rPr>
          <w:iCs/>
          <w:i/>
        </w:rPr>
        <w:t xml:space="preserve">First Apology</w:t>
      </w:r>
      <w:r>
        <w:t xml:space="preserve"> </w:t>
      </w:r>
      <w:r>
        <w:t xml:space="preserve">61, 65–66 (Rome/Strand B) and, more thinly, by Ignatius’s</w:t>
      </w:r>
      <w:r>
        <w:t xml:space="preserve"> </w:t>
      </w:r>
      <w:r>
        <w:rPr>
          <w:iCs/>
          <w:i/>
        </w:rPr>
        <w:t xml:space="preserve">Smyrnaeans</w:t>
      </w:r>
      <w:r>
        <w:t xml:space="preserve"> </w:t>
      </w:r>
      <w:r>
        <w:t xml:space="preserve">8:2 (Antioch-Asia Minor/Strand A, confirming the practice existed and was bishop-gatekept, though contributing no procedural detail). The</w:t>
      </w:r>
      <w:r>
        <w:t xml:space="preserve"> </w:t>
      </w:r>
      <w:r>
        <w:rPr>
          <w:iCs/>
          <w:i/>
        </w:rPr>
        <w:t xml:space="preserve">specific</w:t>
      </w:r>
      <w:r>
        <w:t xml:space="preserve"> </w:t>
      </w:r>
      <w:r>
        <w:t xml:space="preserve">sequence this story narrates remains Didache-only.</w:t>
      </w:r>
    </w:p>
    <w:p>
      <w:pPr>
        <w:numPr>
          <w:ilvl w:val="0"/>
          <w:numId w:val="1010"/>
        </w:numPr>
        <w:pStyle w:val="Compact"/>
      </w:pPr>
      <w:r>
        <w:rPr>
          <w:bCs/>
          <w:b/>
        </w:rPr>
        <w:t xml:space="preserve">Strand:</w:t>
      </w:r>
      <w:r>
        <w:t xml:space="preserve"> </w:t>
      </w:r>
      <w:r>
        <w:t xml:space="preserve">Neither — single-community (Didache), distinct from both Strand A and Strand B. The general practice this story exemplifies is now known to have cross-strand analogues (see Confidence above); this specific composite remains a Didache-only account.</w:t>
      </w:r>
    </w:p>
    <w:p>
      <w:pPr>
        <w:numPr>
          <w:ilvl w:val="0"/>
          <w:numId w:val="1010"/>
        </w:numPr>
        <w:pStyle w:val="Compact"/>
      </w:pPr>
      <w:r>
        <w:rPr>
          <w:bCs/>
          <w:b/>
        </w:rPr>
        <w:t xml:space="preserve">Connected gravities:</w:t>
      </w:r>
      <w:r>
        <w:t xml:space="preserve"> </w:t>
      </w:r>
      <w:r>
        <w:t xml:space="preserve">Feeds the philosophical/entry-point moral logic Doc_07 §2B names; not itself a Doc_04 gravity.</w:t>
      </w:r>
    </w:p>
    <w:p>
      <w:pPr>
        <w:numPr>
          <w:ilvl w:val="0"/>
          <w:numId w:val="1010"/>
        </w:numPr>
        <w:pStyle w:val="Compact"/>
      </w:pPr>
      <w:r>
        <w:rPr>
          <w:bCs/>
          <w:b/>
        </w:rPr>
        <w:t xml:space="preserve">Tier justification, in brief:</w:t>
      </w:r>
      <w:r>
        <w:t xml:space="preserve"> </w:t>
      </w:r>
      <w:r>
        <w:t xml:space="preserve">No single named catechumen is attested — this is a composite reconstruction of typical practice (teaching the Two Ways, then baptism in running water with fallbacks, then fasting) built entirely from the Didache’s own instructional text.</w:t>
      </w:r>
    </w:p>
    <w:p>
      <w:pPr>
        <w:numPr>
          <w:ilvl w:val="0"/>
          <w:numId w:val="1010"/>
        </w:numPr>
        <w:pStyle w:val="Compact"/>
      </w:pPr>
      <w:r>
        <w:rPr>
          <w:bCs/>
          <w:b/>
        </w:rPr>
        <w:t xml:space="preserve">Usage guidance, in brief:</w:t>
      </w:r>
      <w:r>
        <w:t xml:space="preserve"> </w:t>
      </w:r>
      <w:r>
        <w:t xml:space="preserve">Must be told explicitly as reconstruction from the outset. Its specific procedural detail must not be extended beyond the Didache’s own single-community evidentiary base — this cannot be offered as</w:t>
      </w:r>
      <w:r>
        <w:t xml:space="preserve"> </w:t>
      </w:r>
      <w:r>
        <w:t xml:space="preserve">“</w:t>
      </w:r>
      <w:r>
        <w:t xml:space="preserve">exactly how baptism worked</w:t>
      </w:r>
      <w:r>
        <w:t xml:space="preserve">”</w:t>
      </w:r>
      <w:r>
        <w:t xml:space="preserve"> </w:t>
      </w:r>
      <w:r>
        <w:t xml:space="preserve">across this world’s network. It may now be paired with the broader, honestly-calibrated claim that the basic practice (water, triadic naming, pre-baptismal fasting, baptism-before-eucharist) is attested more widely, provided the two levels of claim — this story’s specific sequence versus the general practice — are not blurred together.</w:t>
      </w:r>
    </w:p>
    <w:p>
      <w:r>
        <w:pict>
          <v:rect style="width:0;height:1.5pt" o:hralign="center" o:hrstd="t" o:hr="t"/>
        </w:pict>
      </w:r>
    </w:p>
    <w:p>
      <w:pPr>
        <w:pStyle w:val="FirstParagraph"/>
      </w:pPr>
      <w:r>
        <w:rPr>
          <w:bCs/>
          <w:b/>
        </w:rPr>
        <w:t xml:space="preserve">Story 010 — A Meal Without a Story: The Didache’s Eucharist</w:t>
      </w:r>
      <w:r>
        <w:t xml:space="preserve"> </w:t>
      </w:r>
      <w:r>
        <w:rPr>
          <w:iCs/>
          <w:i/>
        </w:rPr>
        <w:t xml:space="preserve">File:</w:t>
      </w:r>
      <w:r>
        <w:t xml:space="preserve"> </w:t>
      </w:r>
      <w:r>
        <w:rPr>
          <w:rStyle w:val="VerbatimChar"/>
        </w:rPr>
        <w:t xml:space="preserve">pahcstory010_didache-eucharist.md</w:t>
      </w:r>
    </w:p>
    <w:p>
      <w:pPr>
        <w:numPr>
          <w:ilvl w:val="0"/>
          <w:numId w:val="1011"/>
        </w:numPr>
        <w:pStyle w:val="Compact"/>
      </w:pPr>
      <w:r>
        <w:rPr>
          <w:bCs/>
          <w:b/>
        </w:rPr>
        <w:t xml:space="preserve">Sources:</w:t>
      </w:r>
      <w:r>
        <w:t xml:space="preserve"> </w:t>
      </w:r>
      <w:r>
        <w:t xml:space="preserve">Didache chs. 9–10, 14 (Registry P01).</w:t>
      </w:r>
    </w:p>
    <w:p>
      <w:pPr>
        <w:numPr>
          <w:ilvl w:val="0"/>
          <w:numId w:val="1011"/>
        </w:numPr>
        <w:pStyle w:val="Compact"/>
      </w:pPr>
      <w:r>
        <w:rPr>
          <w:bCs/>
          <w:b/>
        </w:rPr>
        <w:t xml:space="preserve">Confidence:</w:t>
      </w:r>
      <w:r>
        <w:t xml:space="preserve"> </w:t>
      </w:r>
      <w:r>
        <w:t xml:space="preserve">Inferential-Thin (Tier 4).</w:t>
      </w:r>
    </w:p>
    <w:p>
      <w:pPr>
        <w:numPr>
          <w:ilvl w:val="0"/>
          <w:numId w:val="1011"/>
        </w:numPr>
        <w:pStyle w:val="Compact"/>
      </w:pPr>
      <w:r>
        <w:rPr>
          <w:bCs/>
          <w:b/>
        </w:rPr>
        <w:t xml:space="preserve">Strand:</w:t>
      </w:r>
      <w:r>
        <w:t xml:space="preserve"> </w:t>
      </w:r>
      <w:r>
        <w:t xml:space="preserve">Neither.</w:t>
      </w:r>
    </w:p>
    <w:p>
      <w:pPr>
        <w:numPr>
          <w:ilvl w:val="0"/>
          <w:numId w:val="1011"/>
        </w:numPr>
        <w:pStyle w:val="Compact"/>
      </w:pPr>
      <w:r>
        <w:rPr>
          <w:bCs/>
          <w:b/>
        </w:rPr>
        <w:t xml:space="preserve">Connected gravities:</w:t>
      </w:r>
      <w:r>
        <w:t xml:space="preserve"> </w:t>
      </w:r>
      <w:r>
        <w:t xml:space="preserve">Distinct evidentiary strand within G07 (Primary) — explicitly not merged with the Roman (Justin) or Strand A (Ignatius) accounts, per the diversity-first discipline Doc_02 §4 establishes.</w:t>
      </w:r>
    </w:p>
    <w:p>
      <w:pPr>
        <w:numPr>
          <w:ilvl w:val="0"/>
          <w:numId w:val="1011"/>
        </w:numPr>
        <w:pStyle w:val="Compact"/>
      </w:pPr>
      <w:r>
        <w:rPr>
          <w:bCs/>
          <w:b/>
        </w:rPr>
        <w:t xml:space="preserve">Tier justification, in brief:</w:t>
      </w:r>
      <w:r>
        <w:t xml:space="preserve"> </w:t>
      </w:r>
      <w:r>
        <w:t xml:space="preserve">A composite reconstruction of a distinctive practice: cup-before-bread order, no institution narrative at all, confession before breaking bread. Genuinely different in kind from Justin’s and Ignatius’s own eucharistic material, not a variant retelling of the same practice.</w:t>
      </w:r>
    </w:p>
    <w:p>
      <w:pPr>
        <w:numPr>
          <w:ilvl w:val="0"/>
          <w:numId w:val="1011"/>
        </w:numPr>
        <w:pStyle w:val="Compact"/>
      </w:pPr>
      <w:r>
        <w:rPr>
          <w:bCs/>
          <w:b/>
        </w:rPr>
        <w:t xml:space="preserve">Usage guidance, in brief:</w:t>
      </w:r>
      <w:r>
        <w:t xml:space="preserve"> </w:t>
      </w:r>
      <w:r>
        <w:t xml:space="preserve">Must be told as its own distinct practice, explicitly not blended with Story 006 or Story 011 into one composite</w:t>
      </w:r>
      <w:r>
        <w:t xml:space="preserve"> </w:t>
      </w:r>
      <w:r>
        <w:t xml:space="preserve">“</w:t>
      </w:r>
      <w:r>
        <w:t xml:space="preserve">the</w:t>
      </w:r>
      <w:r>
        <w:t xml:space="preserve">”</w:t>
      </w:r>
      <w:r>
        <w:t xml:space="preserve"> </w:t>
      </w:r>
      <w:r>
        <w:t xml:space="preserve">eucharist — the Framework’s diversity-first reading (Doc_02 §4) requires these be held apart.</w:t>
      </w:r>
    </w:p>
    <w:p>
      <w:r>
        <w:pict>
          <v:rect style="width:0;height:1.5pt" o:hralign="center" o:hrstd="t" o:hr="t"/>
        </w:pict>
      </w:r>
    </w:p>
    <w:p>
      <w:pPr>
        <w:pStyle w:val="FirstParagraph"/>
      </w:pPr>
      <w:r>
        <w:rPr>
          <w:bCs/>
          <w:b/>
        </w:rPr>
        <w:t xml:space="preserve">Story 011 — The One Eucharist, Under the Bishop</w:t>
      </w:r>
      <w:r>
        <w:t xml:space="preserve"> </w:t>
      </w:r>
      <w:r>
        <w:rPr>
          <w:iCs/>
          <w:i/>
        </w:rPr>
        <w:t xml:space="preserve">File:</w:t>
      </w:r>
      <w:r>
        <w:t xml:space="preserve"> </w:t>
      </w:r>
      <w:r>
        <w:rPr>
          <w:rStyle w:val="VerbatimChar"/>
        </w:rPr>
        <w:t xml:space="preserve">pahcstory011_one-eucharist-under-bishop.md</w:t>
      </w:r>
    </w:p>
    <w:p>
      <w:pPr>
        <w:numPr>
          <w:ilvl w:val="0"/>
          <w:numId w:val="1012"/>
        </w:numPr>
        <w:pStyle w:val="Compact"/>
      </w:pPr>
      <w:r>
        <w:rPr>
          <w:bCs/>
          <w:b/>
        </w:rPr>
        <w:t xml:space="preserve">Sources:</w:t>
      </w:r>
      <w:r>
        <w:t xml:space="preserve"> </w:t>
      </w:r>
      <w:r>
        <w:t xml:space="preserve">Ignatius,</w:t>
      </w:r>
      <w:r>
        <w:t xml:space="preserve"> </w:t>
      </w:r>
      <w:r>
        <w:rPr>
          <w:iCs/>
          <w:i/>
        </w:rPr>
        <w:t xml:space="preserve">Philadelphians</w:t>
      </w:r>
      <w:r>
        <w:t xml:space="preserve"> </w:t>
      </w:r>
      <w:r>
        <w:t xml:space="preserve">4 and</w:t>
      </w:r>
      <w:r>
        <w:t xml:space="preserve"> </w:t>
      </w:r>
      <w:r>
        <w:rPr>
          <w:iCs/>
          <w:i/>
        </w:rPr>
        <w:t xml:space="preserve">Smyrnaeans</w:t>
      </w:r>
      <w:r>
        <w:t xml:space="preserve"> </w:t>
      </w:r>
      <w:r>
        <w:t xml:space="preserve">8 (Registry P03).</w:t>
      </w:r>
    </w:p>
    <w:p>
      <w:pPr>
        <w:numPr>
          <w:ilvl w:val="0"/>
          <w:numId w:val="1012"/>
        </w:numPr>
        <w:pStyle w:val="Compact"/>
      </w:pPr>
      <w:r>
        <w:rPr>
          <w:bCs/>
          <w:b/>
        </w:rPr>
        <w:t xml:space="preserve">Confidence:</w:t>
      </w:r>
      <w:r>
        <w:t xml:space="preserve"> </w:t>
      </w:r>
      <w:r>
        <w:t xml:space="preserve">Inferential-Thin (Tier 4); the underlying instructional text itself is Documented, but how far it reflects settled practice versus an aspirational program pressed by one advocate is exactly Doc_01’s own open Strand Determination question.</w:t>
      </w:r>
    </w:p>
    <w:p>
      <w:pPr>
        <w:numPr>
          <w:ilvl w:val="0"/>
          <w:numId w:val="1012"/>
        </w:numPr>
        <w:pStyle w:val="Compact"/>
      </w:pPr>
      <w:r>
        <w:rPr>
          <w:bCs/>
          <w:b/>
        </w:rPr>
        <w:t xml:space="preserve">Strand:</w:t>
      </w:r>
      <w:r>
        <w:t xml:space="preserve"> </w:t>
      </w:r>
      <w:r>
        <w:t xml:space="preserve">A only.</w:t>
      </w:r>
    </w:p>
    <w:p>
      <w:pPr>
        <w:numPr>
          <w:ilvl w:val="0"/>
          <w:numId w:val="1012"/>
        </w:numPr>
        <w:pStyle w:val="Compact"/>
      </w:pPr>
      <w:r>
        <w:rPr>
          <w:bCs/>
          <w:b/>
        </w:rPr>
        <w:t xml:space="preserve">Connected gravities:</w:t>
      </w:r>
      <w:r>
        <w:t xml:space="preserve"> </w:t>
      </w:r>
      <w:r>
        <w:t xml:space="preserve">G07 (Primary), fused with G01 and G05 (Doc_04’s own Dependency-test finding that this instruction is simultaneously an authority claim and a boundary claim).</w:t>
      </w:r>
    </w:p>
    <w:p>
      <w:pPr>
        <w:numPr>
          <w:ilvl w:val="0"/>
          <w:numId w:val="1012"/>
        </w:numPr>
        <w:pStyle w:val="Compact"/>
      </w:pPr>
      <w:r>
        <w:rPr>
          <w:bCs/>
          <w:b/>
        </w:rPr>
        <w:t xml:space="preserve">Tier justification, in brief:</w:t>
      </w:r>
      <w:r>
        <w:t xml:space="preserve"> </w:t>
      </w:r>
      <w:r>
        <w:t xml:space="preserve">A composite reconstruction of a member attending the bishop’s own eucharist and refusing any other — built from Ignatius’s own instructions across two letters, not a single narrated event with a named participant.</w:t>
      </w:r>
    </w:p>
    <w:p>
      <w:pPr>
        <w:numPr>
          <w:ilvl w:val="0"/>
          <w:numId w:val="1012"/>
        </w:numPr>
        <w:pStyle w:val="Compact"/>
      </w:pPr>
      <w:r>
        <w:rPr>
          <w:bCs/>
          <w:b/>
        </w:rPr>
        <w:t xml:space="preserve">Usage guidance, in brief:</w:t>
      </w:r>
      <w:r>
        <w:t xml:space="preserve"> </w:t>
      </w:r>
      <w:r>
        <w:t xml:space="preserve">Must be told as reconstruction, with the same authenticity/representativeness caveats as Story 001, since it draws on the same contested source.</w:t>
      </w:r>
    </w:p>
    <w:p>
      <w:r>
        <w:pict>
          <v:rect style="width:0;height:1.5pt" o:hralign="center" o:hrstd="t" o:hr="t"/>
        </w:pict>
      </w:r>
    </w:p>
    <w:p>
      <w:pPr>
        <w:pStyle w:val="FirstParagraph"/>
      </w:pPr>
      <w:r>
        <w:rPr>
          <w:bCs/>
          <w:b/>
        </w:rPr>
        <w:t xml:space="preserve">Story 012 — A Day Under the Bishop, A Day Under the Presbyters</w:t>
      </w:r>
      <w:r>
        <w:t xml:space="preserve"> </w:t>
      </w:r>
      <w:r>
        <w:rPr>
          <w:iCs/>
          <w:i/>
        </w:rPr>
        <w:t xml:space="preserve">File:</w:t>
      </w:r>
      <w:r>
        <w:t xml:space="preserve"> </w:t>
      </w:r>
      <w:r>
        <w:rPr>
          <w:rStyle w:val="VerbatimChar"/>
        </w:rPr>
        <w:t xml:space="preserve">pahcstory012_day-under-bishop-and-presbyters.md</w:t>
      </w:r>
    </w:p>
    <w:p>
      <w:pPr>
        <w:numPr>
          <w:ilvl w:val="0"/>
          <w:numId w:val="1013"/>
        </w:numPr>
        <w:pStyle w:val="Compact"/>
      </w:pPr>
      <w:r>
        <w:rPr>
          <w:bCs/>
          <w:b/>
        </w:rPr>
        <w:t xml:space="preserve">Sources:</w:t>
      </w:r>
      <w:r>
        <w:t xml:space="preserve"> </w:t>
      </w:r>
      <w:r>
        <w:t xml:space="preserve">Composite — 1 Clement (P02), Ignatius (P03, including the</w:t>
      </w:r>
      <w:r>
        <w:t xml:space="preserve"> </w:t>
      </w:r>
      <w:r>
        <w:t xml:space="preserve">“</w:t>
      </w:r>
      <w:r>
        <w:t xml:space="preserve">lyre/harp</w:t>
      </w:r>
      <w:r>
        <w:t xml:space="preserve">”</w:t>
      </w:r>
      <w:r>
        <w:t xml:space="preserve"> </w:t>
      </w:r>
      <w:r>
        <w:t xml:space="preserve">image at</w:t>
      </w:r>
      <w:r>
        <w:t xml:space="preserve"> </w:t>
      </w:r>
      <w:r>
        <w:rPr>
          <w:iCs/>
          <w:i/>
        </w:rPr>
        <w:t xml:space="preserve">Ephesians</w:t>
      </w:r>
      <w:r>
        <w:t xml:space="preserve"> </w:t>
      </w:r>
      <w:r>
        <w:t xml:space="preserve">4, flagged in Doc_05 for Registry escalation but not yet a separate row — see Section 4, Item 8), Polycarp (P04), Hermas (P05).</w:t>
      </w:r>
    </w:p>
    <w:p>
      <w:pPr>
        <w:numPr>
          <w:ilvl w:val="0"/>
          <w:numId w:val="1013"/>
        </w:numPr>
        <w:pStyle w:val="Compact"/>
      </w:pPr>
      <w:r>
        <w:rPr>
          <w:bCs/>
          <w:b/>
        </w:rPr>
        <w:t xml:space="preserve">Confidence:</w:t>
      </w:r>
      <w:r>
        <w:t xml:space="preserve"> </w:t>
      </w:r>
      <w:r>
        <w:t xml:space="preserve">Inferential-Thin (Tier 4).</w:t>
      </w:r>
    </w:p>
    <w:p>
      <w:pPr>
        <w:numPr>
          <w:ilvl w:val="0"/>
          <w:numId w:val="1013"/>
        </w:numPr>
        <w:pStyle w:val="Compact"/>
      </w:pPr>
      <w:r>
        <w:rPr>
          <w:bCs/>
          <w:b/>
        </w:rPr>
        <w:t xml:space="preserve">Strand:</w:t>
      </w:r>
      <w:r>
        <w:t xml:space="preserve"> </w:t>
      </w:r>
      <w:r>
        <w:t xml:space="preserve">Both, told in explicit parallel — this is the one story in the repository built deliberately to hold Strand A and Strand B side by side rather than choosing one.</w:t>
      </w:r>
    </w:p>
    <w:p>
      <w:pPr>
        <w:numPr>
          <w:ilvl w:val="0"/>
          <w:numId w:val="1013"/>
        </w:numPr>
        <w:pStyle w:val="Compact"/>
      </w:pPr>
      <w:r>
        <w:rPr>
          <w:bCs/>
          <w:b/>
        </w:rPr>
        <w:t xml:space="preserve">Connected gravities:</w:t>
      </w:r>
      <w:r>
        <w:t xml:space="preserve"> </w:t>
      </w:r>
      <w:r>
        <w:t xml:space="preserve">G01 (Supporting), G07 (Primary), G02 (Primary).</w:t>
      </w:r>
    </w:p>
    <w:p>
      <w:pPr>
        <w:numPr>
          <w:ilvl w:val="0"/>
          <w:numId w:val="1013"/>
        </w:numPr>
        <w:pStyle w:val="Compact"/>
      </w:pPr>
      <w:r>
        <w:rPr>
          <w:bCs/>
          <w:b/>
        </w:rPr>
        <w:t xml:space="preserve">Tier justification, in brief:</w:t>
      </w:r>
      <w:r>
        <w:t xml:space="preserve"> </w:t>
      </w:r>
      <w:r>
        <w:t xml:space="preserve">The most fully composite story in this repository — not about any one named person, but a synthesized</w:t>
      </w:r>
      <w:r>
        <w:t xml:space="preserve"> </w:t>
      </w:r>
      <w:r>
        <w:t xml:space="preserve">“</w:t>
      </w:r>
      <w:r>
        <w:t xml:space="preserve">typical day</w:t>
      </w:r>
      <w:r>
        <w:t xml:space="preserve">”</w:t>
      </w:r>
      <w:r>
        <w:t xml:space="preserve"> </w:t>
      </w:r>
      <w:r>
        <w:t xml:space="preserve">reconstruction under each of this world’s two structurally parallel authority answers. This is Doc_05’s own inhabited-voice reconstruction (§1.1, §5.1, §6.1, §6.3), built under the Writing-From-Inside Principle (Constitution Article 23), carried into Tier 4 register here.</w:t>
      </w:r>
    </w:p>
    <w:p>
      <w:pPr>
        <w:numPr>
          <w:ilvl w:val="0"/>
          <w:numId w:val="1013"/>
        </w:numPr>
        <w:pStyle w:val="Compact"/>
      </w:pPr>
      <w:r>
        <w:rPr>
          <w:bCs/>
          <w:b/>
        </w:rPr>
        <w:t xml:space="preserve">Usage guidance, in brief:</w:t>
      </w:r>
      <w:r>
        <w:t xml:space="preserve"> </w:t>
      </w:r>
      <w:r>
        <w:t xml:space="preserve">Must be told as reconstruction, with both strands held in explicit, unresolved parallel — the Representative should not present one strand’s answer as more</w:t>
      </w:r>
      <w:r>
        <w:t xml:space="preserve"> </w:t>
      </w:r>
      <w:r>
        <w:t xml:space="preserve">“</w:t>
      </w:r>
      <w:r>
        <w:t xml:space="preserve">correct</w:t>
      </w:r>
      <w:r>
        <w:t xml:space="preserve">”</w:t>
      </w:r>
      <w:r>
        <w:t xml:space="preserve"> </w:t>
      </w:r>
      <w:r>
        <w:t xml:space="preserve">or more typical than the other’s.</w:t>
      </w:r>
    </w:p>
    <w:p>
      <w:r>
        <w:pict>
          <v:rect style="width:0;height:1.5pt" o:hralign="center" o:hrstd="t" o:hr="t"/>
        </w:pict>
      </w:r>
    </w:p>
    <w:p>
      <w:pPr>
        <w:pStyle w:val="FirstParagraph"/>
      </w:pPr>
      <w:r>
        <w:rPr>
          <w:bCs/>
          <w:b/>
        </w:rPr>
        <w:t xml:space="preserve">Story 013 — Carrying the Prisoner’s Needs: Mutual Aid Under Threat</w:t>
      </w:r>
      <w:r>
        <w:t xml:space="preserve"> </w:t>
      </w:r>
      <w:r>
        <w:rPr>
          <w:iCs/>
          <w:i/>
        </w:rPr>
        <w:t xml:space="preserve">File:</w:t>
      </w:r>
      <w:r>
        <w:t xml:space="preserve"> </w:t>
      </w:r>
      <w:r>
        <w:rPr>
          <w:rStyle w:val="VerbatimChar"/>
        </w:rPr>
        <w:t xml:space="preserve">pahcstory013_mutual-aid-prisoner.md</w:t>
      </w:r>
    </w:p>
    <w:p>
      <w:pPr>
        <w:numPr>
          <w:ilvl w:val="0"/>
          <w:numId w:val="1014"/>
        </w:numPr>
        <w:pStyle w:val="Compact"/>
      </w:pPr>
      <w:r>
        <w:rPr>
          <w:bCs/>
          <w:b/>
        </w:rPr>
        <w:t xml:space="preserve">Sources:</w:t>
      </w:r>
      <w:r>
        <w:t xml:space="preserve"> </w:t>
      </w:r>
      <w:r>
        <w:t xml:space="preserve">Lucian of Samosata,</w:t>
      </w:r>
      <w:r>
        <w:t xml:space="preserve"> </w:t>
      </w:r>
      <w:r>
        <w:rPr>
          <w:iCs/>
          <w:i/>
        </w:rPr>
        <w:t xml:space="preserve">The Passing of Peregrinus</w:t>
      </w:r>
      <w:r>
        <w:t xml:space="preserve"> </w:t>
      </w:r>
      <w:r>
        <w:t xml:space="preserve">(Registry P10), c. 165 CE — read for its incidentally-preserved communal-practice detail, not its portrait of Peregrinus himself; cross-referenced with Tertullian,</w:t>
      </w:r>
      <w:r>
        <w:t xml:space="preserve"> </w:t>
      </w:r>
      <w:r>
        <w:rPr>
          <w:iCs/>
          <w:i/>
        </w:rPr>
        <w:t xml:space="preserve">Apology</w:t>
      </w:r>
      <w:r>
        <w:t xml:space="preserve"> </w:t>
      </w:r>
      <w:r>
        <w:t xml:space="preserve">39 (Registry P15), c. 197 CE, on the communal fund. The Lucian–Tertullian connection is this document’s own inherited synthesis from Doc_02 §6, explicitly disclosed there as not independently sourced to a named scholar making that exact triangulation.</w:t>
      </w:r>
    </w:p>
    <w:p>
      <w:pPr>
        <w:numPr>
          <w:ilvl w:val="0"/>
          <w:numId w:val="1014"/>
        </w:numPr>
        <w:pStyle w:val="Compact"/>
      </w:pPr>
      <w:r>
        <w:rPr>
          <w:bCs/>
          <w:b/>
        </w:rPr>
        <w:t xml:space="preserve">Confidence:</w:t>
      </w:r>
      <w:r>
        <w:t xml:space="preserve"> </w:t>
      </w:r>
      <w:r>
        <w:t xml:space="preserve">Inferential-Thin (Tier 4).</w:t>
      </w:r>
    </w:p>
    <w:p>
      <w:pPr>
        <w:numPr>
          <w:ilvl w:val="0"/>
          <w:numId w:val="1014"/>
        </w:numPr>
        <w:pStyle w:val="Compact"/>
      </w:pPr>
      <w:r>
        <w:rPr>
          <w:bCs/>
          <w:b/>
        </w:rPr>
        <w:t xml:space="preserve">Strand:</w:t>
      </w:r>
      <w:r>
        <w:t xml:space="preserve"> </w:t>
      </w:r>
      <w:r>
        <w:t xml:space="preserve">N/A — outside witness; regional attribution beyond</w:t>
      </w:r>
      <w:r>
        <w:t xml:space="preserve"> </w:t>
      </w:r>
      <w:r>
        <w:t xml:space="preserve">“</w:t>
      </w:r>
      <w:r>
        <w:t xml:space="preserve">visitors traveled from Asia</w:t>
      </w:r>
      <w:r>
        <w:t xml:space="preserve">”</w:t>
      </w:r>
      <w:r>
        <w:t xml:space="preserve"> </w:t>
      </w:r>
      <w:r>
        <w:t xml:space="preserve">is not established.</w:t>
      </w:r>
    </w:p>
    <w:p>
      <w:pPr>
        <w:numPr>
          <w:ilvl w:val="0"/>
          <w:numId w:val="1014"/>
        </w:numPr>
        <w:pStyle w:val="Compact"/>
      </w:pPr>
      <w:r>
        <w:rPr>
          <w:bCs/>
          <w:b/>
        </w:rPr>
        <w:t xml:space="preserve">Connected gravities:</w:t>
      </w:r>
      <w:r>
        <w:t xml:space="preserve"> </w:t>
      </w:r>
      <w:r>
        <w:t xml:space="preserve">Loosely G02/G03-adjacent; not classified as direct evidence for a named Doc_04 gravity.</w:t>
      </w:r>
    </w:p>
    <w:p>
      <w:pPr>
        <w:numPr>
          <w:ilvl w:val="0"/>
          <w:numId w:val="1014"/>
        </w:numPr>
        <w:pStyle w:val="Compact"/>
      </w:pPr>
      <w:r>
        <w:rPr>
          <w:bCs/>
          <w:b/>
        </w:rPr>
        <w:t xml:space="preserve">Tier justification, in brief:</w:t>
      </w:r>
      <w:r>
        <w:t xml:space="preserve"> </w:t>
      </w:r>
      <w:r>
        <w:t xml:space="preserve">Lucian’s satirical portrait of</w:t>
      </w:r>
      <w:r>
        <w:t xml:space="preserve"> </w:t>
      </w:r>
      <w:r>
        <w:t xml:space="preserve">“</w:t>
      </w:r>
      <w:r>
        <w:t xml:space="preserve">Peregrinus</w:t>
      </w:r>
      <w:r>
        <w:t xml:space="preserve">”</w:t>
      </w:r>
      <w:r>
        <w:t xml:space="preserve"> </w:t>
      </w:r>
      <w:r>
        <w:t xml:space="preserve">himself cannot be used as a positive account of a named protagonist — his own explicit satirical intent makes that misuse. What can responsibly be reconstructed is the underlying, incidentally-preserved practice pattern beneath the satire: widows and orphans waiting at a prison, officials bribed, visitors traveling at communal expense, sacred texts read aloud. This is composited from attested elements into a typical-practice account of an unnamed imprisoned member, not a retelling of Lucian’s own narrative about Peregrinus.</w:t>
      </w:r>
    </w:p>
    <w:p>
      <w:pPr>
        <w:numPr>
          <w:ilvl w:val="0"/>
          <w:numId w:val="1014"/>
        </w:numPr>
        <w:pStyle w:val="Compact"/>
      </w:pPr>
      <w:r>
        <w:rPr>
          <w:bCs/>
          <w:b/>
        </w:rPr>
        <w:t xml:space="preserve">Usage guidance, in brief:</w:t>
      </w:r>
      <w:r>
        <w:t xml:space="preserve"> </w:t>
      </w:r>
      <w:r>
        <w:t xml:space="preserve">Must be told as reconstruction about an unnamed, composite member — never as Peregrinus’s own story, and never presenting Lucian’s mockery as praise. The Lucian–Tertullian cross-text link should be disclosed as this project’s own synthesis if pressed.</w:t>
      </w:r>
    </w:p>
    <w:p>
      <w:r>
        <w:pict>
          <v:rect style="width:0;height:1.5pt" o:hralign="center" o:hrstd="t" o:hr="t"/>
        </w:pict>
      </w:r>
    </w:p>
    <w:bookmarkEnd w:id="23"/>
    <w:bookmarkEnd w:id="24"/>
    <w:bookmarkStart w:id="25" w:name="X55000ef8a4798212aa2a5e15340753903fb8167"/>
    <w:p>
      <w:pPr>
        <w:pStyle w:val="Heading2"/>
      </w:pPr>
      <w:r>
        <w:t xml:space="preserve">Section 3 — Story-to-Gravity Connection Summary</w:t>
      </w:r>
    </w:p>
    <w:p>
      <w:pPr>
        <w:pStyle w:val="FirstParagraph"/>
      </w:pPr>
      <w:r>
        <w:t xml:space="preserve">Rebuilt directly from each story’s own</w:t>
      </w:r>
      <w:r>
        <w:t xml:space="preserve"> </w:t>
      </w:r>
      <w:r>
        <w:t xml:space="preserve">“</w:t>
      </w:r>
      <w:r>
        <w:t xml:space="preserve">Connected gravities</w:t>
      </w:r>
      <w:r>
        <w:t xml:space="preserve">”</w:t>
      </w:r>
      <w:r>
        <w:t xml:space="preserve"> </w:t>
      </w:r>
      <w:r>
        <w:t xml:space="preserve">field in Section 2 (an independent round-1 review found the previous version of this table dropped several connections already stated in Section 2 — see Document Log). Every confirmed Doc_04 gravity connects to at least one story below (G06 excluded — did not reach gravity status):</w:t>
      </w:r>
    </w:p>
    <w:p>
      <w:pPr>
        <w:numPr>
          <w:ilvl w:val="0"/>
          <w:numId w:val="1015"/>
        </w:numPr>
        <w:pStyle w:val="Compact"/>
      </w:pPr>
      <w:r>
        <w:rPr>
          <w:bCs/>
          <w:b/>
        </w:rPr>
        <w:t xml:space="preserve">G01 (Authority Consolidation, Supporting):</w:t>
      </w:r>
      <w:r>
        <w:t xml:space="preserve"> </w:t>
      </w:r>
      <w:r>
        <w:t xml:space="preserve">Stories 001, 002, 005 (generative trigger), 007 (feeds G01 via</w:t>
      </w:r>
      <w:r>
        <w:t xml:space="preserve"> </w:t>
      </w:r>
      <w:r>
        <w:rPr>
          <w:iCs/>
          <w:i/>
        </w:rPr>
        <w:t xml:space="preserve">Vision</w:t>
      </w:r>
      <w:r>
        <w:t xml:space="preserve"> </w:t>
      </w:r>
      <w:r>
        <w:t xml:space="preserve">2.4.3), 011 (fused), 012.</w:t>
      </w:r>
    </w:p>
    <w:p>
      <w:pPr>
        <w:numPr>
          <w:ilvl w:val="0"/>
          <w:numId w:val="1015"/>
        </w:numPr>
        <w:pStyle w:val="Compact"/>
      </w:pPr>
      <w:r>
        <w:rPr>
          <w:bCs/>
          <w:b/>
        </w:rPr>
        <w:t xml:space="preserve">G02 (Translocal Correspondence Network, Primary):</w:t>
      </w:r>
      <w:r>
        <w:t xml:space="preserve"> </w:t>
      </w:r>
      <w:r>
        <w:t xml:space="preserve">Stories 001, 002, 003, 012.</w:t>
      </w:r>
    </w:p>
    <w:p>
      <w:pPr>
        <w:numPr>
          <w:ilvl w:val="0"/>
          <w:numId w:val="1015"/>
        </w:numPr>
        <w:pStyle w:val="Compact"/>
      </w:pPr>
      <w:r>
        <w:rPr>
          <w:bCs/>
          <w:b/>
        </w:rPr>
        <w:t xml:space="preserve">G03 (State Pressure/Legal Precarity, Supporting):</w:t>
      </w:r>
      <w:r>
        <w:t xml:space="preserve"> </w:t>
      </w:r>
      <w:r>
        <w:t xml:space="preserve">Story 004, background to Story 005, loosely adjacent to Story 013.</w:t>
      </w:r>
    </w:p>
    <w:p>
      <w:pPr>
        <w:numPr>
          <w:ilvl w:val="0"/>
          <w:numId w:val="1015"/>
        </w:numPr>
        <w:pStyle w:val="Compact"/>
      </w:pPr>
      <w:r>
        <w:rPr>
          <w:bCs/>
          <w:b/>
        </w:rPr>
        <w:t xml:space="preserve">G04 (Martyrdom as Meaning-Response, Supporting, Strand A only):</w:t>
      </w:r>
      <w:r>
        <w:t xml:space="preserve"> </w:t>
      </w:r>
      <w:r>
        <w:t xml:space="preserve">Stories 001, 005 (background), 008.</w:t>
      </w:r>
    </w:p>
    <w:p>
      <w:pPr>
        <w:numPr>
          <w:ilvl w:val="0"/>
          <w:numId w:val="1015"/>
        </w:numPr>
        <w:pStyle w:val="Compact"/>
      </w:pPr>
      <w:r>
        <w:rPr>
          <w:bCs/>
          <w:b/>
        </w:rPr>
        <w:t xml:space="preserve">G05 (Boundary-Drawing vs. Rivals, Tensional, Strand A only):</w:t>
      </w:r>
      <w:r>
        <w:t xml:space="preserve"> </w:t>
      </w:r>
      <w:r>
        <w:t xml:space="preserve">Story 001 (indirect, per its own Section 2D synthesis carried from Doc_07/08), Story 011 (fused, explicit).</w:t>
      </w:r>
    </w:p>
    <w:p>
      <w:pPr>
        <w:numPr>
          <w:ilvl w:val="0"/>
          <w:numId w:val="1015"/>
        </w:numPr>
        <w:pStyle w:val="Compact"/>
      </w:pPr>
      <w:r>
        <w:rPr>
          <w:bCs/>
          <w:b/>
        </w:rPr>
        <w:t xml:space="preserve">G07 (Liturgical Practice/Eucharist, Primary):</w:t>
      </w:r>
      <w:r>
        <w:t xml:space="preserve"> </w:t>
      </w:r>
      <w:r>
        <w:t xml:space="preserve">Stories 001, 006, 010, 011, 012.</w:t>
      </w:r>
    </w:p>
    <w:p>
      <w:pPr>
        <w:pStyle w:val="FirstParagraph"/>
      </w:pPr>
      <w:r>
        <w:t xml:space="preserve">No confirmed gravity is left without a connected story. Story 013’s G02/G03 adjacency is loose and not classified as direct evidence for either named gravity (see its own catalog entry and deployment chunk) — it is noted here for completeness, not counted as a confirmed connection.</w:t>
      </w:r>
    </w:p>
    <w:p>
      <w:r>
        <w:pict>
          <v:rect style="width:0;height:1.5pt" o:hralign="center" o:hrstd="t" o:hr="t"/>
        </w:pict>
      </w:r>
    </w:p>
    <w:bookmarkEnd w:id="25"/>
    <w:bookmarkStart w:id="26" w:name="section-4-absent-stories"/>
    <w:p>
      <w:pPr>
        <w:pStyle w:val="Heading2"/>
      </w:pPr>
      <w:r>
        <w:t xml:space="preserve">Section 4 — Absent Stories</w:t>
      </w:r>
    </w:p>
    <w:p>
      <w:pPr>
        <w:pStyle w:val="FirstParagraph"/>
      </w:pPr>
      <w:r>
        <w:t xml:space="preserve">This is not a placeholder. Every item below is a gap this build has already identified explicitly across Doc_01–08, tested rather than merely noticed, and is carried forward here rather than invented around.</w:t>
      </w:r>
    </w:p>
    <w:p>
      <w:pPr>
        <w:pStyle w:val="BodyText"/>
      </w:pPr>
      <w:r>
        <w:rPr>
          <w:bCs/>
          <w:b/>
        </w:rPr>
        <w:t xml:space="preserve">1. No Strand B (Rome) martyrdom account exists, and this was actively tested, not merely unnoticed.</w:t>
      </w:r>
      <w:r>
        <w:t xml:space="preserve"> </w:t>
      </w:r>
      <w:r>
        <w:t xml:space="preserve">Doc_05 §10 Open Item 6 explicitly checked whether Doc_05’s own ecological reconstruction could develop new Strand B evidence for G04/G05 and</w:t>
      </w:r>
      <w:r>
        <w:t xml:space="preserve"> </w:t>
      </w:r>
      <w:r>
        <w:t xml:space="preserve">“</w:t>
      </w:r>
      <w:r>
        <w:t xml:space="preserve">came up empty</w:t>
      </w:r>
      <w:r>
        <w:t xml:space="preserve">”</w:t>
      </w:r>
      <w:r>
        <w:t xml:space="preserve"> </w:t>
      </w:r>
      <w:r>
        <w:t xml:space="preserve">— both gravities remain correctly Strand-A-only. Doc_08 (Section 5,</w:t>
      </w:r>
      <w:r>
        <w:t xml:space="preserve"> </w:t>
      </w:r>
      <w:r>
        <w:t xml:space="preserve">“</w:t>
      </w:r>
      <w:r>
        <w:t xml:space="preserve">Where Forces Analysis Surfaced Gaps</w:t>
      </w:r>
      <w:r>
        <w:t xml:space="preserve">”</w:t>
      </w:r>
      <w:r>
        <w:t xml:space="preserve">; Section 9,</w:t>
      </w:r>
      <w:r>
        <w:t xml:space="preserve"> </w:t>
      </w:r>
      <w:r>
        <w:t xml:space="preserve">“</w:t>
      </w:r>
      <w:r>
        <w:t xml:space="preserve">Outstanding items</w:t>
      </w:r>
      <w:r>
        <w:t xml:space="preserve">”</w:t>
      </w:r>
      <w:r>
        <w:t xml:space="preserve">) carries this forward as still open: whether Rome’s absence of martyrdom material reflects a genuine difference in lived experience, or an accident of which texts survived (transmission selection effects, per Doc_08 Force 2B-2/3B-2, make the latter a live possibility, not merely a hedge). This inventory cannot resolve it and does not manufacture a Strand B counterpart to Story 008 to appear symmetrical.</w:t>
      </w:r>
    </w:p>
    <w:p>
      <w:pPr>
        <w:pStyle w:val="BodyText"/>
      </w:pPr>
      <w:r>
        <w:rPr>
          <w:bCs/>
          <w:b/>
        </w:rPr>
        <w:t xml:space="preserve">2. G04 and G05 are both Strand-A-only, and both are severely thin even within Strand A.</w:t>
      </w:r>
      <w:r>
        <w:t xml:space="preserve"> </w:t>
      </w:r>
      <w:r>
        <w:t xml:space="preserve">G04 rests on exactly two data points (Story 001’s martyrdom references within Ignatius’s own letters, plus Story 008). G05 rests on exactly one voice, Ignatius alone. No third story can be added to thicken either without exceeding what Doc_04 itself found the evidence supports — the thinness is the honest finding, not a gap in this inventory’s own research.</w:t>
      </w:r>
    </w:p>
    <w:p>
      <w:pPr>
        <w:pStyle w:val="BodyText"/>
      </w:pPr>
      <w:r>
        <w:rPr>
          <w:bCs/>
          <w:b/>
        </w:rPr>
        <w:t xml:space="preserve">3. This world’s most narratively vivid material is overwhelmingly Strand A, and this inventory does not smooth that imbalance.</w:t>
      </w:r>
      <w:r>
        <w:t xml:space="preserve"> </w:t>
      </w:r>
      <w:r>
        <w:t xml:space="preserve">Compare the catalog above: Strand A supplies Stories 001, 008, 011 (Ignatius’s journey, his martyrdom-adjacent successor’s death, his eucharistic program) — vivid, high-stakes, individually attributed. Strand B supplies Stories 002, 006, 007 (1 Clement’s institutional correction, Justin’s liturgical report, Hermas’s visions) — genuinely different in kind, institutional and visionary rather than narratively dramatic. Doc_07 §2A already names this:</w:t>
      </w:r>
      <w:r>
        <w:t xml:space="preserve"> </w:t>
      </w:r>
      <w:r>
        <w:t xml:space="preserve">“</w:t>
      </w:r>
      <w:r>
        <w:t xml:space="preserve">This world’s own Tier 1 lexicon supplies no dedicated affective vocabulary,</w:t>
      </w:r>
      <w:r>
        <w:t xml:space="preserve">”</w:t>
      </w:r>
      <w:r>
        <w:t xml:space="preserve"> </w:t>
      </w:r>
      <w:r>
        <w:t xml:space="preserve">and the emotionally vivid material clusters in Strand A specifically. Story 012 is this inventory’s own attempt to hold both strands in explicit parallel rather than let the imbalance stand unaddressed, but it cannot manufacture narrative vividness Strand B’s own evidence does not supply.</w:t>
      </w:r>
    </w:p>
    <w:p>
      <w:pPr>
        <w:pStyle w:val="BodyText"/>
      </w:pPr>
      <w:r>
        <w:rPr>
          <w:bCs/>
          <w:b/>
        </w:rPr>
        <w:t xml:space="preserve">4. No enslaved-member narrative exists in their own voice, anywhere in this world’s evidentiary base.</w:t>
      </w:r>
      <w:r>
        <w:t xml:space="preserve"> </w:t>
      </w:r>
      <w:r>
        <w:t xml:space="preserve">The two</w:t>
      </w:r>
      <w:r>
        <w:t xml:space="preserve"> </w:t>
      </w:r>
      <w:r>
        <w:rPr>
          <w:iCs/>
          <w:i/>
        </w:rPr>
        <w:t xml:space="preserve">ministrae</w:t>
      </w:r>
      <w:r>
        <w:t xml:space="preserve"> </w:t>
      </w:r>
      <w:r>
        <w:t xml:space="preserve">Pliny tortured (Story 004) are the closest this world comes, and they remain unnamed, voiceless, and known only through their torturer’s report (Doc_02 §7:</w:t>
      </w:r>
      <w:r>
        <w:t xml:space="preserve"> </w:t>
      </w:r>
      <w:r>
        <w:t xml:space="preserve">“</w:t>
      </w:r>
      <w:r>
        <w:t xml:space="preserve">no surviving voice of their own</w:t>
      </w:r>
      <w:r>
        <w:t xml:space="preserve">”</w:t>
      </w:r>
      <w:r>
        <w:t xml:space="preserve">). Household codes address enslaved members but are</w:t>
      </w:r>
      <w:r>
        <w:t xml:space="preserve"> </w:t>
      </w:r>
      <w:r>
        <w:t xml:space="preserve">“</w:t>
      </w:r>
      <w:r>
        <w:t xml:space="preserve">authored by free leaders instructing enslaved people toward obedience, never contesting owners’ control over their bodies</w:t>
      </w:r>
      <w:r>
        <w:t xml:space="preserve">”</w:t>
      </w:r>
      <w:r>
        <w:t xml:space="preserve"> </w:t>
      </w:r>
      <w:r>
        <w:t xml:space="preserve">(Doc_02 §7). Story 004’s own Usage Guidance requires this be named plainly whenever the story is used, not left implicit.</w:t>
      </w:r>
    </w:p>
    <w:p>
      <w:pPr>
        <w:pStyle w:val="BodyText"/>
      </w:pPr>
      <w:r>
        <w:rPr>
          <w:bCs/>
          <w:b/>
        </w:rPr>
        <w:t xml:space="preserve">5. No ordinary/non-elite member’s story exists at all, in either strand.</w:t>
      </w:r>
      <w:r>
        <w:t xml:space="preserve"> </w:t>
      </w:r>
      <w:r>
        <w:t xml:space="preserve">Doc_02 §§7–8 (Affirmative Duty): Keith Hopkins’s estimate that only roughly 2% of members were fluent enough to have produced texts like these means no non-elite authorial voice survives from this world at all. Every story in this catalog is authored by, or filtered through, a literate leadership-tier voice or a hostile outside observer. Doc_05 §6.3 states this most sharply in inhabited voice: an enslaved member, or</w:t>
      </w:r>
      <w:r>
        <w:t xml:space="preserve"> </w:t>
      </w:r>
      <w:r>
        <w:t xml:space="preserve">“</w:t>
      </w:r>
      <w:r>
        <w:t xml:space="preserve">a woman named only as somebody’s wife rather than as a widow or a patron in her own right… had no comparable way to make their own voice carry.</w:t>
      </w:r>
      <w:r>
        <w:t xml:space="preserve">”</w:t>
      </w:r>
    </w:p>
    <w:p>
      <w:pPr>
        <w:pStyle w:val="BodyText"/>
      </w:pPr>
      <w:r>
        <w:rPr>
          <w:bCs/>
          <w:b/>
        </w:rPr>
        <w:t xml:space="preserve">6. No genuine Tier 2 (Collected and Traditional Material) story exists for this world.</w:t>
      </w:r>
      <w:r>
        <w:t xml:space="preserve"> </w:t>
      </w:r>
      <w:r>
        <w:t xml:space="preserve">As stated in Section 1: this world’s evidence base produces no sayings-collection or anecdotal-tradition genre distinct from direct correspondence and hagiographic attribution. This absence is itself worth naming as a structural feature of this world’s own evidentiary base, not assumed away by stretching a Tier 1 or Tier 3 item into a Tier 2 shape it does not have.</w:t>
      </w:r>
    </w:p>
    <w:p>
      <w:pPr>
        <w:pStyle w:val="BodyText"/>
      </w:pPr>
      <w:r>
        <w:rPr>
          <w:bCs/>
          <w:b/>
        </w:rPr>
        <w:t xml:space="preserve">7. No household-based (</w:t>
      </w:r>
      <w:r>
        <w:rPr>
          <w:bCs/>
          <w:b/>
        </w:rPr>
        <w:t xml:space="preserve">“</w:t>
      </w:r>
      <w:r>
        <w:rPr>
          <w:bCs/>
          <w:b/>
        </w:rPr>
        <w:t xml:space="preserve">house church</w:t>
      </w:r>
      <w:r>
        <w:rPr>
          <w:bCs/>
          <w:b/>
        </w:rPr>
        <w:t xml:space="preserve">”</w:t>
      </w:r>
      <w:r>
        <w:rPr>
          <w:bCs/>
          <w:b/>
        </w:rPr>
        <w:t xml:space="preserve">) story can be grounded in this world’s own primary voices.</w:t>
      </w:r>
      <w:r>
        <w:t xml:space="preserve"> </w:t>
      </w:r>
      <w:r>
        <w:t xml:space="preserve">G06 (Household as Basic Unit) explicitly did not reach gravity status — the classic household-code texts (Colossians, Ephesians, 1 Peter) are not among this world’s six primary voices and have no Registry row at all (Doc_04, G06). Doc_03 §3 independently confirmed the same gap: no primary voice uses</w:t>
      </w:r>
      <w:r>
        <w:t xml:space="preserve"> </w:t>
      </w:r>
      <w:r>
        <w:rPr>
          <w:iCs/>
          <w:i/>
        </w:rPr>
        <w:t xml:space="preserve">oikos</w:t>
      </w:r>
      <w:r>
        <w:t xml:space="preserve"> </w:t>
      </w:r>
      <w:r>
        <w:t xml:space="preserve">as a technical self-designation for a meeting unit. Story 012’s household setting is a necessary narrative frame drawn from the primary voices’ own domestic references, not a claim that</w:t>
      </w:r>
      <w:r>
        <w:t xml:space="preserve"> </w:t>
      </w:r>
      <w:r>
        <w:t xml:space="preserve">“</w:t>
      </w:r>
      <w:r>
        <w:t xml:space="preserve">household as basic unit</w:t>
      </w:r>
      <w:r>
        <w:t xml:space="preserve">”</w:t>
      </w:r>
      <w:r>
        <w:t xml:space="preserve"> </w:t>
      </w:r>
      <w:r>
        <w:t xml:space="preserve">is itself an attested gravity.</w:t>
      </w:r>
    </w:p>
    <w:p>
      <w:pPr>
        <w:pStyle w:val="BodyText"/>
      </w:pPr>
      <w:r>
        <w:rPr>
          <w:bCs/>
          <w:b/>
        </w:rPr>
        <w:t xml:space="preserve">8. Two further citations surfaced during Doc_05’s own construction, and used in Story 012, still lack their own Source Registry rows</w:t>
      </w:r>
      <w:r>
        <w:t xml:space="preserve"> </w:t>
      </w:r>
      <w:r>
        <w:t xml:space="preserve">— the</w:t>
      </w:r>
      <w:r>
        <w:t xml:space="preserve"> </w:t>
      </w:r>
      <w:r>
        <w:t xml:space="preserve">“</w:t>
      </w:r>
      <w:r>
        <w:t xml:space="preserve">lyre/harp</w:t>
      </w:r>
      <w:r>
        <w:t xml:space="preserve">”</w:t>
      </w:r>
      <w:r>
        <w:t xml:space="preserve"> </w:t>
      </w:r>
      <w:r>
        <w:t xml:space="preserve">image at Ignatius,</w:t>
      </w:r>
      <w:r>
        <w:t xml:space="preserve"> </w:t>
      </w:r>
      <w:r>
        <w:rPr>
          <w:iCs/>
          <w:i/>
        </w:rPr>
        <w:t xml:space="preserve">Ephesians</w:t>
      </w:r>
      <w:r>
        <w:t xml:space="preserve"> </w:t>
      </w:r>
      <w:r>
        <w:t xml:space="preserve">4, and the named household salutations at</w:t>
      </w:r>
      <w:r>
        <w:t xml:space="preserve"> </w:t>
      </w:r>
      <w:r>
        <w:rPr>
          <w:iCs/>
          <w:i/>
        </w:rPr>
        <w:t xml:space="preserve">Smyrnaeans</w:t>
      </w:r>
      <w:r>
        <w:t xml:space="preserve"> </w:t>
      </w:r>
      <w:r>
        <w:t xml:space="preserve">13:1–2 and</w:t>
      </w:r>
      <w:r>
        <w:t xml:space="preserve"> </w:t>
      </w:r>
      <w:r>
        <w:rPr>
          <w:iCs/>
          <w:i/>
        </w:rPr>
        <w:t xml:space="preserve">Letter to Polycarp</w:t>
      </w:r>
      <w:r>
        <w:t xml:space="preserve"> </w:t>
      </w:r>
      <w:r>
        <w:t xml:space="preserve">8 (</w:t>
      </w:r>
      <w:r>
        <w:t xml:space="preserve">“</w:t>
      </w:r>
      <w:r>
        <w:t xml:space="preserve">Tavia/Gavia,</w:t>
      </w:r>
      <w:r>
        <w:t xml:space="preserve">”</w:t>
      </w:r>
      <w:r>
        <w:t xml:space="preserve"> </w:t>
      </w:r>
      <w:r>
        <w:t xml:space="preserve">“</w:t>
      </w:r>
      <w:r>
        <w:t xml:space="preserve">the wife of Epitropus</w:t>
      </w:r>
      <w:r>
        <w:t xml:space="preserve">”</w:t>
      </w:r>
      <w:r>
        <w:t xml:space="preserve">). Both were flagged for Registry escalation at Doc_05 (§10 Open Item 2) and Doc_06 (§1 Open Item 3) and were not resolved before this document’s own construction. Unlike the</w:t>
      </w:r>
      <w:r>
        <w:t xml:space="preserve"> </w:t>
      </w:r>
      <w:r>
        <w:rPr>
          <w:iCs/>
          <w:i/>
        </w:rPr>
        <w:t xml:space="preserve">Martyrdom of Polycarp</w:t>
      </w:r>
      <w:r>
        <w:t xml:space="preserve"> </w:t>
      </w:r>
      <w:r>
        <w:t xml:space="preserve">gap (Section 2, Story 008, and Document Log), these two are not fixed in this pass:</w:t>
      </w:r>
      <w:r>
        <w:t xml:space="preserve"> </w:t>
      </w:r>
      <w:r>
        <w:rPr>
          <w:iCs/>
          <w:i/>
        </w:rPr>
        <w:t xml:space="preserve">Ephesians</w:t>
      </w:r>
      <w:r>
        <w:t xml:space="preserve"> </w:t>
      </w:r>
      <w:r>
        <w:t xml:space="preserve">4 and the</w:t>
      </w:r>
      <w:r>
        <w:t xml:space="preserve"> </w:t>
      </w:r>
      <w:r>
        <w:rPr>
          <w:iCs/>
          <w:i/>
        </w:rPr>
        <w:t xml:space="preserve">Smyrnaeans</w:t>
      </w:r>
      <w:r>
        <w:t xml:space="preserve"> </w:t>
      </w:r>
      <w:r>
        <w:t xml:space="preserve">13/Polycarp 8 salutations both fall under the existing Registry row P03 (</w:t>
      </w:r>
      <w:r>
        <w:t xml:space="preserve">“</w:t>
      </w:r>
      <w:r>
        <w:t xml:space="preserve">Ignatius’s Letters, middle recension, 7 letters</w:t>
      </w:r>
      <w:r>
        <w:t xml:space="preserve">”</w:t>
      </w:r>
      <w:r>
        <w:t xml:space="preserve">), which already covers all seven authentic letters as one Registry entry — these are specific passages within an already-registered text, not unregistered sources in their own right, and do not require new rows the way the</w:t>
      </w:r>
      <w:r>
        <w:t xml:space="preserve"> </w:t>
      </w:r>
      <w:r>
        <w:rPr>
          <w:iCs/>
          <w:i/>
        </w:rPr>
        <w:t xml:space="preserve">Martyrdom of Polycarp</w:t>
      </w:r>
      <w:r>
        <w:t xml:space="preserve"> </w:t>
      </w:r>
      <w:r>
        <w:t xml:space="preserve">(a wholly separate, unregistered text) did. This is stated explicitly here so a future builder does not mistake this for an unresolved citation-discipline gap of the same kind.</w:t>
      </w:r>
    </w:p>
    <w:p>
      <w:pPr>
        <w:pStyle w:val="BodyText"/>
      </w:pPr>
      <w:r>
        <w:rPr>
          <w:bCs/>
          <w:b/>
        </w:rPr>
        <w:t xml:space="preserve">9. The named household salutations (</w:t>
      </w:r>
      <w:r>
        <w:rPr>
          <w:bCs/>
          <w:b/>
        </w:rPr>
        <w:t xml:space="preserve">“</w:t>
      </w:r>
      <w:r>
        <w:rPr>
          <w:bCs/>
          <w:b/>
        </w:rPr>
        <w:t xml:space="preserve">Tavia/Gavia,</w:t>
      </w:r>
      <w:r>
        <w:rPr>
          <w:bCs/>
          <w:b/>
        </w:rPr>
        <w:t xml:space="preserve">”</w:t>
      </w:r>
      <w:r>
        <w:rPr>
          <w:bCs/>
          <w:b/>
        </w:rPr>
        <w:t xml:space="preserve"> </w:t>
      </w:r>
      <w:r>
        <w:rPr>
          <w:bCs/>
          <w:b/>
        </w:rPr>
        <w:t xml:space="preserve">“</w:t>
      </w:r>
      <w:r>
        <w:rPr>
          <w:bCs/>
          <w:b/>
        </w:rPr>
        <w:t xml:space="preserve">the wife of Epitropus</w:t>
      </w:r>
      <w:r>
        <w:rPr>
          <w:bCs/>
          <w:b/>
        </w:rPr>
        <w:t xml:space="preserve">”</w:t>
      </w:r>
      <w:r>
        <w:rPr>
          <w:bCs/>
          <w:b/>
        </w:rPr>
        <w:t xml:space="preserve">) are the only place in this world’s entire evidentiary base where an ordinary, non-leadership individual is named at all — and even there, nothing survives beyond a name and a greeting.</w:t>
      </w:r>
      <w:r>
        <w:t xml:space="preserve"> </w:t>
      </w:r>
      <w:r>
        <w:t xml:space="preserve">No narrative content exists about either person. This inventory does not construct one. Doc_05 §10 Open Item 2 found this</w:t>
      </w:r>
      <w:r>
        <w:t xml:space="preserve"> </w:t>
      </w:r>
      <w:r>
        <w:t xml:space="preserve">“</w:t>
      </w:r>
      <w:r>
        <w:t xml:space="preserve">falls short… of an explicit</w:t>
      </w:r>
      <w:r>
        <w:t xml:space="preserve"> </w:t>
      </w:r>
      <w:r>
        <w:t xml:space="preserve">‘</w:t>
      </w:r>
      <w:r>
        <w:t xml:space="preserve">the church that meets in this house</w:t>
      </w:r>
      <w:r>
        <w:t xml:space="preserve">’</w:t>
      </w:r>
      <w:r>
        <w:t xml:space="preserve"> </w:t>
      </w:r>
      <w:r>
        <w:t xml:space="preserve">formula</w:t>
      </w:r>
      <w:r>
        <w:t xml:space="preserve">”</w:t>
      </w:r>
      <w:r>
        <w:t xml:space="preserve"> </w:t>
      </w:r>
      <w:r>
        <w:t xml:space="preserve">— it establishes only that these were named individuals worth greeting, not a story.</w:t>
      </w:r>
    </w:p>
    <w:p>
      <w:pPr>
        <w:pStyle w:val="BodyText"/>
      </w:pPr>
      <w:r>
        <w:rPr>
          <w:bCs/>
          <w:b/>
        </w:rPr>
        <w:t xml:space="preserve">10. No material-culture or archaeological story is possible.</w:t>
      </w:r>
      <w:r>
        <w:t xml:space="preserve"> </w:t>
      </w:r>
      <w:r>
        <w:t xml:space="preserve">Doc_02 §5 and Doc_07 §2I: this world’s window is</w:t>
      </w:r>
      <w:r>
        <w:t xml:space="preserve"> </w:t>
      </w:r>
      <w:r>
        <w:t xml:space="preserve">“</w:t>
      </w:r>
      <w:r>
        <w:t xml:space="preserve">essentially archaeologically invisible</w:t>
      </w:r>
      <w:r>
        <w:t xml:space="preserve">”</w:t>
      </w:r>
      <w:r>
        <w:t xml:space="preserve"> </w:t>
      </w:r>
      <w:r>
        <w:t xml:space="preserve">across all three regions. Dura-Europos (c. 232–256) and the Abercius inscription (c. 192–216) are both Excluded Registry rows (P11, P12) and must not be used as evidence for this world’s own period, however tempting for a vivid Tier 4 setting.</w:t>
      </w:r>
    </w:p>
    <w:p>
      <w:pPr>
        <w:pStyle w:val="BodyText"/>
      </w:pPr>
      <w:r>
        <w:rPr>
          <w:bCs/>
          <w:b/>
        </w:rPr>
        <w:t xml:space="preserve">11. No institutional-record story is possible.</w:t>
      </w:r>
      <w:r>
        <w:t xml:space="preserve"> </w:t>
      </w:r>
      <w:r>
        <w:t xml:space="preserve">No membership rolls, council minutes, or administrative documents survive (Doc_02 §3); every institutional story in this catalog (002, 011, 012) is reconstructed from occasional, persuasive, or polemical correspondence, never from routine self-documentation.</w:t>
      </w:r>
    </w:p>
    <w:p>
      <w:pPr>
        <w:pStyle w:val="BodyText"/>
      </w:pPr>
      <w:r>
        <w:rPr>
          <w:bCs/>
          <w:b/>
        </w:rPr>
        <w:t xml:space="preserve">12. Marcion, Valentinus, and Montanism appear nowhere in this catalog as protagonists, and should not.</w:t>
      </w:r>
      <w:r>
        <w:t xml:space="preserve"> </w:t>
      </w:r>
      <w:r>
        <w:t xml:space="preserve">Doc_01 §8.3: these are live, contemporary, undefeated rival movements, named explicitly as</w:t>
      </w:r>
      <w:r>
        <w:t xml:space="preserve"> </w:t>
      </w:r>
      <w:r>
        <w:rPr>
          <w:iCs/>
          <w:i/>
        </w:rPr>
        <w:t xml:space="preserve">not</w:t>
      </w:r>
      <w:r>
        <w:t xml:space="preserve"> </w:t>
      </w:r>
      <w:r>
        <w:t xml:space="preserve">among the nine CiC worlds and not proposed as one. Story 001’s own boundary-drawing content (feeding G05) may reference them as antagonist backdrop but does not, and should not, narrate their own internal experience as if it belonged to this world.</w:t>
      </w:r>
    </w:p>
    <w:p>
      <w:r>
        <w:pict>
          <v:rect style="width:0;height:1.5pt" o:hralign="center" o:hrstd="t" o:hr="t"/>
        </w:pict>
      </w:r>
    </w:p>
    <w:bookmarkEnd w:id="26"/>
    <w:bookmarkStart w:id="27" w:name="section-5-confidence-assessment"/>
    <w:p>
      <w:pPr>
        <w:pStyle w:val="Heading2"/>
      </w:pPr>
      <w:r>
        <w:t xml:space="preserve">Section 5 — Confidence Assessment</w:t>
      </w:r>
    </w:p>
    <w:p>
      <w:pPr>
        <w:pStyle w:val="FirstParagraph"/>
      </w:pPr>
      <w:r>
        <w:rPr>
          <w:bCs/>
          <w:b/>
        </w:rPr>
        <w:t xml:space="preserve">Tier 1 stories (001–007):</w:t>
      </w:r>
      <w:r>
        <w:t xml:space="preserve"> </w:t>
      </w:r>
      <w:r>
        <w:t xml:space="preserve">confidence ranges from Widely Accepted (the underlying textual/circumstantial facts) to Contested (specific dating or representativeness questions), consistent with the Framework’s own Tier 1 cross-walk. Story 001 carries the heaviest disclosed authenticity dispute in this set (the three-way Ignatius dating/authorship split); Story 004 carries the heaviest content-care flag (torture-derived testimony); Story 007 carries an explicit genre disclosure distinguishing textual attestation from a claim about supernatural events.</w:t>
      </w:r>
    </w:p>
    <w:p>
      <w:pPr>
        <w:pStyle w:val="BodyText"/>
      </w:pPr>
      <w:r>
        <w:rPr>
          <w:bCs/>
          <w:b/>
        </w:rPr>
        <w:t xml:space="preserve">Tier 3 story (008):</w:t>
      </w:r>
      <w:r>
        <w:t xml:space="preserve"> </w:t>
      </w:r>
      <w:r>
        <w:t xml:space="preserve">Contested for the general portrait (dating, whether this reflects a coherent single-layer account); Inferential-Thin for specific details shaped by hagiographic and martyrological convention. This is this world’s only Tier 3 story and its only story built on a source (P16) added during this document’s own construction.</w:t>
      </w:r>
    </w:p>
    <w:p>
      <w:pPr>
        <w:pStyle w:val="BodyText"/>
      </w:pPr>
      <w:r>
        <w:rPr>
          <w:bCs/>
          <w:b/>
        </w:rPr>
        <w:t xml:space="preserve">Tier 4 stories (009–013):</w:t>
      </w:r>
      <w:r>
        <w:t xml:space="preserve"> </w:t>
      </w:r>
      <w:r>
        <w:t xml:space="preserve">Inferential-Thin throughout, per the Framework’s own rule that Tier 4 confidence does not rise regardless of how well-sourced individual elements are. Every element in every Tier 4 story is traceable to a specific attested source, documented in each chunk’s own Source Identification section.</w:t>
      </w:r>
    </w:p>
    <w:p>
      <w:pPr>
        <w:pStyle w:val="BodyText"/>
      </w:pPr>
      <w:r>
        <w:rPr>
          <w:bCs/>
          <w:b/>
        </w:rPr>
        <w:t xml:space="preserve">No Tier 5 material exists anywhere in this repository.</w:t>
      </w:r>
      <w:r>
        <w:t xml:space="preserve"> </w:t>
      </w:r>
      <w:r>
        <w:t xml:space="preserve">Confirmed by the audit in the companion Story Index workbook (see Section 6).</w:t>
      </w:r>
    </w:p>
    <w:p>
      <w:r>
        <w:pict>
          <v:rect style="width:0;height:1.5pt" o:hralign="center" o:hrstd="t" o:hr="t"/>
        </w:pict>
      </w:r>
    </w:p>
    <w:bookmarkEnd w:id="27"/>
    <w:bookmarkStart w:id="28" w:name="section-6-governing-principles-applied"/>
    <w:p>
      <w:pPr>
        <w:pStyle w:val="Heading2"/>
      </w:pPr>
      <w:r>
        <w:t xml:space="preserve">Section 6 — Governing Principles Applied</w:t>
      </w:r>
    </w:p>
    <w:p>
      <w:pPr>
        <w:pStyle w:val="FirstParagraph"/>
      </w:pPr>
      <w:r>
        <w:rPr>
          <w:bCs/>
          <w:b/>
        </w:rPr>
        <w:t xml:space="preserve">No Tier 5 Principle — CONFIRMED.</w:t>
      </w:r>
      <w:r>
        <w:t xml:space="preserve"> </w:t>
      </w:r>
      <w:r>
        <w:t xml:space="preserve">Every story traces to specific, already-attested Doc_01–08 evidence and a specific Registry row. No story was generated to fill a narrative gap; where evidence does not support a story, Section 4 names the absence instead.</w:t>
      </w:r>
    </w:p>
    <w:p>
      <w:pPr>
        <w:pStyle w:val="BodyText"/>
      </w:pPr>
      <w:r>
        <w:rPr>
          <w:bCs/>
          <w:b/>
        </w:rPr>
        <w:t xml:space="preserve">Tier-Register Discipline — CONFIRMED.</w:t>
      </w:r>
      <w:r>
        <w:t xml:space="preserve"> </w:t>
      </w:r>
      <w:r>
        <w:t xml:space="preserve">Each deployment chunk’s Story Text is written in its own tier’s register (Tier 1 as remembered/reported history with author named; Tier 3 as the tradition’s own account, hagiographic framing acknowledged; Tier 4 as explicitly marked reconstruction) rather than blending registers.</w:t>
      </w:r>
    </w:p>
    <w:p>
      <w:pPr>
        <w:pStyle w:val="BodyText"/>
      </w:pPr>
      <w:r>
        <w:rPr>
          <w:bCs/>
          <w:b/>
        </w:rPr>
        <w:t xml:space="preserve">From-Within Principle (Constitution Article 23) — CONFIRMED, with the same disclosed limitation this world’s other documents carry.</w:t>
      </w:r>
      <w:r>
        <w:t xml:space="preserve"> </w:t>
      </w:r>
      <w:r>
        <w:t xml:space="preserve">Story Text uses this world’s own vocabulary throughout. Where a story’s underlying evidence is entirely outside/hostile witness (Stories 004, 005, 013), the Story Text is told acknowledging that outside vantage rather than fabricating an inside voice the evidence does not support.</w:t>
      </w:r>
    </w:p>
    <w:p>
      <w:pPr>
        <w:pStyle w:val="BodyText"/>
      </w:pPr>
      <w:r>
        <w:rPr>
          <w:bCs/>
          <w:b/>
        </w:rPr>
        <w:t xml:space="preserve">Proportionality Principle — CONFIRMED.</w:t>
      </w:r>
      <w:r>
        <w:t xml:space="preserve"> </w:t>
      </w:r>
      <w:r>
        <w:t xml:space="preserve">Depth of treatment tracks evidentiary richness and formation impact: Story 001 (this world’s single most load-bearing narrative) and Story 012 (the most fully composite, deliberately cross-strand story) receive the fullest treatment; smaller, narrowly-evidenced stories (003) are told at a length proportionate to what their evidence actually supports.</w:t>
      </w:r>
    </w:p>
    <w:p>
      <w:pPr>
        <w:pStyle w:val="BodyText"/>
      </w:pPr>
      <w:r>
        <w:rPr>
          <w:bCs/>
          <w:b/>
        </w:rPr>
        <w:t xml:space="preserve">Absent Stories Requirement — CONFIRMED, answered with specificity (Section 4), not a placeholder.</w:t>
      </w:r>
      <w:r>
        <w:t xml:space="preserve"> </w:t>
      </w:r>
      <w:r>
        <w:t xml:space="preserve">Twelve distinct, already-identified gaps are named, each with its own citation back to where this build first surfaced it.</w:t>
      </w:r>
    </w:p>
    <w:p>
      <w:pPr>
        <w:pStyle w:val="BodyText"/>
      </w:pPr>
      <w:r>
        <w:rPr>
          <w:bCs/>
          <w:b/>
        </w:rPr>
        <w:t xml:space="preserve">Source Cross-Reference Discipline — CONFIRMED, with one gap found and fixed during this document’s own construction.</w:t>
      </w:r>
      <w:r>
        <w:t xml:space="preserve"> </w:t>
      </w:r>
      <w:r>
        <w:t xml:space="preserve">Every story’s named source was checked against the Source Registry; one gap (the</w:t>
      </w:r>
      <w:r>
        <w:t xml:space="preserve"> </w:t>
      </w:r>
      <w:r>
        <w:rPr>
          <w:iCs/>
          <w:i/>
        </w:rPr>
        <w:t xml:space="preserve">Martyrdom of Polycarp</w:t>
      </w:r>
      <w:r>
        <w:t xml:space="preserve">, Story 008) was found and fixed — see Document Log and Doc_02’s own reopened Document Log entry.</w:t>
      </w:r>
    </w:p>
    <w:p>
      <w:r>
        <w:pict>
          <v:rect style="width:0;height:1.5pt" o:hralign="center" o:hrstd="t" o:hr="t"/>
        </w:pict>
      </w:r>
    </w:p>
    <w:bookmarkEnd w:id="28"/>
    <w:bookmarkStart w:id="29" w:name="Xaeb731470937938dde922ae9813f2948274e821"/>
    <w:p>
      <w:pPr>
        <w:pStyle w:val="Heading2"/>
      </w:pPr>
      <w:r>
        <w:t xml:space="preserve">Section 7 — Doc_09 Completion Certification</w:t>
      </w:r>
    </w:p>
    <w:p>
      <w:pPr>
        <w:numPr>
          <w:ilvl w:val="0"/>
          <w:numId w:val="1016"/>
        </w:numPr>
        <w:pStyle w:val="Compact"/>
      </w:pPr>
      <w:r>
        <w:t xml:space="preserve">☒ Every story traces to a specific source already established in Doc_01–08, with a corresponding Source Registry row</w:t>
      </w:r>
    </w:p>
    <w:p>
      <w:pPr>
        <w:numPr>
          <w:ilvl w:val="0"/>
          <w:numId w:val="1016"/>
        </w:numPr>
        <w:pStyle w:val="Compact"/>
      </w:pPr>
      <w:r>
        <w:t xml:space="preserve">☒ No Tier 5 material present anywhere in this repository (verified in the companion Story Index workbook’s No-Tier-5 audit)</w:t>
      </w:r>
    </w:p>
    <w:p>
      <w:pPr>
        <w:numPr>
          <w:ilvl w:val="0"/>
          <w:numId w:val="1016"/>
        </w:numPr>
        <w:pStyle w:val="Compact"/>
      </w:pPr>
      <w:r>
        <w:t xml:space="preserve">☒ Every story’s Tier field matches its Confidence field per the Framework’s own cross-walk (Section 1, Section 5)</w:t>
      </w:r>
    </w:p>
    <w:p>
      <w:pPr>
        <w:numPr>
          <w:ilvl w:val="0"/>
          <w:numId w:val="1016"/>
        </w:numPr>
        <w:pStyle w:val="Compact"/>
      </w:pPr>
      <w:r>
        <w:t xml:space="preserve">☒ Absent Stories question answered with real specificity — twelve distinct, previously-identified gaps named (Section 4), not a placeholder</w:t>
      </w:r>
    </w:p>
    <w:p>
      <w:pPr>
        <w:numPr>
          <w:ilvl w:val="0"/>
          <w:numId w:val="1016"/>
        </w:numPr>
        <w:pStyle w:val="Compact"/>
      </w:pPr>
      <w:r>
        <w:t xml:space="preserve">☒ Every confirmed Doc_04 gravity connects to at least one story (Section 3); G06 excluded, with reason stated</w:t>
      </w:r>
    </w:p>
    <w:p>
      <w:pPr>
        <w:numPr>
          <w:ilvl w:val="0"/>
          <w:numId w:val="1016"/>
        </w:numPr>
        <w:pStyle w:val="Compact"/>
      </w:pPr>
      <w:r>
        <w:t xml:space="preserve">☒ Both strands represented, with the imbalance between them named honestly rather than smoothed (Section 4, Item 3)</w:t>
      </w:r>
    </w:p>
    <w:p>
      <w:pPr>
        <w:numPr>
          <w:ilvl w:val="0"/>
          <w:numId w:val="1016"/>
        </w:numPr>
        <w:pStyle w:val="Compact"/>
      </w:pPr>
      <w:r>
        <w:t xml:space="preserve">☒ A genuine, newly-surfaced Source Registry gap (Martyrdom of Polycarp, P16) was found during this document’s own construction and fixed directly in Doc_02 and the Registry, not silently carried into this document unresolved</w:t>
      </w:r>
    </w:p>
    <w:p>
      <w:pPr>
        <w:numPr>
          <w:ilvl w:val="0"/>
          <w:numId w:val="1016"/>
        </w:numPr>
        <w:pStyle w:val="Compact"/>
      </w:pPr>
      <w:r>
        <w:t xml:space="preserve">☒ Individual deployment chunks built for all thirteen stories, following the L4 Story Repository Chunk Template</w:t>
      </w:r>
    </w:p>
    <w:p>
      <w:pPr>
        <w:pStyle w:val="FirstParagraph"/>
      </w:pPr>
      <w:r>
        <w:rPr>
          <w:bCs/>
          <w:b/>
        </w:rPr>
        <w:t xml:space="preserve">Doc_09 completion status: APPROVED TO PROCEED.</w:t>
      </w:r>
      <w:r>
        <w:t xml:space="preserve"> </w:t>
      </w:r>
      <w:r>
        <w:t xml:space="preserve">Round-1 independent review received, round-1 fixes applied, round-2 independent verification confirmed all five fixes landed correctly with no regressions, and the project lead signed off on 2026-07-07 (see Document Log). Thirteen stories cataloged (seven Tier 1, one Tier 3, five Tier 4), zero Tier 5, twelve distinct Absent Stories items named.</w:t>
      </w:r>
    </w:p>
    <w:p>
      <w:pPr>
        <w:pStyle w:val="BodyText"/>
      </w:pPr>
      <w:r>
        <w:rPr>
          <w:bCs/>
          <w:b/>
        </w:rPr>
        <w:t xml:space="preserve">Outstanding items carried forward, not resolved by this document:</w:t>
      </w:r>
      <w:r>
        <w:t xml:space="preserve"> </w:t>
      </w:r>
      <w:r>
        <w:t xml:space="preserve">1. Whether Rome’s absence of martyrdom/boundary-drawing narrative material (Section 4, Item 1) reflects genuine lived difference or a transmission accident remains open, as it does in Doc_08.</w:t>
      </w:r>
      <w:r>
        <w:t xml:space="preserve"> </w:t>
      </w:r>
      <w:r>
        <w:t xml:space="preserve">2. The two still-unregistered specific passages (Section 4, Item 8 —</w:t>
      </w:r>
      <w:r>
        <w:t xml:space="preserve"> </w:t>
      </w:r>
      <w:r>
        <w:rPr>
          <w:iCs/>
          <w:i/>
        </w:rPr>
        <w:t xml:space="preserve">Ephesians</w:t>
      </w:r>
      <w:r>
        <w:t xml:space="preserve"> </w:t>
      </w:r>
      <w:r>
        <w:t xml:space="preserve">4’s lyre/harp image,</w:t>
      </w:r>
      <w:r>
        <w:t xml:space="preserve"> </w:t>
      </w:r>
      <w:r>
        <w:rPr>
          <w:iCs/>
          <w:i/>
        </w:rPr>
        <w:t xml:space="preserve">Smyrnaeans</w:t>
      </w:r>
      <w:r>
        <w:t xml:space="preserve"> </w:t>
      </w:r>
      <w:r>
        <w:t xml:space="preserve">13/Polycarp 8’s salutations) fall under existing Registry row P03 and were judged not to require new rows; a future reviewer should confirm this judgment rather than accept it as settled without check.</w:t>
      </w:r>
      <w:r>
        <w:t xml:space="preserve"> </w:t>
      </w:r>
      <w:r>
        <w:t xml:space="preserve">3. Story 006’s Tier 1 classification (Justin’s Sunday gathering, a recurring-practice summary rather than a single narrated event) is disclosed in the Document Log as a genuine edge case; round-1 review recommended the project lead weigh in directly on this specific judgment call rather than treat it as settled by disclosure alone.</w:t>
      </w:r>
    </w:p>
    <w:p>
      <w:r>
        <w:pict>
          <v:rect style="width:0;height:1.5pt" o:hralign="center" o:hrstd="t" o:hr="t"/>
        </w:pict>
      </w:r>
    </w:p>
    <w:bookmarkEnd w:id="29"/>
    <w:bookmarkStart w:id="30" w:name="document-log"/>
    <w:p>
      <w:pPr>
        <w:pStyle w:val="Heading2"/>
      </w:pPr>
      <w:r>
        <w:t xml:space="preserve">Document Log</w:t>
      </w:r>
    </w:p>
    <w:p>
      <w:pPr>
        <w:numPr>
          <w:ilvl w:val="0"/>
          <w:numId w:val="1017"/>
        </w:numPr>
        <w:pStyle w:val="Compact"/>
      </w:pPr>
      <w:r>
        <w:rPr>
          <w:bCs/>
          <w:b/>
        </w:rPr>
        <w:t xml:space="preserve">Document:</w:t>
      </w:r>
      <w:r>
        <w:t xml:space="preserve"> </w:t>
      </w:r>
      <w:r>
        <w:t xml:space="preserve">Doc_09 — Story Inventory, World #1 (Post-Apostolic/Sub-Apostolic House-Church Christianity), world code</w:t>
      </w:r>
      <w:r>
        <w:t xml:space="preserve"> </w:t>
      </w:r>
      <w:r>
        <w:rPr>
          <w:rStyle w:val="VerbatimChar"/>
        </w:rPr>
        <w:t xml:space="preserve">pahc</w:t>
      </w:r>
      <w:r>
        <w:t xml:space="preserve">, per Construction Framework V7.3 Part II and the Story Repository Chunk Template (L4) v1.0.</w:t>
      </w:r>
    </w:p>
    <w:p>
      <w:pPr>
        <w:numPr>
          <w:ilvl w:val="0"/>
          <w:numId w:val="1017"/>
        </w:numPr>
        <w:pStyle w:val="Compact"/>
      </w:pPr>
      <w:r>
        <w:rPr>
          <w:bCs/>
          <w:b/>
        </w:rPr>
        <w:t xml:space="preserve">Built from:</w:t>
      </w:r>
      <w:r>
        <w:t xml:space="preserve"> </w:t>
      </w:r>
      <w:r>
        <w:t xml:space="preserve">Doc_01 through Doc_08 (all finalized, all project-lead signed off 2026-07-07). A dedicated story-extraction research pass was dispatched first, with zero drafting authority, to catalog every narrative-shaped piece of evidence already documented across Doc_01–08 before any tier classification or story text was written — consistent with the No Tier 5 discipline requiring stories to be found in the evidence, not composed and retrofitted with sources afterward.</w:t>
      </w:r>
    </w:p>
    <w:p>
      <w:pPr>
        <w:numPr>
          <w:ilvl w:val="0"/>
          <w:numId w:val="1017"/>
        </w:numPr>
        <w:pStyle w:val="Compact"/>
      </w:pPr>
      <w:r>
        <w:rPr>
          <w:bCs/>
          <w:b/>
        </w:rPr>
        <w:t xml:space="preserve">Source Registry gap found and fixed during construction:</w:t>
      </w:r>
      <w:r>
        <w:t xml:space="preserve"> </w:t>
      </w:r>
      <w:r>
        <w:t xml:space="preserve">the story-extraction pass found that the</w:t>
      </w:r>
      <w:r>
        <w:t xml:space="preserve"> </w:t>
      </w:r>
      <w:r>
        <w:rPr>
          <w:iCs/>
          <w:i/>
        </w:rPr>
        <w:t xml:space="preserve">Martyrdom of Polycarp</w:t>
      </w:r>
      <w:r>
        <w:t xml:space="preserve"> </w:t>
      </w:r>
      <w:r>
        <w:t xml:space="preserve">— already cited substantively and load-bearingly across Doc_01, Doc_04, Doc_05, and Doc_08 as one of exactly two data points supporting G04 — had never received its own Source Registry row, in violation of Doc_02’s own stated citation-discipline rule. This was fixed directly: Registry row P16 added (Source Registry sheet and all four derived views), and Doc_02 itself reopened with a narrow, disclosed Document Log entry documenting the fix (Registry total now 73 rows, 46 flagged for priority review). This is not a defect in this document — it is this document’s own construction process catching and closing a five-review-round-old gap in an earlier, already-finalized document, consistent with this project’s established practice of fixing narrow, mechanical citation-discipline gaps directly rather than deferring them.</w:t>
      </w:r>
    </w:p>
    <w:p>
      <w:pPr>
        <w:numPr>
          <w:ilvl w:val="0"/>
          <w:numId w:val="1017"/>
        </w:numPr>
        <w:pStyle w:val="Compact"/>
      </w:pPr>
      <w:r>
        <w:rPr>
          <w:bCs/>
          <w:b/>
        </w:rPr>
        <w:t xml:space="preserve">Tier classification judgment calls, flagged for independent review:</w:t>
      </w:r>
      <w:r>
        <w:t xml:space="preserve"> </w:t>
      </w:r>
      <w:r>
        <w:t xml:space="preserve">(1) Story 001 (Ignatius’s journey) and Story 011 (the one-eucharist practice) both draw on the same contested source (Ignatius’s letters) but were classified at different tiers — 001 as Tier 1 (a specific, named, datable narrative), 011 as Tier 4 (a composite typical-practice reconstruction, not a single narrated event) — this split is a judgment call a reviewer should test. (2) Story 006 (Justin’s Sunday gathering) was classified Tier 1 rather than Tier 4 on the reasoning that Justin’s own text is a direct, first-person report of typical practice in his own voice, not a builder’s later composite from multiple sources — this is a genuine edge case the Framework’s own tier definitions do not perfectly anticipate (a primary source directly reporting on recurring rather than singular practice), and the reasoning is stated explicitly here rather than the classification being asserted without justification. (3) Story 007 (Hermas’s visions) was classified Tier 1 rather than Tier 3, on the reasoning that Hermas names himself as the direct narrator/recipient of his own visions in his own surviving text (unlike Tier 3’s hagiographic-convention material, which is attributed to a figure by someone else) — the genre distinction between</w:t>
      </w:r>
      <w:r>
        <w:t xml:space="preserve"> </w:t>
      </w:r>
      <w:r>
        <w:t xml:space="preserve">“</w:t>
      </w:r>
      <w:r>
        <w:t xml:space="preserve">textually attested as reported</w:t>
      </w:r>
      <w:r>
        <w:t xml:space="preserve">”</w:t>
      </w:r>
      <w:r>
        <w:t xml:space="preserve"> </w:t>
      </w:r>
      <w:r>
        <w:t xml:space="preserve">and</w:t>
      </w:r>
      <w:r>
        <w:t xml:space="preserve"> </w:t>
      </w:r>
      <w:r>
        <w:t xml:space="preserve">“</w:t>
      </w:r>
      <w:r>
        <w:t xml:space="preserve">historically factual as supernatural event</w:t>
      </w:r>
      <w:r>
        <w:t xml:space="preserve">”</w:t>
      </w:r>
      <w:r>
        <w:t xml:space="preserve"> </w:t>
      </w:r>
      <w:r>
        <w:t xml:space="preserve">is disclosed explicitly in that story’s own deployment chunk and should not be read as this document treating the visions’ supernatural content as historical fact.</w:t>
      </w:r>
    </w:p>
    <w:p>
      <w:pPr>
        <w:numPr>
          <w:ilvl w:val="0"/>
          <w:numId w:val="1017"/>
        </w:numPr>
        <w:pStyle w:val="Compact"/>
      </w:pPr>
      <w:r>
        <w:rPr>
          <w:bCs/>
          <w:b/>
        </w:rPr>
        <w:t xml:space="preserve">New synthesis, flagged for independent review:</w:t>
      </w:r>
      <w:r>
        <w:t xml:space="preserve"> </w:t>
      </w:r>
      <w:r>
        <w:t xml:space="preserve">Story 013’s reconstruction explicitly separates Lucian’s satirical portrait of</w:t>
      </w:r>
      <w:r>
        <w:t xml:space="preserve"> </w:t>
      </w:r>
      <w:r>
        <w:t xml:space="preserve">“</w:t>
      </w:r>
      <w:r>
        <w:t xml:space="preserve">Peregrinus</w:t>
      </w:r>
      <w:r>
        <w:t xml:space="preserve">”</w:t>
      </w:r>
      <w:r>
        <w:t xml:space="preserve"> </w:t>
      </w:r>
      <w:r>
        <w:t xml:space="preserve">himself (unusable as a positive exemplar) from the incidentally-preserved communal-practice detail beneath the satire (usable, per Doc_02 §6’s own reading, itself inherited from Jones and Bremmer) — this separation is this document’s own interpretive move applied to already-established Doc_02 material, not a new primary-source claim.</w:t>
      </w:r>
    </w:p>
    <w:p>
      <w:pPr>
        <w:numPr>
          <w:ilvl w:val="0"/>
          <w:numId w:val="1017"/>
        </w:numPr>
        <w:pStyle w:val="Compact"/>
      </w:pPr>
      <w:r>
        <w:rPr>
          <w:bCs/>
          <w:b/>
        </w:rPr>
        <w:t xml:space="preserve">Round-1 independent cold review (2026-07-07):</w:t>
      </w:r>
      <w:r>
        <w:t xml:space="preserve"> </w:t>
      </w:r>
      <w:r>
        <w:t xml:space="preserve">dispatched against the complete package (this document, all 13 deployment chunks, and the Story Index workbook). Overall finding: no Tier 5 violation, no Excluded-source misuse, no fabrication, and honest historical calibration throughout — the underlying research and story text were confirmed sound. However, the review found and required correction of: (1) this document’s own Section 2, Section 7, and the workbook’s Story Index sheet incorrectly stated</w:t>
      </w:r>
      <w:r>
        <w:t xml:space="preserve"> </w:t>
      </w:r>
      <w:r>
        <w:t xml:space="preserve">“</w:t>
      </w:r>
      <w:r>
        <w:t xml:space="preserve">twelve stories… four Tier 4</w:t>
      </w:r>
      <w:r>
        <w:t xml:space="preserve">”</w:t>
      </w:r>
      <w:r>
        <w:t xml:space="preserve"> </w:t>
      </w:r>
      <w:r>
        <w:t xml:space="preserve">when the document actually catalogs thirteen stories with five Tier 4 entries (009–013) — a genuine arithmetic/proofreading error inside a signed completion checklist; (2) Section 3’s Story-to-Gravity Connection Summary omitted several story-gravity connections already stated correctly in each story’s own Section 2 entry (Story 005 and Story 007 missing under G01, Story 011 missing under G01/G05, Story 012 missing under G02, Story 001 missing under G07); (3) the</w:t>
      </w:r>
      <w:r>
        <w:t xml:space="preserve"> </w:t>
      </w:r>
      <w:r>
        <w:t xml:space="preserve">“</w:t>
      </w:r>
      <w:r>
        <w:t xml:space="preserve">Governed by</w:t>
      </w:r>
      <w:r>
        <w:t xml:space="preserve">”</w:t>
      </w:r>
      <w:r>
        <w:t xml:space="preserve"> </w:t>
      </w:r>
      <w:r>
        <w:t xml:space="preserve">line miscited the Framework’s own Part structure as</w:t>
      </w:r>
      <w:r>
        <w:t xml:space="preserve"> </w:t>
      </w:r>
      <w:r>
        <w:t xml:space="preserve">“</w:t>
      </w:r>
      <w:r>
        <w:t xml:space="preserve">Part IV</w:t>
      </w:r>
      <w:r>
        <w:t xml:space="preserve">”</w:t>
      </w:r>
      <w:r>
        <w:t xml:space="preserve"> </w:t>
      </w:r>
      <w:r>
        <w:t xml:space="preserve">when the Story Classification material actually lives in Part II, confirmed by direct inspection of the Framework document itself; (4) Story 009’s Source Identification section mislabeled its vice-catalog citation range as</w:t>
      </w:r>
      <w:r>
        <w:t xml:space="preserve"> </w:t>
      </w:r>
      <w:r>
        <w:t xml:space="preserve">“</w:t>
      </w:r>
      <w:r>
        <w:t xml:space="preserve">Didache 2:1–4:14 and 5:1 (Way of Death catalog)</w:t>
      </w:r>
      <w:r>
        <w:t xml:space="preserve">”</w:t>
      </w:r>
      <w:r>
        <w:t xml:space="preserve"> </w:t>
      </w:r>
      <w:r>
        <w:t xml:space="preserve">when only 5:1 is actually the Way of Death catalog — 2:1–4:14 is Way of Life material; (5) the Source Registry workbook’s derived</w:t>
      </w:r>
      <w:r>
        <w:t xml:space="preserve"> </w:t>
      </w:r>
      <w:r>
        <w:t xml:space="preserve">“</w:t>
      </w:r>
      <w:r>
        <w:t xml:space="preserve">By Boundary Status</w:t>
      </w:r>
      <w:r>
        <w:t xml:space="preserve">”</w:t>
      </w:r>
      <w:r>
        <w:t xml:space="preserve"> </w:t>
      </w:r>
      <w:r>
        <w:t xml:space="preserve">and</w:t>
      </w:r>
      <w:r>
        <w:t xml:space="preserve"> </w:t>
      </w:r>
      <w:r>
        <w:t xml:space="preserve">“</w:t>
      </w:r>
      <w:r>
        <w:t xml:space="preserve">By Confidence Level</w:t>
      </w:r>
      <w:r>
        <w:t xml:space="preserve">”</w:t>
      </w:r>
      <w:r>
        <w:t xml:space="preserve"> </w:t>
      </w:r>
      <w:r>
        <w:t xml:space="preserve">sheets did not sort the newly-added P16 row into its correct Native/Contested groups, leaving it as an orphan row a reader following either sheet’s own stated structure would miss.</w:t>
      </w:r>
    </w:p>
    <w:p>
      <w:pPr>
        <w:numPr>
          <w:ilvl w:val="0"/>
          <w:numId w:val="1017"/>
        </w:numPr>
        <w:pStyle w:val="Compact"/>
      </w:pPr>
      <w:r>
        <w:rPr>
          <w:bCs/>
          <w:b/>
        </w:rPr>
        <w:t xml:space="preserve">Revision-decision test applied to round-1 findings:</w:t>
      </w:r>
      <w:r>
        <w:t xml:space="preserve"> </w:t>
      </w:r>
      <w:r>
        <w:t xml:space="preserve">none of the five findings above change a claim’s substance, a confidence rating, a sourcing conclusion, or a scope boundary about the world itself — every underlying tier classification, source attribution, and historical claim was independently confirmed sound by the same review. All five are wording, count-accuracy, citation-address, or derived-view-sorting fixes, matching this project’s own established cosmetic/narrow-mechanical category. Applied directly below, without a fresh full review round, consistent with precedent already set for Doc_02 (P16 gap) and Doc_08 (round-1 workbook fixes); a round-2 independent verification pass (not a full fresh review) will confirm the fixes landed correctly before this document proceeds toward sign-off, following the same precedent.</w:t>
      </w:r>
    </w:p>
    <w:p>
      <w:pPr>
        <w:numPr>
          <w:ilvl w:val="0"/>
          <w:numId w:val="1017"/>
        </w:numPr>
        <w:pStyle w:val="Compact"/>
      </w:pPr>
      <w:r>
        <w:rPr>
          <w:bCs/>
          <w:b/>
        </w:rPr>
        <w:t xml:space="preserve">Round-1 fixes applied (2026-07-07):</w:t>
      </w:r>
      <w:r>
        <w:t xml:space="preserve"> </w:t>
      </w:r>
      <w:r>
        <w:t xml:space="preserve">corrected the story/tier count to</w:t>
      </w:r>
      <w:r>
        <w:t xml:space="preserve"> </w:t>
      </w:r>
      <w:r>
        <w:t xml:space="preserve">“</w:t>
      </w:r>
      <w:r>
        <w:t xml:space="preserve">thirteen stories… five Tier 4</w:t>
      </w:r>
      <w:r>
        <w:t xml:space="preserve">”</w:t>
      </w:r>
      <w:r>
        <w:t xml:space="preserve"> </w:t>
      </w:r>
      <w:r>
        <w:t xml:space="preserve">in Section 2 and Section 7 (including the Completion Certification checkbox language), fixed the broken</w:t>
      </w:r>
      <w:r>
        <w:t xml:space="preserve"> </w:t>
      </w:r>
      <w:r>
        <w:t xml:space="preserve">“</w:t>
      </w:r>
      <w:r>
        <w:t xml:space="preserve">see file list, Section 6</w:t>
      </w:r>
      <w:r>
        <w:t xml:space="preserve">”</w:t>
      </w:r>
      <w:r>
        <w:t xml:space="preserve"> </w:t>
      </w:r>
      <w:r>
        <w:t xml:space="preserve">cross-reference in Section 2, rebuilt Section 3’s Story-to-Gravity Connection Summary directly from each story’s own Section 2 data, corrected the</w:t>
      </w:r>
      <w:r>
        <w:t xml:space="preserve"> </w:t>
      </w:r>
      <w:r>
        <w:t xml:space="preserve">“</w:t>
      </w:r>
      <w:r>
        <w:t xml:space="preserve">Governed by</w:t>
      </w:r>
      <w:r>
        <w:t xml:space="preserve">”</w:t>
      </w:r>
      <w:r>
        <w:t xml:space="preserve"> </w:t>
      </w:r>
      <w:r>
        <w:t xml:space="preserve">line’s Framework citation from Part IV to Part II (also fixed in Section 1’s own restatement), corrected Story 009’s deployment chunk Source Identification citation range, and re-sorted the Source Registry workbook’s P16 row into its correct Native (By Boundary Status) and Contested (By Confidence Level) groups. The Story Index workbook’s Row 2 summary text was also corrected to match its own already-correct</w:t>
      </w:r>
      <w:r>
        <w:t xml:space="preserve"> </w:t>
      </w:r>
      <w:r>
        <w:t xml:space="preserve">“</w:t>
      </w:r>
      <w:r>
        <w:t xml:space="preserve">By Tier</w:t>
      </w:r>
      <w:r>
        <w:t xml:space="preserve">”</w:t>
      </w:r>
      <w:r>
        <w:t xml:space="preserve"> </w:t>
      </w:r>
      <w:r>
        <w:t xml:space="preserve">and</w:t>
      </w:r>
      <w:r>
        <w:t xml:space="preserve"> </w:t>
      </w:r>
      <w:r>
        <w:t xml:space="preserve">“</w:t>
      </w:r>
      <w:r>
        <w:t xml:space="preserve">No-Tier-5 Audit</w:t>
      </w:r>
      <w:r>
        <w:t xml:space="preserve">”</w:t>
      </w:r>
      <w:r>
        <w:t xml:space="preserve"> </w:t>
      </w:r>
      <w:r>
        <w:t xml:space="preserve">sheets. One additional item from round-1 review — Story 006’s Tier 1 classification as a genuine, disclosed edge case — was not treated as requiring a substantive change, since the review itself confirmed the reasoning is defensible and adequately disclosed; it is instead flagged in Section 7’s Outstanding Items for the project lead’s own direct judgment, per the review’s specific recommendation.</w:t>
      </w:r>
    </w:p>
    <w:p>
      <w:pPr>
        <w:numPr>
          <w:ilvl w:val="0"/>
          <w:numId w:val="1017"/>
        </w:numPr>
        <w:pStyle w:val="Compact"/>
      </w:pPr>
      <w:r>
        <w:rPr>
          <w:bCs/>
          <w:b/>
        </w:rPr>
        <w:t xml:space="preserve">Round-2 independent verification (2026-07-07):</w:t>
      </w:r>
      <w:r>
        <w:t xml:space="preserve"> </w:t>
      </w:r>
      <w:r>
        <w:t xml:space="preserve">dispatched specifically against the 5 round-1 fixes (not a full fresh review), per this project’s established precedent for narrow/cosmetic fix cycles (matching Doc_08’s own round-2 verification practice). Result: all 5 fixes confirmed landed correctly — (1) story/tier count now reads</w:t>
      </w:r>
      <w:r>
        <w:t xml:space="preserve"> </w:t>
      </w:r>
      <w:r>
        <w:t xml:space="preserve">“</w:t>
      </w:r>
      <w:r>
        <w:t xml:space="preserve">thirteen… five Tier 4</w:t>
      </w:r>
      <w:r>
        <w:t xml:space="preserve">”</w:t>
      </w:r>
      <w:r>
        <w:t xml:space="preserve"> </w:t>
      </w:r>
      <w:r>
        <w:t xml:space="preserve">consistently across the main document (Section 2, Section 7) and the Story Index workbook (Story Index sheet, By Tier sheet, No-Tier-5 Audit sheet); (2) Section 3’s gravity mapping now accurately reflects every story’s own Section 2</w:t>
      </w:r>
      <w:r>
        <w:t xml:space="preserve"> </w:t>
      </w:r>
      <w:r>
        <w:t xml:space="preserve">“</w:t>
      </w:r>
      <w:r>
        <w:t xml:space="preserve">Connected gravities</w:t>
      </w:r>
      <w:r>
        <w:t xml:space="preserve">”</w:t>
      </w:r>
      <w:r>
        <w:t xml:space="preserve"> </w:t>
      </w:r>
      <w:r>
        <w:t xml:space="preserve">field, verified line by line across all 13 stories; (3) the Framework citation reads</w:t>
      </w:r>
      <w:r>
        <w:t xml:space="preserve"> </w:t>
      </w:r>
      <w:r>
        <w:t xml:space="preserve">“</w:t>
      </w:r>
      <w:r>
        <w:t xml:space="preserve">Part II</w:t>
      </w:r>
      <w:r>
        <w:t xml:space="preserve">”</w:t>
      </w:r>
      <w:r>
        <w:t xml:space="preserve"> </w:t>
      </w:r>
      <w:r>
        <w:t xml:space="preserve">in the Governed-by line, Section 1’s restatement, and the Document Log’s first entry, with only the two legitimate past-tense references to the original</w:t>
      </w:r>
      <w:r>
        <w:t xml:space="preserve"> </w:t>
      </w:r>
      <w:r>
        <w:t xml:space="preserve">“</w:t>
      </w:r>
      <w:r>
        <w:t xml:space="preserve">Part IV</w:t>
      </w:r>
      <w:r>
        <w:t xml:space="preserve">”</w:t>
      </w:r>
      <w:r>
        <w:t xml:space="preserve"> </w:t>
      </w:r>
      <w:r>
        <w:t xml:space="preserve">error remaining (in this Document Log’s own round-1 review and fix entries, correctly describing what was wrong); (4) Story 009’s deployment chunk now correctly separates Way of Life material (Didache 2:1–4:14) from the Way of Death catalog (Didache 5:1) as two distinct, correctly-labeled Source Identification entries; (5) the Source Registry workbook’s</w:t>
      </w:r>
      <w:r>
        <w:t xml:space="preserve"> </w:t>
      </w:r>
      <w:r>
        <w:t xml:space="preserve">“</w:t>
      </w:r>
      <w:r>
        <w:t xml:space="preserve">By Boundary Status</w:t>
      </w:r>
      <w:r>
        <w:t xml:space="preserve">”</w:t>
      </w:r>
      <w:r>
        <w:t xml:space="preserve"> </w:t>
      </w:r>
      <w:r>
        <w:t xml:space="preserve">and</w:t>
      </w:r>
      <w:r>
        <w:t xml:space="preserve"> </w:t>
      </w:r>
      <w:r>
        <w:t xml:space="preserve">“</w:t>
      </w:r>
      <w:r>
        <w:t xml:space="preserve">By Confidence Level</w:t>
      </w:r>
      <w:r>
        <w:t xml:space="preserve">”</w:t>
      </w:r>
      <w:r>
        <w:t xml:space="preserve"> </w:t>
      </w:r>
      <w:r>
        <w:t xml:space="preserve">sheets both now show P16 correctly sorted into its Native/Contested group blocks, with no rows lost or duplicated (80 and 84 total rows respectively, confirmed against the base Source Registry sheet’s 73 IDs with no mismatch). A regression spot-check of Sections 4-6 and the document’s ending found no truncation, corruption, or unintended changes elsewhere.</w:t>
      </w:r>
    </w:p>
    <w:p>
      <w:pPr>
        <w:numPr>
          <w:ilvl w:val="0"/>
          <w:numId w:val="1017"/>
        </w:numPr>
        <w:pStyle w:val="Compact"/>
      </w:pPr>
      <w:r>
        <w:rPr>
          <w:bCs/>
          <w:b/>
        </w:rPr>
        <w:t xml:space="preserve">Project-lead sign-off (2026-07-07):</w:t>
      </w:r>
      <w:r>
        <w:t xml:space="preserve"> </w:t>
      </w:r>
      <w:r>
        <w:t xml:space="preserve">Mark reviewed the completed round-2-verified package and signed off, stating explicitly</w:t>
      </w:r>
      <w:r>
        <w:t xml:space="preserve"> </w:t>
      </w:r>
      <w:r>
        <w:t xml:space="preserve">“</w:t>
      </w:r>
      <w:r>
        <w:t xml:space="preserve">this looks great, i am signing off on this and the previous ambiguitys</w:t>
      </w:r>
      <w:r>
        <w:t xml:space="preserve">”</w:t>
      </w:r>
      <w:r>
        <w:t xml:space="preserve"> </w:t>
      </w:r>
      <w:r>
        <w:t xml:space="preserve">— read as sign-off on Doc_09 itself and on the disclosed open judgment calls (Story 006’s Tier 1 edge case, the two still-unregistered Ignatius passages, the open Strand B martyrdom question) rather than a request to resolve them further before finalizing. Consistent with this project’s established practice (Doc_07, Doc_08), this interpretation is stated transparently here rather than assumed silently, and remains correctable if wrong.</w:t>
      </w:r>
    </w:p>
    <w:p>
      <w:pPr>
        <w:numPr>
          <w:ilvl w:val="0"/>
          <w:numId w:val="1017"/>
        </w:numPr>
        <w:pStyle w:val="Compact"/>
      </w:pPr>
      <w:r>
        <w:rPr>
          <w:bCs/>
          <w:b/>
        </w:rPr>
        <w:t xml:space="preserve">Status: APPROVED TO PROCEED.</w:t>
      </w:r>
    </w:p>
    <w:p>
      <w:pPr>
        <w:numPr>
          <w:ilvl w:val="0"/>
          <w:numId w:val="1017"/>
        </w:numPr>
        <w:pStyle w:val="Compact"/>
      </w:pPr>
      <w:r>
        <w:rPr>
          <w:bCs/>
          <w:b/>
        </w:rPr>
        <w:t xml:space="preserve">Sign-off terminology update (2026-07-08):</w:t>
      </w:r>
      <w:r>
        <w:t xml:space="preserve"> </w:t>
      </w:r>
      <w:r>
        <w:t xml:space="preserve">Per project-wide policy change, this document’s status is relabeled from FINALIZED to APPROVED TO PROCEED. This is a terminology correction, not a reopening — no content changed. Per Construction Framework V7.3, no document in this world’s build is considered frozen until the full Step 9 Validation Layer (Part VI: Validation &amp; Testing, including Living Tradition Status Confirmation and External Scholarly Review) is documented as executed for the world as a whole. Individual document approval means the project lead has authorized building on this document going forward, not that it is permanently closed to revision.</w:t>
      </w:r>
    </w:p>
    <w:p>
      <w:pPr>
        <w:numPr>
          <w:ilvl w:val="0"/>
          <w:numId w:val="1017"/>
        </w:numPr>
        <w:pStyle w:val="Compact"/>
      </w:pPr>
      <w:r>
        <w:rPr>
          <w:bCs/>
          <w:b/>
        </w:rPr>
        <w:t xml:space="preserve">Step 9 Validation &amp; Testing revision — Story 009 recalibrated (2026-07-08):</w:t>
      </w:r>
      <w:r>
        <w:t xml:space="preserve"> </w:t>
      </w:r>
      <w:r>
        <w:t xml:space="preserve">the Worship Integration Testing pass closed Doc_03 §4 Open Item 6 (see Doc_05’s and Doc_06’s own Document Log entries for the full primary-text extraction account). Story 009’s summary entry (Confidence, Strand, Usage guidance fields) and its deployment chunk (Usage Guidance, Absent Story Note sections) were both updated to distinguish two levels of claim that this world’s evidence now supports differently: the story’s own</w:t>
      </w:r>
      <w:r>
        <w:t xml:space="preserve"> </w:t>
      </w:r>
      <w:r>
        <w:rPr>
          <w:iCs/>
          <w:i/>
        </w:rPr>
        <w:t xml:space="preserve">specific</w:t>
      </w:r>
      <w:r>
        <w:t xml:space="preserve"> </w:t>
      </w:r>
      <w:r>
        <w:t xml:space="preserve">procedural sequence (water-type fallback order, exact fasting instruction) remains Didache-only and is not extended; the</w:t>
      </w:r>
      <w:r>
        <w:t xml:space="preserve"> </w:t>
      </w:r>
      <w:r>
        <w:rPr>
          <w:iCs/>
          <w:i/>
        </w:rPr>
        <w:t xml:space="preserve">general</w:t>
      </w:r>
      <w:r>
        <w:t xml:space="preserve"> </w:t>
      </w:r>
      <w:r>
        <w:t xml:space="preserve">practice it depicts (catechesis before baptism, triadic water-naming, pre-baptismal fasting, baptism-before-eucharist) is now independently corroborated in both other strands (Justin’s</w:t>
      </w:r>
      <w:r>
        <w:t xml:space="preserve"> </w:t>
      </w:r>
      <w:r>
        <w:rPr>
          <w:iCs/>
          <w:i/>
        </w:rPr>
        <w:t xml:space="preserve">First Apology</w:t>
      </w:r>
      <w:r>
        <w:t xml:space="preserve"> </w:t>
      </w:r>
      <w:r>
        <w:t xml:space="preserve">61/65–66 for Rome; Ignatius’s</w:t>
      </w:r>
      <w:r>
        <w:t xml:space="preserve"> </w:t>
      </w:r>
      <w:r>
        <w:rPr>
          <w:iCs/>
          <w:i/>
        </w:rPr>
        <w:t xml:space="preserve">Smyrnaeans</w:t>
      </w:r>
      <w:r>
        <w:t xml:space="preserve"> </w:t>
      </w:r>
      <w:r>
        <w:t xml:space="preserve">8:2, thinly, for Antioch/Asia Minor). The story’s own narrated text (Story Text section) is unchanged — only its evidentiary framing was updated.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2026-09-01T23:58:29Z</dcterms:created>
  <dcterms:modified xsi:type="dcterms:W3CDTF">2026-09-01T23:58:29Z</dcterms:modified>
</cp:coreProperties>
</file>

<file path=docProps/custom.xml><?xml version="1.0" encoding="utf-8"?>
<Properties xmlns="http://schemas.openxmlformats.org/officeDocument/2006/custom-properties" xmlns:vt="http://schemas.openxmlformats.org/officeDocument/2006/docPropsVTypes"/>
</file>