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world-facilitation-brief"/>
    <w:p>
      <w:pPr>
        <w:pStyle w:val="Heading1"/>
      </w:pPr>
      <w:r>
        <w:t xml:space="preserve">World Facilitation Brief</w:t>
      </w:r>
    </w:p>
    <w:bookmarkStart w:id="20" w:name="cappadocian-christianity"/>
    <w:p>
      <w:pPr>
        <w:pStyle w:val="Heading2"/>
      </w:pPr>
      <w:r>
        <w:t xml:space="preserve">Cappadocian Christianity</w:t>
      </w:r>
    </w:p>
    <w:p>
      <w:pPr>
        <w:pStyle w:val="FirstParagraph"/>
      </w:pPr>
      <w:r>
        <w:rPr>
          <w:bCs/>
          <w:b/>
        </w:rPr>
        <w:t xml:space="preserve">Template version:</w:t>
      </w:r>
      <w:r>
        <w:t xml:space="preserve"> </w:t>
      </w:r>
      <w:r>
        <w:t xml:space="preserve">1.1 (status line refreshed 2026-08-31, B-7a review — see trailing note) ·</w:t>
      </w:r>
      <w:r>
        <w:t xml:space="preserve"> </w:t>
      </w:r>
      <w:r>
        <w:rPr>
          <w:bCs/>
          <w:b/>
        </w:rPr>
        <w:t xml:space="preserve">World build status:</w:t>
      </w:r>
      <w:r>
        <w:t xml:space="preserve"> </w:t>
      </w:r>
      <w:r>
        <w:t xml:space="preserve">Construction complete (227+ WRS records, B-1 through B-7); Article 29 (Living Traditions) CONFIRMED 2026-08-31 at G4 (Mark, in session:</w:t>
      </w:r>
      <w:r>
        <w:t xml:space="preserve"> </w:t>
      </w:r>
      <w:r>
        <w:t xml:space="preserve">“</w:t>
      </w:r>
      <w:r>
        <w:t xml:space="preserve">Confirm as drafted</w:t>
      </w:r>
      <w:r>
        <w:t xml:space="preserve">”</w:t>
      </w:r>
      <w:r>
        <w:t xml:space="preserve"> </w:t>
      </w:r>
      <w:r>
        <w:t xml:space="preserve">—</w:t>
      </w:r>
      <w:r>
        <w:t xml:space="preserve"> </w:t>
      </w:r>
      <w:r>
        <w:rPr>
          <w:rStyle w:val="VerbatimChar"/>
        </w:rPr>
        <w:t xml:space="preserve">CAPPADOCIAN_BUILD_LEDGER.md</w:t>
      </w:r>
      <w:r>
        <w:t xml:space="preserve"> </w:t>
      </w:r>
      <w:r>
        <w:t xml:space="preserve">§13); Article 31 (external scholarly review) carried provisional by design through freeze, per Mark’s own standing 2026-07-31 ruling — not a blocking gate; runtime testing outstanding; citation verification substantially advanced since this brief’s original draft (all 110 source records individually assessed and carry their own recorded</w:t>
      </w:r>
      <w:r>
        <w:t xml:space="preserve"> </w:t>
      </w:r>
      <w:r>
        <w:rPr>
          <w:rStyle w:val="VerbatimChar"/>
        </w:rPr>
        <w:t xml:space="preserve">verification_state</w:t>
      </w:r>
      <w:r>
        <w:t xml:space="preserve">; a handful of specific, named exceptions remain — see B4) rather than a blanket</w:t>
      </w:r>
      <w:r>
        <w:t xml:space="preserve"> </w:t>
      </w:r>
      <w:r>
        <w:t xml:space="preserve">“</w:t>
      </w:r>
      <w:r>
        <w:t xml:space="preserve">unverified</w:t>
      </w:r>
      <w:r>
        <w:t xml:space="preserve">”</w:t>
      </w:r>
      <w:r>
        <w:t xml:space="preserve"> </w:t>
      </w:r>
      <w:r>
        <w:t xml:space="preserve">caveat ·</w:t>
      </w:r>
      <w:r>
        <w:t xml:space="preserve"> </w:t>
      </w:r>
      <w:r>
        <w:rPr>
          <w:bCs/>
          <w:b/>
        </w:rPr>
        <w:t xml:space="preserve">World:</w:t>
      </w:r>
      <w:r>
        <w:t xml:space="preserve"> </w:t>
      </w:r>
      <w:r>
        <w:t xml:space="preserve">Cappadocian Christianity — the churches of Cappadocia and Pontus in the years the faith of Nicaea was fought for (c. 325 – c. 394) ·</w:t>
      </w:r>
      <w:r>
        <w:t xml:space="preserve"> </w:t>
      </w:r>
      <w:r>
        <w:rPr>
          <w:bCs/>
          <w:b/>
        </w:rPr>
        <w:t xml:space="preserve">Representative:</w:t>
      </w:r>
      <w:r>
        <w:t xml:space="preserve"> </w:t>
      </w:r>
      <w:r>
        <w:t xml:space="preserve">Chilo (an elder of the brotherhoods who keeps the guest-door)</w:t>
      </w:r>
    </w:p>
    <w:p>
      <w:r>
        <w:pict>
          <v:rect style="width:0;height:1.5pt" o:hralign="center" o:hrstd="t" o:hr="t"/>
        </w:pict>
      </w:r>
    </w:p>
    <w:bookmarkEnd w:id="20"/>
    <w:bookmarkStart w:id="21" w:name="section-a-participant-menu-card"/>
    <w:p>
      <w:pPr>
        <w:pStyle w:val="Heading2"/>
      </w:pPr>
      <w:r>
        <w:t xml:space="preserve">SECTION A — PARTICIPANT MENU CARD</w:t>
      </w:r>
    </w:p>
    <w:p>
      <w:pPr>
        <w:pStyle w:val="FirstParagraph"/>
      </w:pPr>
      <w:r>
        <w:t xml:space="preserve">The churches of the Anatolian high country in the century when Christianity’s deepest words were fought for — where the year runs on psalms at the lamps and martyrs’ festivals, where holiness took the shape of a common life with a guest-door and a poorhouse, and where a whole people held one word of the creed through two hostile reigns the way farmers hold seed through winter. The voice here keeps that guest-door: an unhurried elder for whom exactness is a form of kindness and the poor at the door are the test of everything. Come with questions about God, grief, money, community, calling — or the words your own creed still says. The door is kept for guests.</w:t>
      </w:r>
    </w:p>
    <w:bookmarkEnd w:id="21"/>
    <w:bookmarkStart w:id="29" w:name="X0ba126877f0d05d79af11fbdf88bb15c3d6e829"/>
    <w:p>
      <w:pPr>
        <w:pStyle w:val="Heading2"/>
      </w:pPr>
      <w:r>
        <w:t xml:space="preserve">SECTION B — FACILITATOR SELECTION AND MANAGEMENT BRIEF</w:t>
      </w:r>
    </w:p>
    <w:bookmarkStart w:id="22" w:name="b1-world-identity"/>
    <w:p>
      <w:pPr>
        <w:pStyle w:val="Heading3"/>
      </w:pPr>
      <w:r>
        <w:t xml:space="preserve">B1 — World Identity</w:t>
      </w:r>
    </w:p>
    <w:p>
      <w:pPr>
        <w:pStyle w:val="FirstParagraph"/>
      </w:pPr>
      <w:r>
        <w:t xml:space="preserve">Fourth-century Cappadocia and Pontus — from the peace after the last Eastern persecutions to the deaths of the great generation (c. 394). Its defining character: the world where the Trinitarian confession was a lived, costly formation practice — fought out in the wording of worship itself under a court that confessed otherwise — and where the ascetic movement was ordered into communities that faced the city (brotherhoods with guest-doors; the famine-born poorhouse complex). Its great controversies are about who God is and what renunciation is for; its signature fusion is precision-with-mercy.</w:t>
      </w:r>
    </w:p>
    <w:bookmarkEnd w:id="22"/>
    <w:bookmarkStart w:id="23" w:name="b2-formation-strengths"/>
    <w:p>
      <w:pPr>
        <w:pStyle w:val="Heading3"/>
      </w:pPr>
      <w:r>
        <w:t xml:space="preserve">B2 — Formation Strengths</w:t>
      </w:r>
    </w:p>
    <w:p>
      <w:pPr>
        <w:pStyle w:val="FirstParagraph"/>
      </w:pPr>
      <w:r>
        <w:t xml:space="preserve">Serves with genuine depth: questions about</w:t>
      </w:r>
      <w:r>
        <w:t xml:space="preserve"> </w:t>
      </w:r>
      <w:r>
        <w:rPr>
          <w:bCs/>
          <w:b/>
        </w:rPr>
        <w:t xml:space="preserve">God-language and doctrine</w:t>
      </w:r>
      <w:r>
        <w:t xml:space="preserve"> </w:t>
      </w:r>
      <w:r>
        <w:t xml:space="preserve">— why words matter, whether anything true can be said of God, what creeds cost (this world’s home ground); questions about</w:t>
      </w:r>
      <w:r>
        <w:t xml:space="preserve"> </w:t>
      </w:r>
      <w:r>
        <w:rPr>
          <w:bCs/>
          <w:b/>
        </w:rPr>
        <w:t xml:space="preserve">grief and death</w:t>
      </w:r>
      <w:r>
        <w:t xml:space="preserve"> </w:t>
      </w:r>
      <w:r>
        <w:t xml:space="preserve">— a consolation culture of unusual richness: tears permitted, despair refused, hope argued at deathbeds; questions about</w:t>
      </w:r>
      <w:r>
        <w:t xml:space="preserve"> </w:t>
      </w:r>
      <w:r>
        <w:rPr>
          <w:bCs/>
          <w:b/>
        </w:rPr>
        <w:t xml:space="preserve">money, poverty, and justice</w:t>
      </w:r>
      <w:r>
        <w:t xml:space="preserve"> </w:t>
      </w:r>
      <w:r>
        <w:t xml:space="preserve">— famine-tested preaching and institution-building; questions about</w:t>
      </w:r>
      <w:r>
        <w:t xml:space="preserve"> </w:t>
      </w:r>
      <w:r>
        <w:rPr>
          <w:bCs/>
          <w:b/>
        </w:rPr>
        <w:t xml:space="preserve">community and calling</w:t>
      </w:r>
      <w:r>
        <w:t xml:space="preserve"> </w:t>
      </w:r>
      <w:r>
        <w:t xml:space="preserve">— the common life, the guest-door, vocation fled and accepted, ambition’s dangers (the stillness-versus-summons tension is the world’s most humanly recognizable material); questions about</w:t>
      </w:r>
      <w:r>
        <w:t xml:space="preserve"> </w:t>
      </w:r>
      <w:r>
        <w:rPr>
          <w:bCs/>
          <w:b/>
        </w:rPr>
        <w:t xml:space="preserve">faith under hostile power</w:t>
      </w:r>
      <w:r>
        <w:t xml:space="preserve"> </w:t>
      </w:r>
      <w:r>
        <w:t xml:space="preserve">— endurance without the sword; questions about</w:t>
      </w:r>
      <w:r>
        <w:t xml:space="preserve"> </w:t>
      </w:r>
      <w:r>
        <w:rPr>
          <w:bCs/>
          <w:b/>
        </w:rPr>
        <w:t xml:space="preserve">education and faith</w:t>
      </w:r>
      <w:r>
        <w:t xml:space="preserve"> </w:t>
      </w:r>
      <w:r>
        <w:t xml:space="preserve">— the classics used, never worshipped.</w:t>
      </w:r>
    </w:p>
    <w:bookmarkEnd w:id="23"/>
    <w:bookmarkStart w:id="24" w:name="b3-formation-limitations"/>
    <w:p>
      <w:pPr>
        <w:pStyle w:val="Heading3"/>
      </w:pPr>
      <w:r>
        <w:t xml:space="preserve">B3 — Formation Limitations</w:t>
      </w:r>
    </w:p>
    <w:p>
      <w:pPr>
        <w:pStyle w:val="FirstParagraph"/>
      </w:pPr>
      <w:r>
        <w:t xml:space="preserve">Thin on: the interior life of women’s communities beyond one brother’s literary telling (the Representative will say so — the Facilitator must be ready to name this absence as the architecture’s honesty, per Article 20); sacramental-penitential system detail of the Latin kind (a different world’s depth); the defeated parties’ inner life (spoken of fairly, never from inside); post-fourth-century developments of every kind — including the filioque, Chalcedon, later monasticism, and every living communion’s present self-understanding; village religion in its own words; rubrical liturgical precision. Participants seeking adjudication of modern Trinitarian or interdenominational disputes will not receive it.</w:t>
      </w:r>
    </w:p>
    <w:bookmarkEnd w:id="24"/>
    <w:bookmarkStart w:id="25" w:name="b4-participant-type-fit"/>
    <w:p>
      <w:pPr>
        <w:pStyle w:val="Heading3"/>
      </w:pPr>
      <w:r>
        <w:t xml:space="preserve">B4 — Participant Type Fit</w:t>
      </w:r>
    </w:p>
    <w:p>
      <w:pPr>
        <w:pStyle w:val="FirstParagraph"/>
      </w:pPr>
      <w:r>
        <w:rPr>
          <w:bCs/>
          <w:b/>
        </w:rPr>
        <w:t xml:space="preserve">Regular visitor:</w:t>
      </w:r>
      <w:r>
        <w:t xml:space="preserve"> </w:t>
      </w:r>
      <w:r>
        <w:t xml:space="preserve">good fit — the guest-door posture is built for the uninitiated; Greek terms arrive with meanings worn on them.</w:t>
      </w:r>
      <w:r>
        <w:t xml:space="preserve"> </w:t>
      </w:r>
      <w:r>
        <w:rPr>
          <w:bCs/>
          <w:b/>
        </w:rPr>
        <w:t xml:space="preserve">Pastor/teacher:</w:t>
      </w:r>
      <w:r>
        <w:t xml:space="preserve"> </w:t>
      </w:r>
      <w:r>
        <w:t xml:space="preserve">strong fit — doctrine-as-formation, grief ministry, wealth preaching, vocation and burnout-adjacent material translate directly.</w:t>
      </w:r>
      <w:r>
        <w:t xml:space="preserve"> </w:t>
      </w:r>
      <w:r>
        <w:rPr>
          <w:bCs/>
          <w:b/>
        </w:rPr>
        <w:t xml:space="preserve">Academic/scholar:</w:t>
      </w:r>
      <w:r>
        <w:t xml:space="preserve"> </w:t>
      </w:r>
      <w:r>
        <w:t xml:space="preserve">strong fit with one caution — this build’s 110 source records each carry their own individually-assessed verification status (most</w:t>
      </w:r>
      <w:r>
        <w:t xml:space="preserve"> </w:t>
      </w:r>
      <w:r>
        <w:rPr>
          <w:rStyle w:val="VerbatimChar"/>
        </w:rPr>
        <w:t xml:space="preserve">verified-direct</w:t>
      </w:r>
      <w:r>
        <w:t xml:space="preserve"> </w:t>
      </w:r>
      <w:r>
        <w:t xml:space="preserve">or</w:t>
      </w:r>
      <w:r>
        <w:t xml:space="preserve"> </w:t>
      </w:r>
      <w:r>
        <w:rPr>
          <w:rStyle w:val="VerbatimChar"/>
        </w:rPr>
        <w:t xml:space="preserve">verified-via-authority</w:t>
      </w:r>
      <w:r>
        <w:t xml:space="preserve">; a handful of specific, named exceptions remain genuinely</w:t>
      </w:r>
      <w:r>
        <w:t xml:space="preserve"> </w:t>
      </w:r>
      <w:r>
        <w:rPr>
          <w:rStyle w:val="VerbatimChar"/>
        </w:rPr>
        <w:t xml:space="preserve">unverified</w:t>
      </w:r>
      <w:r>
        <w:t xml:space="preserve"> </w:t>
      </w:r>
      <w:r>
        <w:t xml:space="preserve">— the moral/famine homilies, the martyr homilies on the Forty/Gordius/Julitta/Mamas, and the Against Eunomius treatise text itself, though a distinct short letter in the same source, Epistle XVI, is separately verified), so any sourcing conversation should be precise about which specific claim is at issue rather than treated as uniformly uncertain; and the</w:t>
      </w:r>
      <w:r>
        <w:t xml:space="preserve"> </w:t>
      </w:r>
      <w:r>
        <w:t xml:space="preserve">“</w:t>
      </w:r>
      <w:r>
        <w:t xml:space="preserve">Cappadocian settlement</w:t>
      </w:r>
      <w:r>
        <w:t xml:space="preserve">”</w:t>
      </w:r>
      <w:r>
        <w:t xml:space="preserve"> </w:t>
      </w:r>
      <w:r>
        <w:t xml:space="preserve">historiography is carried as a live contested claim (</w:t>
      </w:r>
      <w:r>
        <w:rPr>
          <w:rStyle w:val="VerbatimChar"/>
        </w:rPr>
        <w:t xml:space="preserve">cappadocian.contested.settlement-historiography</w:t>
      </w:r>
      <w:r>
        <w:t xml:space="preserve">), which a specialist will notice and may probe.</w:t>
      </w:r>
      <w:r>
        <w:t xml:space="preserve"> </w:t>
      </w:r>
      <w:r>
        <w:rPr>
          <w:bCs/>
          <w:b/>
        </w:rPr>
        <w:t xml:space="preserve">Deconstructing/reconstructing:</w:t>
      </w:r>
      <w:r>
        <w:t xml:space="preserve"> </w:t>
      </w:r>
      <w:r>
        <w:t xml:space="preserve">strong but demanding fit — this world knows institutional politics, clergy ambition, and its own power-uses from inside and does not defend them; but its creed is likely the participant’s own church’s creed, and historical framing can land as identity-disturbance (see B7); watch from the start.</w:t>
      </w:r>
    </w:p>
    <w:bookmarkEnd w:id="25"/>
    <w:bookmarkStart w:id="26" w:name="b5-table-pairing-guidance"/>
    <w:p>
      <w:pPr>
        <w:pStyle w:val="Heading3"/>
      </w:pPr>
      <w:r>
        <w:t xml:space="preserve">B5 — Table Pairing Guidance</w:t>
      </w:r>
    </w:p>
    <w:p>
      <w:pPr>
        <w:pStyle w:val="FirstParagraph"/>
      </w:pPr>
      <w:r>
        <w:rPr>
          <w:bCs/>
          <w:b/>
        </w:rPr>
        <w:t xml:space="preserve">Alexandria</w:t>
      </w:r>
      <w:r>
        <w:t xml:space="preserve"> </w:t>
      </w:r>
      <w:r>
        <w:t xml:space="preserve">is the flagged primary pairing (Phase Status: medium blur risk, high yield), confirmed against this world’s own cross-lens analysis (</w:t>
      </w:r>
      <w:r>
        <w:rPr>
          <w:rStyle w:val="VerbatimChar"/>
        </w:rPr>
        <w:t xml:space="preserve">cappadocian_Integrated_Ecology_Analysis.md</w:t>
      </w:r>
      <w:r>
        <w:t xml:space="preserve"> </w:t>
      </w:r>
      <w:r>
        <w:t xml:space="preserve">§170:</w:t>
      </w:r>
      <w:r>
        <w:t xml:space="preserve"> </w:t>
      </w:r>
      <w:r>
        <w:t xml:space="preserve">“</w:t>
      </w:r>
      <w:r>
        <w:t xml:space="preserve">against Alexandria — formation’s axis is doxological-communal, not school-exegetical; the confession lives in a preposition sung and a formula baptized-in, not in a curriculum; the teacher-bishop tension is internal to vocations… rather than between institutions; and the signature vocabulary barely overlaps</w:t>
      </w:r>
      <w:r>
        <w:t xml:space="preserve">”</w:t>
      </w:r>
      <w:r>
        <w:t xml:space="preserve">) — shared Nicene confession and Greek intellectual inheritance; the differentiation is</w:t>
      </w:r>
      <w:r>
        <w:t xml:space="preserve"> </w:t>
      </w:r>
      <w:r>
        <w:rPr>
          <w:iCs/>
          <w:i/>
        </w:rPr>
        <w:t xml:space="preserve">where the confession lives</w:t>
      </w:r>
      <w:r>
        <w:t xml:space="preserve"> </w:t>
      </w:r>
      <w:r>
        <w:t xml:space="preserve">(school-exegetical ascent there; doxological-communal formation here) and how the teacher-bishop tension resolves (institutional tension there; the conscripted contemplative here). Expected generative territory: how doctrine forms people; contemplation and service; Origen’s inheritance handled two ways. Convergence risk: both voices can discuss theological method in Greek vocabulary — watch for register bleed (Chilo must never sound like a catechetical-school exegete; his ground is the door, the hours, and the feasts, not the lecture).</w:t>
      </w:r>
      <w:r>
        <w:t xml:space="preserve"> </w:t>
      </w:r>
      <w:r>
        <w:rPr>
          <w:bCs/>
          <w:b/>
        </w:rPr>
        <w:t xml:space="preserve">Caution note (B-7a review):</w:t>
      </w:r>
      <w:r>
        <w:t xml:space="preserve"> </w:t>
      </w:r>
      <w:r>
        <w:t xml:space="preserve">Alexandria’s own world horizon predates Cappadocian’s by roughly a century (Origen d. 254; this world’s own window opens 325), so no both-documents-agree continuity finding exists between the two builds to license a formal</w:t>
      </w:r>
      <w:r>
        <w:t xml:space="preserve"> </w:t>
      </w:r>
      <w:r>
        <w:t xml:space="preserve">“</w:t>
      </w:r>
      <w:r>
        <w:t xml:space="preserve">handoff containment</w:t>
      </w:r>
      <w:r>
        <w:t xml:space="preserve">”</w:t>
      </w:r>
      <w:r>
        <w:t xml:space="preserve"> </w:t>
      </w:r>
      <w:r>
        <w:t xml:space="preserve">guard (Alexandria’s own build could not have referenced a world that did not yet exist when it was constructed) — but the</w:t>
      </w:r>
      <w:r>
        <w:t xml:space="preserve"> </w:t>
      </w:r>
      <w:r>
        <w:rPr>
          <w:iCs/>
          <w:i/>
        </w:rPr>
        <w:t xml:space="preserve">risk</w:t>
      </w:r>
      <w:r>
        <w:t xml:space="preserve"> </w:t>
      </w:r>
      <w:r>
        <w:t xml:space="preserve">of an unearned stage-framing (Alexandria’s school tradition narrated as a</w:t>
      </w:r>
      <w:r>
        <w:t xml:space="preserve"> </w:t>
      </w:r>
      <w:r>
        <w:t xml:space="preserve">“</w:t>
      </w:r>
      <w:r>
        <w:t xml:space="preserve">predecessor</w:t>
      </w:r>
      <w:r>
        <w:t xml:space="preserve">”</w:t>
      </w:r>
      <w:r>
        <w:t xml:space="preserve"> </w:t>
      </w:r>
      <w:r>
        <w:t xml:space="preserve">this world simply inherited from and surpassed, rather than one live, contrasting neighbor among several) is real and should be actively watched for by the Facilitator, not assumed resolved by the absence of a formal finding.</w:t>
      </w:r>
    </w:p>
    <w:p>
      <w:pPr>
        <w:pStyle w:val="BodyText"/>
      </w:pPr>
      <w:r>
        <w:rPr>
          <w:bCs/>
          <w:b/>
        </w:rPr>
        <w:t xml:space="preserve">Desert</w:t>
      </w:r>
      <w:r>
        <w:t xml:space="preserve"> </w:t>
      </w:r>
      <w:r>
        <w:t xml:space="preserve">is a second real, cited pairing candidate (not previously named in this brief; added at B-7a review from this world’s own cross-lens analysis, same §170:</w:t>
      </w:r>
      <w:r>
        <w:t xml:space="preserve"> </w:t>
      </w:r>
      <w:r>
        <w:t xml:space="preserve">“</w:t>
      </w:r>
      <w:r>
        <w:t xml:space="preserve">against the Desert — askēsis is ordered toward the guest-door and the city (whose feet will you wash alone?); stillness is a longing that yields to summons, not an achieved geography</w:t>
      </w:r>
      <w:r>
        <w:t xml:space="preserve">”</w:t>
      </w:r>
      <w:r>
        <w:t xml:space="preserve">). The two worlds are genuine chronological contemporaries, not sequential stages — Desert’s own window (320–430) and this world’s own (325–394) substantially overlap, both real fourth-century developments of the ascetic movement working out differently in the same broad period.</w:t>
      </w:r>
      <w:r>
        <w:t xml:space="preserve"> </w:t>
      </w:r>
      <w:r>
        <w:rPr>
          <w:bCs/>
          <w:b/>
        </w:rPr>
        <w:t xml:space="preserve">The</w:t>
      </w:r>
      <w:r>
        <w:rPr>
          <w:bCs/>
          <w:b/>
        </w:rPr>
        <w:t xml:space="preserve"> </w:t>
      </w:r>
      <w:r>
        <w:rPr>
          <w:bCs/>
          <w:b/>
        </w:rPr>
        <w:t xml:space="preserve">“</w:t>
      </w:r>
      <w:r>
        <w:rPr>
          <w:bCs/>
          <w:b/>
        </w:rPr>
        <w:t xml:space="preserve">contemporaries-not-stages</w:t>
      </w:r>
      <w:r>
        <w:rPr>
          <w:bCs/>
          <w:b/>
        </w:rPr>
        <w:t xml:space="preserve">”</w:t>
      </w:r>
      <w:r>
        <w:rPr>
          <w:bCs/>
          <w:b/>
        </w:rPr>
        <w:t xml:space="preserve"> </w:t>
      </w:r>
      <w:r>
        <w:rPr>
          <w:bCs/>
          <w:b/>
        </w:rPr>
        <w:t xml:space="preserve">discipline (proven live elsewhere in the fleet, e.g. IJC/Desert) is the directly relevant caution here</w:t>
      </w:r>
      <w:r>
        <w:t xml:space="preserve">: the Facilitator must not let either voice frame the other’s asceticism as a developmental stage the speaker’s own community superseded, refined, or reacted against in sequence — Cappadocian’s ordered, guest-door-facing brotherhoods and Desert’s own withdrawal are two real, contemporaneous answers, not a before-and-after. Expected generative territory: what renunciation is</w:t>
      </w:r>
      <w:r>
        <w:t xml:space="preserve"> </w:t>
      </w:r>
      <w:r>
        <w:rPr>
          <w:iCs/>
          <w:i/>
        </w:rPr>
        <w:t xml:space="preserve">for</w:t>
      </w:r>
      <w:r>
        <w:t xml:space="preserve"> </w:t>
      </w:r>
      <w:r>
        <w:t xml:space="preserve">(withdrawal vs. the door); whether stillness is an achieved geography or a longing that yields to summons.</w:t>
      </w:r>
    </w:p>
    <w:p>
      <w:pPr>
        <w:pStyle w:val="BodyText"/>
      </w:pPr>
      <w:r>
        <w:t xml:space="preserve">Early Latin pairing: strong contrast on power (pressed-not-pressing vs. establishment’s temptations) and on martyr-memory (fresh-familial vs. transposed-civic) — not a current admitted-fleet world, carried as forward-looking orientation only.</w:t>
      </w:r>
      <w:r>
        <w:t xml:space="preserve"> </w:t>
      </w:r>
      <w:r>
        <w:rPr>
          <w:bCs/>
          <w:b/>
        </w:rPr>
        <w:t xml:space="preserve">All pairing guidance above is authored, not yet live-Table-tested</w:t>
      </w:r>
      <w:r>
        <w:t xml:space="preserve"> </w:t>
      </w:r>
      <w:r>
        <w:t xml:space="preserve">— Cappadocian is not yet an admitted fleet world, so none of these pairings, nor the cautions applied to them, have been pressed under real cross-world dynamics at a live Table Readiness Round the way e.g. the PAHC/Alexandria or IJC/Desert pairings have; this section states the build’s own best-grounded expectation, to be confirmed or revised once live pairing testing becomes possible.</w:t>
      </w:r>
    </w:p>
    <w:bookmarkEnd w:id="26"/>
    <w:bookmarkStart w:id="27" w:name="b6-representative-introduction-language"/>
    <w:p>
      <w:pPr>
        <w:pStyle w:val="Heading3"/>
      </w:pPr>
      <w:r>
        <w:t xml:space="preserve">B6 — Representative Introduction Language</w:t>
      </w:r>
    </w:p>
    <w:p>
      <w:pPr>
        <w:pStyle w:val="FirstParagraph"/>
      </w:pPr>
      <w:r>
        <w:t xml:space="preserve">“</w:t>
      </w:r>
      <w:r>
        <w:t xml:space="preserve">There’s an elder here who has spent a lifetime at the door of a community — receiving travelers, feeding the poor, teaching the ones who ask. His people fought a generation over a single word in their worship, and he’ll tell you why it was worth it, and what it cost, and he is just as exact about grief and about bread. He’s glad you came. The door is kept for guests.</w:t>
      </w:r>
      <w:r>
        <w:t xml:space="preserve">”</w:t>
      </w:r>
    </w:p>
    <w:bookmarkEnd w:id="27"/>
    <w:bookmarkStart w:id="28" w:name="b7-cautions"/>
    <w:p>
      <w:pPr>
        <w:pStyle w:val="Heading3"/>
      </w:pPr>
      <w:r>
        <w:t xml:space="preserve">B7 — Cautions</w:t>
      </w:r>
    </w:p>
    <w:p>
      <w:pPr>
        <w:pStyle w:val="FirstParagraph"/>
      </w:pPr>
      <w:r>
        <w:rPr>
          <w:bCs/>
          <w:b/>
        </w:rPr>
        <w:t xml:space="preserve">Living tradition sensitivities — the highest in the project’s current world-set:</w:t>
      </w:r>
      <w:r>
        <w:t xml:space="preserve"> </w:t>
      </w:r>
      <w:r>
        <w:t xml:space="preserve">this world’s confession is the living creed of nearly every Christian communion (Orthodox, Oriental Orthodox, Catholic, most Protestant). Participants from almost any church may experience this world as their own origin story, and its historical framing — the confession as contested, in-motion labor; the reserve debate; the loosened</w:t>
      </w:r>
      <w:r>
        <w:t xml:space="preserve"> </w:t>
      </w:r>
      <w:r>
        <w:t xml:space="preserve">“</w:t>
      </w:r>
      <w:r>
        <w:t xml:space="preserve">Cappadocian Fathers</w:t>
      </w:r>
      <w:r>
        <w:t xml:space="preserve">”</w:t>
      </w:r>
      <w:r>
        <w:t xml:space="preserve"> </w:t>
      </w:r>
      <w:r>
        <w:t xml:space="preserve">unit — as tampering with their identity. Hold the Living Traditions distinction gently but firmly; the Representative will not adjudicate the filioque or any post-horizon dispute, and the Facilitator should absorb, not deflect, the frustration this may cause.</w:t>
      </w:r>
      <w:r>
        <w:t xml:space="preserve"> </w:t>
      </w:r>
      <w:r>
        <w:rPr>
          <w:bCs/>
          <w:b/>
        </w:rPr>
        <w:t xml:space="preserve">Figures of contested standing:</w:t>
      </w:r>
      <w:r>
        <w:t xml:space="preserve"> </w:t>
      </w:r>
      <w:r>
        <w:t xml:space="preserve">Eunomius and Eustathius (heresiarchs to the heirs — carried here with their own voices where they survive); Origen (contested across traditions); Macrina (venerated; her recoverability contested — participants devoted to her may find the mediation-honesty painful).</w:t>
      </w:r>
      <w:r>
        <w:t xml:space="preserve"> </w:t>
      </w:r>
      <w:r>
        <w:rPr>
          <w:bCs/>
          <w:b/>
        </w:rPr>
        <w:t xml:space="preserve">Specific content cautions:</w:t>
      </w:r>
      <w:r>
        <w:t xml:space="preserve"> </w:t>
      </w:r>
      <w:r>
        <w:t xml:space="preserve">the anti-slaveholding homily is prime modern claim-laundering bait in both directions (Article 32) — the Representative pairs it with the world’s actual slaveholding, and quotations must not escape that frame; the poorhouse invites</w:t>
      </w:r>
      <w:r>
        <w:t xml:space="preserve"> </w:t>
      </w:r>
      <w:r>
        <w:t xml:space="preserve">“</w:t>
      </w:r>
      <w:r>
        <w:t xml:space="preserve">first hospital</w:t>
      </w:r>
      <w:r>
        <w:t xml:space="preserve">”</w:t>
      </w:r>
      <w:r>
        <w:t xml:space="preserve"> </w:t>
      </w:r>
      <w:r>
        <w:t xml:space="preserve">triumphalism — flagged; the Sasima material involves a wounded friendship told one-sidedly — participants may press for a verdict the sources cannot give.</w:t>
      </w:r>
      <w:r>
        <w:t xml:space="preserve"> </w:t>
      </w:r>
      <w:r>
        <w:rPr>
          <w:bCs/>
          <w:b/>
        </w:rPr>
        <w:t xml:space="preserve">Grief encounters:</w:t>
      </w:r>
      <w:r>
        <w:t xml:space="preserve"> </w:t>
      </w:r>
      <w:r>
        <w:t xml:space="preserve">this world is unusually strong on death and consolation — which means bereaved participants may go deep fast; relational-safety posture (Article 33) from the start, and the Representative’s honest-limits behavior (turning toward human support) is untested (validation probes outstanding).</w:t>
      </w:r>
      <w:r>
        <w:t xml:space="preserve"> </w:t>
      </w:r>
      <w:r>
        <w:rPr>
          <w:bCs/>
          <w:b/>
        </w:rPr>
        <w:t xml:space="preserve">Prototype status:</w:t>
      </w:r>
      <w:r>
        <w:t xml:space="preserve"> </w:t>
      </w:r>
      <w:r>
        <w:t xml:space="preserve">all confidence claims are provisional pending external scholarly review; testing participants must be told the prototype’s state (Article 36).</w:t>
      </w:r>
    </w:p>
    <w:p>
      <w:r>
        <w:pict>
          <v:rect style="width:0;height:1.5pt" o:hralign="center" o:hrstd="t" o:hr="t"/>
        </w:pict>
      </w:r>
    </w:p>
    <w:bookmarkEnd w:id="28"/>
    <w:bookmarkEnd w:id="29"/>
    <w:bookmarkStart w:id="30" w:name="b-7a-review-note-2026-08-31"/>
    <w:p>
      <w:pPr>
        <w:pStyle w:val="Heading2"/>
      </w:pPr>
      <w:r>
        <w:t xml:space="preserve">B-7a Review Note (2026-08-31)</w:t>
      </w:r>
    </w:p>
    <w:p>
      <w:pPr>
        <w:pStyle w:val="FirstParagraph"/>
      </w:pPr>
      <w:r>
        <w:t xml:space="preserve">This brief predates the current session’s B-1 through B-7 record-native rebuild and had not been re-verified against it until this review. The governing process document’s own B-7a row (</w:t>
      </w:r>
      <w:r>
        <w:t xml:space="preserve">“</w:t>
      </w:r>
      <w:r>
        <w:t xml:space="preserve">Facilitation guidance onto world_core | Pairings riding LIVE partner claims… telos… living_traditions</w:t>
      </w:r>
      <w:r>
        <w:t xml:space="preserve">”</w:t>
      </w:r>
      <w:r>
        <w:t xml:space="preserve">) is stale in the same way its B-6 row was found to be:</w:t>
      </w:r>
      <w:r>
        <w:t xml:space="preserve"> </w:t>
      </w:r>
      <w:r>
        <w:rPr>
          <w:rStyle w:val="VerbatimChar"/>
        </w:rPr>
        <w:t xml:space="preserve">pairings</w:t>
      </w:r>
      <w:r>
        <w:t xml:space="preserve">,</w:t>
      </w:r>
      <w:r>
        <w:t xml:space="preserve"> </w:t>
      </w:r>
      <w:r>
        <w:rPr>
          <w:rStyle w:val="VerbatimChar"/>
        </w:rPr>
        <w:t xml:space="preserve">telos</w:t>
      </w:r>
      <w:r>
        <w:t xml:space="preserve">, and</w:t>
      </w:r>
      <w:r>
        <w:t xml:space="preserve"> </w:t>
      </w:r>
      <w:r>
        <w:rPr>
          <w:rStyle w:val="VerbatimChar"/>
        </w:rPr>
        <w:t xml:space="preserve">living_traditions</w:t>
      </w:r>
      <w:r>
        <w:t xml:space="preserve"> </w:t>
      </w:r>
      <w:r>
        <w:t xml:space="preserve">are not fields anywhere in the live</w:t>
      </w:r>
      <w:r>
        <w:t xml:space="preserve"> </w:t>
      </w:r>
      <w:r>
        <w:rPr>
          <w:rStyle w:val="VerbatimChar"/>
        </w:rPr>
        <w:t xml:space="preserve">engine/m1/schemas.py</w:t>
      </w:r>
      <w:r>
        <w:t xml:space="preserve"> </w:t>
      </w:r>
      <w:r>
        <w:rPr>
          <w:rStyle w:val="VerbatimChar"/>
        </w:rPr>
        <w:t xml:space="preserve">world_core</w:t>
      </w:r>
      <w:r>
        <w:t xml:space="preserve"> </w:t>
      </w:r>
      <w:r>
        <w:t xml:space="preserve">schema (</w:t>
      </w:r>
      <w:r>
        <w:rPr>
          <w:rStyle w:val="VerbatimChar"/>
        </w:rPr>
        <w:t xml:space="preserve">additionalProperties: false</w:t>
      </w:r>
      <w:r>
        <w:t xml:space="preserve"> </w:t>
      </w:r>
      <w:r>
        <w:t xml:space="preserve">would hard-reject all three), and none of the six already-admitted worlds’ own</w:t>
      </w:r>
      <w:r>
        <w:t xml:space="preserve"> </w:t>
      </w:r>
      <w:r>
        <w:rPr>
          <w:rStyle w:val="VerbatimChar"/>
        </w:rPr>
        <w:t xml:space="preserve">world_core</w:t>
      </w:r>
      <w:r>
        <w:t xml:space="preserve"> </w:t>
      </w:r>
      <w:r>
        <w:t xml:space="preserve">records carry any of them. The real content lives elsewhere:</w:t>
      </w:r>
      <w:r>
        <w:t xml:space="preserve"> </w:t>
      </w:r>
      <w:r>
        <w:rPr>
          <w:rStyle w:val="VerbatimChar"/>
        </w:rPr>
        <w:t xml:space="preserve">telos</w:t>
      </w:r>
      <w:r>
        <w:t xml:space="preserve"> </w:t>
      </w:r>
      <w:r>
        <w:t xml:space="preserve">and</w:t>
      </w:r>
      <w:r>
        <w:t xml:space="preserve"> </w:t>
      </w:r>
      <w:r>
        <w:rPr>
          <w:rStyle w:val="VerbatimChar"/>
        </w:rPr>
        <w:t xml:space="preserve">living_traditions</w:t>
      </w:r>
      <w:r>
        <w:t xml:space="preserve"> </w:t>
      </w:r>
      <w:r>
        <w:t xml:space="preserve">are Permanent Prompt sections (7 and 8, Constitution Articles 25/28/29), and</w:t>
      </w:r>
      <w:r>
        <w:t xml:space="preserve"> </w:t>
      </w:r>
      <w:r>
        <w:t xml:space="preserve">“</w:t>
      </w:r>
      <w:r>
        <w:t xml:space="preserve">pairings</w:t>
      </w:r>
      <w:r>
        <w:t xml:space="preserve">”</w:t>
      </w:r>
      <w:r>
        <w:t xml:space="preserve"> </w:t>
      </w:r>
      <w:r>
        <w:t xml:space="preserve">plus its named cautions belong to this Facilitation Brief, not to any WRS record.</w:t>
      </w:r>
    </w:p>
    <w:p>
      <w:pPr>
        <w:pStyle w:val="BodyText"/>
      </w:pPr>
      <w:r>
        <w:t xml:space="preserve">For Cappadocian specifically:</w:t>
      </w:r>
      <w:r>
        <w:t xml:space="preserve"> </w:t>
      </w:r>
      <w:r>
        <w:rPr>
          <w:bCs/>
          <w:b/>
        </w:rPr>
        <w:t xml:space="preserve">telos</w:t>
      </w:r>
      <w:r>
        <w:t xml:space="preserve"> </w:t>
      </w:r>
      <w:r>
        <w:t xml:space="preserve">(</w:t>
      </w:r>
      <w:r>
        <w:rPr>
          <w:rStyle w:val="VerbatimChar"/>
        </w:rPr>
        <w:t xml:space="preserve">cappadocian_Representative_Permanent_Prompt_Eumathios.txt</w:t>
      </w:r>
      <w:r>
        <w:t xml:space="preserve">, the</w:t>
      </w:r>
      <w:r>
        <w:t xml:space="preserve"> </w:t>
      </w:r>
      <w:r>
        <w:t xml:space="preserve">“</w:t>
      </w:r>
      <w:r>
        <w:t xml:space="preserve">Even when you speak most fully in our voice…</w:t>
      </w:r>
      <w:r>
        <w:t xml:space="preserve">”</w:t>
      </w:r>
      <w:r>
        <w:t xml:space="preserve"> </w:t>
      </w:r>
      <w:r>
        <w:t xml:space="preserve">closing) is already drafted, twice adversarially reviewed, and carried provisional-by-design under Article 31’s own standing non-blocking ruling — nothing further owed here.</w:t>
      </w:r>
      <w:r>
        <w:t xml:space="preserve"> </w:t>
      </w:r>
      <w:r>
        <w:rPr>
          <w:bCs/>
          <w:b/>
        </w:rPr>
        <w:t xml:space="preserve">living_traditions</w:t>
      </w:r>
      <w:r>
        <w:t xml:space="preserve"> </w:t>
      </w:r>
      <w:r>
        <w:t xml:space="preserve">(the same prompt’s Version-A closing paragraph) is already drafted AND its Article 29/M2 determination is CONFIRMED (</w:t>
      </w:r>
      <w:r>
        <w:rPr>
          <w:rStyle w:val="VerbatimChar"/>
        </w:rPr>
        <w:t xml:space="preserve">CAPPADOCIAN_BUILD_LEDGER.md</w:t>
      </w:r>
      <w:r>
        <w:t xml:space="preserve"> </w:t>
      </w:r>
      <w:r>
        <w:t xml:space="preserve">§13, Mark:</w:t>
      </w:r>
      <w:r>
        <w:t xml:space="preserve"> </w:t>
      </w:r>
      <w:r>
        <w:t xml:space="preserve">“</w:t>
      </w:r>
      <w:r>
        <w:t xml:space="preserve">Confirm as drafted</w:t>
      </w:r>
      <w:r>
        <w:t xml:space="preserve">”</w:t>
      </w:r>
      <w:r>
        <w:t xml:space="preserve">) — also nothing further owed here. This review’s real, substantive work was on this document itself: correcting two now-stale status lines (the header’s</w:t>
      </w:r>
      <w:r>
        <w:t xml:space="preserve"> </w:t>
      </w:r>
      <w:r>
        <w:t xml:space="preserve">“</w:t>
      </w:r>
      <w:r>
        <w:t xml:space="preserve">validation gates outstanding (Articles 29, 31)</w:t>
      </w:r>
      <w:r>
        <w:t xml:space="preserve">”</w:t>
      </w:r>
      <w:r>
        <w:t xml:space="preserve"> </w:t>
      </w:r>
      <w:r>
        <w:t xml:space="preserve">and B4’s blanket</w:t>
      </w:r>
      <w:r>
        <w:t xml:space="preserve"> </w:t>
      </w:r>
      <w:r>
        <w:t xml:space="preserve">“</w:t>
      </w:r>
      <w:r>
        <w:t xml:space="preserve">citations unverified</w:t>
      </w:r>
      <w:r>
        <w:t xml:space="preserve">”</w:t>
      </w:r>
      <w:r>
        <w:t xml:space="preserve"> </w:t>
      </w:r>
      <w:r>
        <w:t xml:space="preserve">framing, both overtaken by the Article 29 confirmation and this session’s extensive per-source verification work) and adding Desert as a second real, cited pairing candidate to B5 (previously absent from this brief despite being named in this world’s own cross-lens analysis), with the</w:t>
      </w:r>
      <w:r>
        <w:t xml:space="preserve"> </w:t>
      </w:r>
      <w:r>
        <w:t xml:space="preserve">“</w:t>
      </w:r>
      <w:r>
        <w:t xml:space="preserve">contemporaries-not-stages</w:t>
      </w:r>
      <w:r>
        <w:t xml:space="preserve">”</w:t>
      </w:r>
      <w:r>
        <w:t xml:space="preserve"> </w:t>
      </w:r>
      <w:r>
        <w:t xml:space="preserve">caution applied explicitly given the two worlds’ genuine chronological overlap (Desert 320–430, Cappadocian 325–394). The Alexandria pairing’s own risk of an unearned</w:t>
      </w:r>
      <w:r>
        <w:t xml:space="preserve"> </w:t>
      </w:r>
      <w:r>
        <w:t xml:space="preserve">“</w:t>
      </w:r>
      <w:r>
        <w:t xml:space="preserve">handoff</w:t>
      </w:r>
      <w:r>
        <w:t xml:space="preserve">”</w:t>
      </w:r>
      <w:r>
        <w:t xml:space="preserve">/stage framing is named honestly as an open caution to watch, not resolved by a formal containment guard, since no both-documents-agree continuity finding exists (Alexandria’s build predates Cappadocian’s existence and could not have referenced it).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2026-09-01T23:58:19Z</dcterms:created>
  <dcterms:modified xsi:type="dcterms:W3CDTF">2026-09-01T23:58:19Z</dcterms:modified>
</cp:coreProperties>
</file>

<file path=docProps/custom.xml><?xml version="1.0" encoding="utf-8"?>
<Properties xmlns="http://schemas.openxmlformats.org/officeDocument/2006/custom-properties" xmlns:vt="http://schemas.openxmlformats.org/officeDocument/2006/docPropsVTypes"/>
</file>