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oc_04-gravity-discovery"/>
    <w:p>
      <w:pPr>
        <w:pStyle w:val="Heading1"/>
      </w:pPr>
      <w:r>
        <w:t xml:space="preserve">Doc_04 — Gravity Discovery</w:t>
      </w:r>
    </w:p>
    <w:p>
      <w:pPr>
        <w:pStyle w:val="FirstParagraph"/>
      </w:pPr>
      <w:r>
        <w:rPr>
          <w:bCs/>
          <w:b/>
        </w:rPr>
        <w:t xml:space="preserve">World #1: Post-Apostolic/Sub-Apostolic House-Church Christianity</w:t>
      </w:r>
    </w:p>
    <w:p>
      <w:pPr>
        <w:pStyle w:val="BodyText"/>
      </w:pPr>
      <w:r>
        <w:rPr>
          <w:bCs/>
          <w:b/>
        </w:rPr>
        <w:t xml:space="preserve">Status:</w:t>
      </w:r>
      <w:r>
        <w:t xml:space="preserve"> </w:t>
      </w:r>
      <w:r>
        <w:t xml:space="preserve">APPROVED TO PROCEED — signed off by the project lead (Mark) on 2026-07-07, via explicit confirmation in this build’s conversation record. Cleared its seventh independent adversarial review round with no substantial issues found, and subsequently cleared its first genuinely cold, file-saved independent review (round 1), which found two substantial findings — both stale cells in the companion Gravity Index workbook, not in this document’s own text — fixed directly and narrowly per the revision-decision test. Full history logged in Section 7. Revision count: 6 (round 7 was cosmetic-only and does not increment it, per the revision-decision test). This document’s APPROVED TO PROCEED status reflects the project lead’s own explicit sign-off, not a self-declaration by this build thread.</w:t>
      </w:r>
    </w:p>
    <w:p>
      <w:pPr>
        <w:pStyle w:val="BodyText"/>
      </w:pPr>
      <w:r>
        <w:rPr>
          <w:bCs/>
          <w:b/>
        </w:rPr>
        <w:t xml:space="preserve">Governed by:</w:t>
      </w:r>
      <w:r>
        <w:t xml:space="preserve"> </w:t>
      </w:r>
      <w:r>
        <w:t xml:space="preserve">Formation World Construction Framework V7.3, Part III (Core Historical Gravity Discovery); Forces Framework Step 4; Constitution Articles 21 (Strand Determination) and 22 (Forces Principle).</w:t>
      </w:r>
    </w:p>
    <w:p>
      <w:pPr>
        <w:pStyle w:val="BodyText"/>
      </w:pPr>
      <w:r>
        <w:rPr>
          <w:bCs/>
          <w:b/>
        </w:rPr>
        <w:t xml:space="preserve">Built from:</w:t>
      </w:r>
      <w:r>
        <w:t xml:space="preserve"> </w:t>
      </w:r>
      <w:r>
        <w:t xml:space="preserve">Doc_01 (finalized, World Identification, Strand Determination, Preliminary Forces Identification), Doc_02 + Source Registry (finalized, Source Ecology, 70 rows, 45 flagged for priority review), Doc_03 (finalized, Lexicon Candidate List, 13 candidate terms). Candidate gravities below are generated exclusively from elements that recur across</w:t>
      </w:r>
      <w:r>
        <w:t xml:space="preserve"> </w:t>
      </w:r>
      <w:r>
        <w:rPr>
          <w:bCs/>
          <w:b/>
        </w:rPr>
        <w:t xml:space="preserve">multiple</w:t>
      </w:r>
      <w:r>
        <w:t xml:space="preserve"> </w:t>
      </w:r>
      <w:r>
        <w:t xml:space="preserve">Doc_02 evidence streams, or from named patterns of Attention Presence/Absence — never from general familiarity with early Christianity. Per this step’s own governing note, this document has no L4 template to build against, unlike its sibling steps; the structural discipline below (index, interaction matrix, explicit rejected-candidate log) is self-imposed for that reason, not lowered because of it.</w:t>
      </w:r>
    </w:p>
    <w:p>
      <w:pPr>
        <w:pStyle w:val="BodyText"/>
      </w:pPr>
      <w:r>
        <w:rPr>
          <w:bCs/>
          <w:b/>
        </w:rPr>
        <w:t xml:space="preserve">Confidence vocabulary:</w:t>
      </w:r>
      <w:r>
        <w:t xml:space="preserve"> </w:t>
      </w:r>
      <w:r>
        <w:t xml:space="preserve">unchanged — Documented / Widely Accepted / Dominant Modern Reconstruction / Contested / Inferential-Thin.</w:t>
      </w:r>
    </w:p>
    <w:p>
      <w:pPr>
        <w:pStyle w:val="BodyText"/>
      </w:pPr>
      <w:r>
        <w:rPr>
          <w:bCs/>
          <w:b/>
        </w:rPr>
        <w:t xml:space="preserve">A note on what this step is not:</w:t>
      </w:r>
      <w:r>
        <w:t xml:space="preserve"> </w:t>
      </w:r>
      <w:r>
        <w:t xml:space="preserve">a gravity is a force multiple dimensions organize around, not a recurring topic. Several things this world’s evidence discusses at length (household codes, source asymmetry itself) are tested below and, in at least one case, found not to clear that bar despite being genuinely important context. Failing to become a gravity is not the same as being unimportant — it is a statement about what kind of thing it is.</w:t>
      </w:r>
    </w:p>
    <w:p>
      <w:r>
        <w:pict>
          <v:rect style="width:0;height:1.5pt" o:hralign="center" o:hrstd="t" o:hr="t"/>
        </w:pict>
      </w:r>
    </w:p>
    <w:bookmarkStart w:id="20" w:name="candidate-gravity-generation"/>
    <w:p>
      <w:pPr>
        <w:pStyle w:val="Heading2"/>
      </w:pPr>
      <w:r>
        <w:t xml:space="preserve">1. Candidate Gravity Generation</w:t>
      </w:r>
    </w:p>
    <w:p>
      <w:pPr>
        <w:pStyle w:val="FirstParagraph"/>
      </w:pPr>
      <w:r>
        <w:t xml:space="preserve">Candidates were drawn only from elements recurring across multiple Doc_02 evidence streams (Primary Voices, Institutional Evidence, Liturgical Evidence, Ordinary Participant/Outside Witnesses, Secondary Scholarship) or from Doc_02’s own Attention Presence/Absence patterns (Sections 3, 7, 8, 9), cross-checked against Doc_01’s Preliminary Forces Identification (Section 7) and Doc_03’s Tier 1/Author-Gravity-flagged terms. Two candidates considered before testing were</w:t>
      </w:r>
      <w:r>
        <w:t xml:space="preserve"> </w:t>
      </w:r>
      <w:r>
        <w:rPr>
          <w:bCs/>
          <w:b/>
        </w:rPr>
        <w:t xml:space="preserve">not advanced</w:t>
      </w:r>
      <w:r>
        <w:t xml:space="preserve">, with reasons stated rather than silently dropped:</w:t>
      </w:r>
    </w:p>
    <w:p>
      <w:pPr>
        <w:numPr>
          <w:ilvl w:val="0"/>
          <w:numId w:val="1001"/>
        </w:numPr>
        <w:pStyle w:val="Compact"/>
      </w:pPr>
      <w:r>
        <w:rPr>
          <w:bCs/>
          <w:b/>
        </w:rPr>
        <w:t xml:space="preserve">Source Asymmetry / elite-literate-voice monopoly</w:t>
      </w:r>
      <w:r>
        <w:t xml:space="preserve"> </w:t>
      </w:r>
      <w:r>
        <w:t xml:space="preserve">(Doc_02 Sections 7–8). This is a real, load-bearing fact about</w:t>
      </w:r>
      <w:r>
        <w:t xml:space="preserve"> </w:t>
      </w:r>
      <w:r>
        <w:rPr>
          <w:iCs/>
          <w:i/>
        </w:rPr>
        <w:t xml:space="preserve">what this document’s evidence can support</w:t>
      </w:r>
      <w:r>
        <w:t xml:space="preserve">, not a force the ancient ecology itself organized around. Treating an evidentiary limitation as if it were a historical gravity would misuse the concept the Framework defines — a gravity is something multiple dimensions of the ecology depended on and were shaped by, not a property of the modern record. This is carried forward as a standing constraint on every gravity tested below (see each candidate’s Confidence note), not tested as its own candidate.</w:t>
      </w:r>
    </w:p>
    <w:p>
      <w:pPr>
        <w:numPr>
          <w:ilvl w:val="0"/>
          <w:numId w:val="1001"/>
        </w:numPr>
        <w:pStyle w:val="Compact"/>
      </w:pPr>
      <w:r>
        <w:rPr>
          <w:bCs/>
          <w:b/>
        </w:rPr>
        <w:t xml:space="preserve">“</w:t>
      </w:r>
      <w:r>
        <w:rPr>
          <w:bCs/>
          <w:b/>
        </w:rPr>
        <w:t xml:space="preserve">Apostolic succession</w:t>
      </w:r>
      <w:r>
        <w:rPr>
          <w:bCs/>
          <w:b/>
        </w:rPr>
        <w:t xml:space="preserve">”</w:t>
      </w:r>
      <w:r>
        <w:rPr>
          <w:bCs/>
          <w:b/>
        </w:rPr>
        <w:t xml:space="preserve"> </w:t>
      </w:r>
      <w:r>
        <w:rPr>
          <w:bCs/>
          <w:b/>
        </w:rPr>
        <w:t xml:space="preserve">as a distinct gravity from Authority Consolidation (G01 below).</w:t>
      </w:r>
      <w:r>
        <w:t xml:space="preserve"> </w:t>
      </w:r>
      <w:r>
        <w:t xml:space="preserve">Considered and folded into G01 rather than tested separately: no Native source in this world’s Registry develops a doctrine of formal succession distinct from the live episkopos/presbyteros organizational question itself (formal succession theology is Irenaeus/Tertullian-era material, per Doc_01’s own closing-boundary discussion — treating it as already present here would import a later category backward, exactly what Doc_03 Section 3 already declined to do for</w:t>
      </w:r>
      <w:r>
        <w:t xml:space="preserve"> </w:t>
      </w:r>
      <w:r>
        <w:t xml:space="preserve">“</w:t>
      </w:r>
      <w:r>
        <w:t xml:space="preserve">monepiscopacy</w:t>
      </w:r>
      <w:r>
        <w:t xml:space="preserve">”</w:t>
      </w:r>
      <w:r>
        <w:t xml:space="preserve">).</w:t>
      </w:r>
    </w:p>
    <w:p>
      <w:pPr>
        <w:pStyle w:val="FirstParagraph"/>
      </w:pPr>
      <w:r>
        <w:t xml:space="preserve">Seven candidates were generated and tested. One (G06) was tested and found not to reach gravity status; results are reported rather than omitted, per this step’s own discipline against a clean-looking list that never shows its work.</w:t>
      </w:r>
    </w:p>
    <w:p>
      <w:r>
        <w:pict>
          <v:rect style="width:0;height:1.5pt" o:hralign="center" o:hrstd="t" o:hr="t"/>
        </w:pict>
      </w:r>
    </w:p>
    <w:bookmarkEnd w:id="20"/>
    <w:bookmarkStart w:id="28" w:name="candidates-and-six-test-results"/>
    <w:p>
      <w:pPr>
        <w:pStyle w:val="Heading2"/>
      </w:pPr>
      <w:r>
        <w:t xml:space="preserve">2. Candidates and Six-Test Results</w:t>
      </w:r>
    </w:p>
    <w:bookmarkStart w:id="21" w:name="Xc6cf60972f6b7a935c977b2edfd3da12110555f"/>
    <w:p>
      <w:pPr>
        <w:pStyle w:val="Heading3"/>
      </w:pPr>
      <w:r>
        <w:t xml:space="preserve">G01 — Authority Consolidation (the episkopos/presbyteros/diakonos question)</w:t>
      </w:r>
    </w:p>
    <w:p>
      <w:pPr>
        <w:pStyle w:val="FirstParagraph"/>
      </w:pPr>
      <w:r>
        <w:rPr>
          <w:bCs/>
          <w:b/>
        </w:rPr>
        <w:t xml:space="preserve">Generated from:</w:t>
      </w:r>
      <w:r>
        <w:t xml:space="preserve"> </w:t>
      </w:r>
      <w:r>
        <w:t xml:space="preserve">Primary Voices (1 Clement chs. 42/44; Ignatius’s threefold program; Polycarp’s self-designation as presbyter; Hermas’s plural presiding presbyters; Justin’s deacons); Institutional Evidence (Doc_02 Section 3, Didache 15:1’s transition from itinerant ministry to local office); Doc_01’s own Strand Determination, built directly on this axis; Doc_03’s Tier 1 terms 2.1–2.2 (episkopos, presbyteros).</w:t>
      </w:r>
    </w:p>
    <w:p>
      <w:pPr>
        <w:pStyle w:val="BodyText"/>
      </w:pPr>
      <w:r>
        <w:rPr>
          <w:bCs/>
          <w:b/>
        </w:rPr>
        <w:t xml:space="preserve">Author Gravity risk (flagged at generation):</w:t>
      </w:r>
      <w:r>
        <w:t xml:space="preserve"> </w:t>
      </w:r>
      <w:r>
        <w:t xml:space="preserve">Yes. The Strand A (monarchical) resolution rests overwhelmingly on Ignatius alone, per Doc_02 Section 1.3’s own representativeness caveat — carried forward here rather than re-litigated.</w:t>
      </w:r>
    </w:p>
    <w:p>
      <w:pPr>
        <w:numPr>
          <w:ilvl w:val="0"/>
          <w:numId w:val="1002"/>
        </w:numPr>
        <w:pStyle w:val="Compact"/>
      </w:pPr>
      <w:r>
        <w:rPr>
          <w:bCs/>
          <w:b/>
        </w:rPr>
        <w:t xml:space="preserve">Repetition:</w:t>
      </w:r>
      <w:r>
        <w:t xml:space="preserve"> </w:t>
      </w:r>
      <w:r>
        <w:t xml:space="preserve">Passes strongly. Recurs across every primary voice in the Registry and across Doc_02’s dedicated Institutional Evidence section.</w:t>
      </w:r>
    </w:p>
    <w:p>
      <w:pPr>
        <w:numPr>
          <w:ilvl w:val="0"/>
          <w:numId w:val="1002"/>
        </w:numPr>
        <w:pStyle w:val="Compact"/>
      </w:pPr>
      <w:r>
        <w:rPr>
          <w:bCs/>
          <w:b/>
        </w:rPr>
        <w:t xml:space="preserve">Dependency:</w:t>
      </w:r>
      <w:r>
        <w:t xml:space="preserve"> </w:t>
      </w:r>
      <w:r>
        <w:t xml:space="preserve">Passes strongly. Liturgical presidency (G07), disciplinary authority (1 Clement’s whole Corinthian intervention), and boundary-maintenance rhetoric (G05) all depend on how this question resolves.</w:t>
      </w:r>
    </w:p>
    <w:p>
      <w:pPr>
        <w:numPr>
          <w:ilvl w:val="0"/>
          <w:numId w:val="1002"/>
        </w:numPr>
        <w:pStyle w:val="Compact"/>
      </w:pPr>
      <w:r>
        <w:rPr>
          <w:bCs/>
          <w:b/>
        </w:rPr>
        <w:t xml:space="preserve">Formation:</w:t>
      </w:r>
      <w:r>
        <w:t xml:space="preserve"> </w:t>
      </w:r>
      <w:r>
        <w:t xml:space="preserve">Passes. Directly shapes who is obeyed, who administers rites, how disputes are resolved.</w:t>
      </w:r>
    </w:p>
    <w:p>
      <w:pPr>
        <w:numPr>
          <w:ilvl w:val="0"/>
          <w:numId w:val="1002"/>
        </w:numPr>
        <w:pStyle w:val="Compact"/>
      </w:pPr>
      <w:r>
        <w:rPr>
          <w:bCs/>
          <w:b/>
        </w:rPr>
        <w:t xml:space="preserve">Explanatory:</w:t>
      </w:r>
      <w:r>
        <w:t xml:space="preserve"> </w:t>
      </w:r>
      <w:r>
        <w:t xml:space="preserve">Passes strongly. Explains why the primary source corpus itself consists largely of letters about authority disputes, and connects directly to Doc_01 Section 7’s</w:t>
      </w:r>
      <w:r>
        <w:t xml:space="preserve"> </w:t>
      </w:r>
      <w:r>
        <w:t xml:space="preserve">“</w:t>
      </w:r>
      <w:r>
        <w:t xml:space="preserve">what it was responding to</w:t>
      </w:r>
      <w:r>
        <w:t xml:space="preserve">”</w:t>
      </w:r>
      <w:r>
        <w:t xml:space="preserve"> </w:t>
      </w:r>
      <w:r>
        <w:t xml:space="preserve">(the felt need to formalize authority once eyewitness generation recedes).</w:t>
      </w:r>
    </w:p>
    <w:p>
      <w:pPr>
        <w:numPr>
          <w:ilvl w:val="0"/>
          <w:numId w:val="1002"/>
        </w:numPr>
        <w:pStyle w:val="Compact"/>
      </w:pPr>
      <w:r>
        <w:rPr>
          <w:bCs/>
          <w:b/>
        </w:rPr>
        <w:t xml:space="preserve">Persistence:</w:t>
      </w:r>
      <w:r>
        <w:t xml:space="preserve"> </w:t>
      </w:r>
      <w:r>
        <w:t xml:space="preserve">Passes, with a caveat carried forward rather than smoothed: visible in both regions across the whole window, but its</w:t>
      </w:r>
      <w:r>
        <w:t xml:space="preserve"> </w:t>
      </w:r>
      <w:r>
        <w:rPr>
          <w:iCs/>
          <w:i/>
        </w:rPr>
        <w:t xml:space="preserve">specific shape</w:t>
      </w:r>
      <w:r>
        <w:t xml:space="preserve"> </w:t>
      </w:r>
      <w:r>
        <w:t xml:space="preserve">changes across that same span (1 Clement’s plural-college picture is earlier than Ignatius’s monarchical picture), which is itself part of what makes this a live, unresolved organizing question rather than a settled one.</w:t>
      </w:r>
    </w:p>
    <w:p>
      <w:pPr>
        <w:numPr>
          <w:ilvl w:val="0"/>
          <w:numId w:val="1002"/>
        </w:numPr>
        <w:pStyle w:val="Compact"/>
      </w:pPr>
      <w:r>
        <w:rPr>
          <w:bCs/>
          <w:b/>
        </w:rPr>
        <w:t xml:space="preserve">Interaction:</w:t>
      </w:r>
      <w:r>
        <w:t xml:space="preserve"> </w:t>
      </w:r>
      <w:r>
        <w:t xml:space="preserve">See Section 4 (Interaction Matrix) — demonstrated relationships with every other classified candidate.</w:t>
      </w:r>
    </w:p>
    <w:p>
      <w:pPr>
        <w:pStyle w:val="FirstParagraph"/>
      </w:pPr>
      <w:r>
        <w:rPr>
          <w:bCs/>
          <w:b/>
        </w:rPr>
        <w:t xml:space="preserve">Confidence supporting:</w:t>
      </w:r>
      <w:r>
        <w:t xml:space="preserve"> </w:t>
      </w:r>
      <w:r>
        <w:t xml:space="preserve">Split. That authority organization was an actively contested, live question — attested independently across multiple voices — is itself Widely Accepted. The</w:t>
      </w:r>
      <w:r>
        <w:t xml:space="preserve"> </w:t>
      </w:r>
      <w:r>
        <w:rPr>
          <w:iCs/>
          <w:i/>
        </w:rPr>
        <w:t xml:space="preserve">specific</w:t>
      </w:r>
      <w:r>
        <w:t xml:space="preserve"> </w:t>
      </w:r>
      <w:r>
        <w:t xml:space="preserve">Strand A claim (a secured monarchical office) is Contested, per Doc_01/02.</w:t>
      </w:r>
    </w:p>
    <w:p>
      <w:pPr>
        <w:pStyle w:val="BodyText"/>
      </w:pPr>
      <w:r>
        <w:rPr>
          <w:bCs/>
          <w:b/>
        </w:rPr>
        <w:t xml:space="preserve">Cross-strand status (Article 21):</w:t>
      </w:r>
      <w:r>
        <w:t xml:space="preserve"> </w:t>
      </w:r>
      <w:r>
        <w:t xml:space="preserve">The</w:t>
      </w:r>
      <w:r>
        <w:t xml:space="preserve"> </w:t>
      </w:r>
      <w:r>
        <w:rPr>
          <w:iCs/>
          <w:i/>
        </w:rPr>
        <w:t xml:space="preserve">force</w:t>
      </w:r>
      <w:r>
        <w:t xml:space="preserve"> </w:t>
      </w:r>
      <w:r>
        <w:t xml:space="preserve">(authority requires active organizing) is cross-strand confirmed. Its</w:t>
      </w:r>
      <w:r>
        <w:t xml:space="preserve"> </w:t>
      </w:r>
      <w:r>
        <w:rPr>
          <w:iCs/>
          <w:i/>
        </w:rPr>
        <w:t xml:space="preserve">resolution</w:t>
      </w:r>
      <w:r>
        <w:t xml:space="preserve"> </w:t>
      </w:r>
      <w:r>
        <w:t xml:space="preserve">is strand-bound: Strand A resolves toward a single office, Strand B toward a plural, interchangeable college. Both are recorded, neither is collapsed into the other.</w:t>
      </w:r>
    </w:p>
    <w:p>
      <w:pPr>
        <w:pStyle w:val="BodyText"/>
      </w:pPr>
      <w:r>
        <w:rPr>
          <w:bCs/>
          <w:b/>
        </w:rPr>
        <w:t xml:space="preserve">Forces test (Article 22):</w:t>
      </w:r>
      <w:r>
        <w:t xml:space="preserve"> </w:t>
      </w:r>
      <w:r>
        <w:t xml:space="preserve">Intensifies under state pressure — Ignatius explicitly deploys his own impending martyrdom as an argument</w:t>
      </w:r>
      <w:r>
        <w:t xml:space="preserve"> </w:t>
      </w:r>
      <w:r>
        <w:rPr>
          <w:iCs/>
          <w:i/>
        </w:rPr>
        <w:t xml:space="preserve">for</w:t>
      </w:r>
      <w:r>
        <w:t xml:space="preserve"> </w:t>
      </w:r>
      <w:r>
        <w:t xml:space="preserve">his authority program, and the loss-of-eyewitness-generation force named in Doc_01 Section 7 is essentially answered directly by this gravity.</w:t>
      </w:r>
    </w:p>
    <w:p>
      <w:pPr>
        <w:pStyle w:val="BodyText"/>
      </w:pPr>
      <w:r>
        <w:rPr>
          <w:bCs/>
          <w:b/>
        </w:rPr>
        <w:t xml:space="preserve">Classification: Supporting.</w:t>
      </w:r>
    </w:p>
    <w:p>
      <w:pPr>
        <w:pStyle w:val="BodyText"/>
      </w:pPr>
      <w:r>
        <w:rPr>
          <w:bCs/>
          <w:b/>
        </w:rPr>
        <w:t xml:space="preserve">Confidence/Gravity Cross-Check:</w:t>
      </w:r>
      <w:r>
        <w:t xml:space="preserve"> </w:t>
      </w:r>
      <w:r>
        <w:t xml:space="preserve">Strand A’s specific monarchical content rests only on Contested confidence, and disclosure is not a substitute for reclassification — the Framework’s own text is explicit that a candidate resting on sub-Documented/Widely-Accepted evidence</w:t>
      </w:r>
      <w:r>
        <w:t xml:space="preserve"> </w:t>
      </w:r>
      <w:r>
        <w:t xml:space="preserve">“</w:t>
      </w:r>
      <w:r>
        <w:t xml:space="preserve">should be classified Supporting or Tensional regardless of how strongly it appears to organize the ecology… not resolved by upgrading</w:t>
      </w:r>
      <w:r>
        <w:t xml:space="preserve">”</w:t>
      </w:r>
      <w:r>
        <w:t xml:space="preserve"> </w:t>
      </w:r>
      <w:r>
        <w:t xml:space="preserve">— and</w:t>
      </w:r>
      <w:r>
        <w:t xml:space="preserve"> </w:t>
      </w:r>
      <w:r>
        <w:t xml:space="preserve">“</w:t>
      </w:r>
      <w:r>
        <w:t xml:space="preserve">not resolved by upgrading</w:t>
      </w:r>
      <w:r>
        <w:t xml:space="preserve">”</w:t>
      </w:r>
      <w:r>
        <w:t xml:space="preserve"> </w:t>
      </w:r>
      <w:r>
        <w:t xml:space="preserve">cannot be read to also permit</w:t>
      </w:r>
      <w:r>
        <w:t xml:space="preserve"> </w:t>
      </w:r>
      <w:r>
        <w:t xml:space="preserve">“</w:t>
      </w:r>
      <w:r>
        <w:t xml:space="preserve">not resolved by downgrading, just flagged instead.</w:t>
      </w:r>
      <w:r>
        <w:t xml:space="preserve">”</w:t>
      </w:r>
      <w:r>
        <w:t xml:space="preserve"> </w:t>
      </w:r>
      <w:r>
        <w:t xml:space="preserve">Applying the set-aside-the-Contested-layer test directly, this document cannot identify a separable, non-trivial claim for G01 that survives once the Contested content is set aside:</w:t>
      </w:r>
      <w:r>
        <w:t xml:space="preserve"> </w:t>
      </w:r>
      <w:r>
        <w:t xml:space="preserve">“</w:t>
      </w:r>
      <w:r>
        <w:t xml:space="preserve">some leadership existed</w:t>
      </w:r>
      <w:r>
        <w:t xml:space="preserve">”</w:t>
      </w:r>
      <w:r>
        <w:t xml:space="preserve"> </w:t>
      </w:r>
      <w:r>
        <w:t xml:space="preserve">is nearly gravity-vacuous, while the specific content that actually does this gravity’s interaction and dependency work (the Strand A/B differentiation itself, per Doc_03’s own identification of episkopos/presbyteros as the central strand-differentiating vocabulary) is exactly the Contested part. Unlike G03 below, there is no independently-Documented base claim to fall back on here.</w:t>
      </w:r>
      <w:r>
        <w:t xml:space="preserve"> </w:t>
      </w:r>
      <w:r>
        <w:rPr>
          <w:bCs/>
          <w:b/>
        </w:rPr>
        <w:t xml:space="preserve">Classified Supporting</w:t>
      </w:r>
      <w:r>
        <w:t xml:space="preserve">, meaning: it organizes a significant portion of the ecology (the institutional-office dimension) and functions within the context this document’s Primary gravities (G02, G07) establish, but does not clear the confidence bar Primary requires at the level of content that actually matters.</w:t>
      </w:r>
    </w:p>
    <w:p>
      <w:r>
        <w:pict>
          <v:rect style="width:0;height:1.5pt" o:hralign="center" o:hrstd="t" o:hr="t"/>
        </w:pict>
      </w:r>
    </w:p>
    <w:bookmarkEnd w:id="21"/>
    <w:bookmarkStart w:id="22" w:name="g02-translocal-correspondence-network"/>
    <w:p>
      <w:pPr>
        <w:pStyle w:val="Heading3"/>
      </w:pPr>
      <w:r>
        <w:t xml:space="preserve">G02 — Translocal Correspondence Network</w:t>
      </w:r>
    </w:p>
    <w:p>
      <w:pPr>
        <w:pStyle w:val="FirstParagraph"/>
      </w:pPr>
      <w:r>
        <w:rPr>
          <w:bCs/>
          <w:b/>
        </w:rPr>
        <w:t xml:space="preserve">Generated from:</w:t>
      </w:r>
      <w:r>
        <w:t xml:space="preserve"> </w:t>
      </w:r>
      <w:r>
        <w:t xml:space="preserve">1 Clement’s Rome-to-Corinth intervention; Ignatius’s entire seven-letter corpus, written across a guarded journey; Polycarp’s own letter (ch. 13) reporting he forwarded Ignatius’s letters at the Philippians’ request — three independent primary voices/events, not one.</w:t>
      </w:r>
    </w:p>
    <w:p>
      <w:pPr>
        <w:pStyle w:val="BodyText"/>
      </w:pPr>
      <w:r>
        <w:rPr>
          <w:bCs/>
          <w:b/>
        </w:rPr>
        <w:t xml:space="preserve">Author Gravity risk:</w:t>
      </w:r>
      <w:r>
        <w:t xml:space="preserve"> </w:t>
      </w:r>
      <w:r>
        <w:t xml:space="preserve">No significant single-voice dependency — this is the one candidate independently attested by voices from</w:t>
      </w:r>
      <w:r>
        <w:t xml:space="preserve"> </w:t>
      </w:r>
      <w:r>
        <w:rPr>
          <w:iCs/>
          <w:i/>
        </w:rPr>
        <w:t xml:space="preserve">both</w:t>
      </w:r>
      <w:r>
        <w:t xml:space="preserve"> </w:t>
      </w:r>
      <w:r>
        <w:t xml:space="preserve">strands behaving the same way (Rome via 1 Clement; Antioch/Asia Minor via Ignatius and Polycarp).</w:t>
      </w:r>
    </w:p>
    <w:p>
      <w:pPr>
        <w:numPr>
          <w:ilvl w:val="0"/>
          <w:numId w:val="1003"/>
        </w:numPr>
        <w:pStyle w:val="Compact"/>
      </w:pPr>
      <w:r>
        <w:rPr>
          <w:bCs/>
          <w:b/>
        </w:rPr>
        <w:t xml:space="preserve">Repetition:</w:t>
      </w:r>
      <w:r>
        <w:t xml:space="preserve"> </w:t>
      </w:r>
      <w:r>
        <w:t xml:space="preserve">Passes strongly across both regions.</w:t>
      </w:r>
    </w:p>
    <w:p>
      <w:pPr>
        <w:numPr>
          <w:ilvl w:val="0"/>
          <w:numId w:val="1003"/>
        </w:numPr>
        <w:pStyle w:val="Compact"/>
      </w:pPr>
      <w:r>
        <w:rPr>
          <w:bCs/>
          <w:b/>
        </w:rPr>
        <w:t xml:space="preserve">Dependency:</w:t>
      </w:r>
      <w:r>
        <w:t xml:space="preserve"> </w:t>
      </w:r>
      <w:r>
        <w:t xml:space="preserve">Passes strongly. G01’s translocal authority claims are</w:t>
      </w:r>
      <w:r>
        <w:t xml:space="preserve"> </w:t>
      </w:r>
      <w:r>
        <w:rPr>
          <w:iCs/>
          <w:i/>
        </w:rPr>
        <w:t xml:space="preserve">exercised through</w:t>
      </w:r>
      <w:r>
        <w:t xml:space="preserve"> </w:t>
      </w:r>
      <w:r>
        <w:t xml:space="preserve">this network; doctrinal/memory consolidation depends on letters actually circulating; the shape of Doc_02’s own primary-voice set is largely explainable by which texts entered and survived this network.</w:t>
      </w:r>
    </w:p>
    <w:p>
      <w:pPr>
        <w:numPr>
          <w:ilvl w:val="0"/>
          <w:numId w:val="1003"/>
        </w:numPr>
        <w:pStyle w:val="Compact"/>
      </w:pPr>
      <w:r>
        <w:rPr>
          <w:bCs/>
          <w:b/>
        </w:rPr>
        <w:t xml:space="preserve">Formation:</w:t>
      </w:r>
      <w:r>
        <w:t xml:space="preserve"> </w:t>
      </w:r>
      <w:r>
        <w:t xml:space="preserve">Passes. Produces a felt sense of belonging to something larger than the local assembly.</w:t>
      </w:r>
    </w:p>
    <w:p>
      <w:pPr>
        <w:numPr>
          <w:ilvl w:val="0"/>
          <w:numId w:val="1003"/>
        </w:numPr>
        <w:pStyle w:val="Compact"/>
      </w:pPr>
      <w:r>
        <w:rPr>
          <w:bCs/>
          <w:b/>
        </w:rPr>
        <w:t xml:space="preserve">Explanatory:</w:t>
      </w:r>
      <w:r>
        <w:t xml:space="preserve"> </w:t>
      </w:r>
      <w:r>
        <w:t xml:space="preserve">Passes strongly — arguably explains the shape of Doc_02 itself (Author Gravity Assessment Section 1’s own survivorship discussion in Doc_02 Section 9).</w:t>
      </w:r>
    </w:p>
    <w:p>
      <w:pPr>
        <w:numPr>
          <w:ilvl w:val="0"/>
          <w:numId w:val="1003"/>
        </w:numPr>
        <w:pStyle w:val="Compact"/>
      </w:pPr>
      <w:r>
        <w:rPr>
          <w:bCs/>
          <w:b/>
        </w:rPr>
        <w:t xml:space="preserve">Persistence:</w:t>
      </w:r>
      <w:r>
        <w:t xml:space="preserve"> </w:t>
      </w:r>
      <w:r>
        <w:t xml:space="preserve">Passes across all three named regions (Rome, Antioch, Smyrna).</w:t>
      </w:r>
    </w:p>
    <w:p>
      <w:pPr>
        <w:numPr>
          <w:ilvl w:val="0"/>
          <w:numId w:val="1003"/>
        </w:numPr>
        <w:pStyle w:val="Compact"/>
      </w:pPr>
      <w:r>
        <w:rPr>
          <w:bCs/>
          <w:b/>
        </w:rPr>
        <w:t xml:space="preserve">Interaction:</w:t>
      </w:r>
      <w:r>
        <w:t xml:space="preserve"> </w:t>
      </w:r>
      <w:r>
        <w:t xml:space="preserve">See Section 4.</w:t>
      </w:r>
    </w:p>
    <w:p>
      <w:pPr>
        <w:pStyle w:val="FirstParagraph"/>
      </w:pPr>
      <w:r>
        <w:rPr>
          <w:bCs/>
          <w:b/>
        </w:rPr>
        <w:t xml:space="preserve">Confidence supporting:</w:t>
      </w:r>
      <w:r>
        <w:t xml:space="preserve"> </w:t>
      </w:r>
      <w:r>
        <w:t xml:space="preserve">Widely Accepted / Documented that these letters exist and were exchanged this way — the strongest confidence footing of any candidate here.</w:t>
      </w:r>
    </w:p>
    <w:p>
      <w:pPr>
        <w:pStyle w:val="BodyText"/>
      </w:pPr>
      <w:r>
        <w:rPr>
          <w:bCs/>
          <w:b/>
        </w:rPr>
        <w:t xml:space="preserve">Cross-strand status:</w:t>
      </w:r>
      <w:r>
        <w:t xml:space="preserve"> </w:t>
      </w:r>
      <w:r>
        <w:t xml:space="preserve">Confirmed cross-strand — independently attested by both Strand A and Strand B texts.</w:t>
      </w:r>
    </w:p>
    <w:p>
      <w:pPr>
        <w:pStyle w:val="BodyText"/>
      </w:pPr>
      <w:r>
        <w:rPr>
          <w:bCs/>
          <w:b/>
        </w:rPr>
        <w:t xml:space="preserve">Forces test:</w:t>
      </w:r>
      <w:r>
        <w:t xml:space="preserve"> </w:t>
      </w:r>
      <w:r>
        <w:t xml:space="preserve">Intensifies under pressure rather than fracturing — Ignatius relies on the network precisely because he is under guard; martyr-narrative transmission (per Doc_01’s martyr-cult disclosure) travels through this same channel.</w:t>
      </w:r>
    </w:p>
    <w:p>
      <w:pPr>
        <w:pStyle w:val="BodyText"/>
      </w:pPr>
      <w:r>
        <w:rPr>
          <w:bCs/>
          <w:b/>
        </w:rPr>
        <w:t xml:space="preserve">Classification:</w:t>
      </w:r>
      <w:r>
        <w:t xml:space="preserve"> </w:t>
      </w:r>
      <w:r>
        <w:rPr>
          <w:bCs/>
          <w:b/>
        </w:rPr>
        <w:t xml:space="preserve">Primary.</w:t>
      </w:r>
    </w:p>
    <w:p>
      <w:pPr>
        <w:pStyle w:val="BodyText"/>
      </w:pPr>
      <w:r>
        <w:rPr>
          <w:bCs/>
          <w:b/>
        </w:rPr>
        <w:t xml:space="preserve">Confidence/Gravity Cross-Check:</w:t>
      </w:r>
      <w:r>
        <w:t xml:space="preserve"> </w:t>
      </w:r>
      <w:r>
        <w:t xml:space="preserve">Clean — no material divergence between organizing strength and evidential confidence. Both are high.</w:t>
      </w:r>
    </w:p>
    <w:p>
      <w:r>
        <w:pict>
          <v:rect style="width:0;height:1.5pt" o:hralign="center" o:hrstd="t" o:hr="t"/>
        </w:pict>
      </w:r>
    </w:p>
    <w:bookmarkEnd w:id="22"/>
    <w:bookmarkStart w:id="23" w:name="g03-state-pressure-legal-precarity"/>
    <w:p>
      <w:pPr>
        <w:pStyle w:val="Heading3"/>
      </w:pPr>
      <w:r>
        <w:t xml:space="preserve">G03 — State Pressure / Legal Precarity</w:t>
      </w:r>
    </w:p>
    <w:p>
      <w:pPr>
        <w:pStyle w:val="FirstParagraph"/>
      </w:pPr>
      <w:r>
        <w:rPr>
          <w:bCs/>
          <w:b/>
        </w:rPr>
        <w:t xml:space="preserve">Generated from:</w:t>
      </w:r>
      <w:r>
        <w:t xml:space="preserve"> </w:t>
      </w:r>
      <w:r>
        <w:t xml:space="preserve">Pliny’s Letters 10.96–97 (P07), Tacitus (P08), Suetonius (P09), Lucian’s Peregrinus (P10, prisoner-visiting); Ignatius’s own imprisonment framing throughout his corpus; Doc_02 Section 3’s institutional-silence finding and Section 9’s</w:t>
      </w:r>
      <w:r>
        <w:t xml:space="preserve"> </w:t>
      </w:r>
      <w:r>
        <w:t xml:space="preserve">“</w:t>
      </w:r>
      <w:r>
        <w:t xml:space="preserve">silences reveal</w:t>
      </w:r>
      <w:r>
        <w:t xml:space="preserve">”</w:t>
      </w:r>
      <w:r>
        <w:t xml:space="preserve"> </w:t>
      </w:r>
      <w:r>
        <w:t xml:space="preserve">argument.</w:t>
      </w:r>
    </w:p>
    <w:p>
      <w:pPr>
        <w:pStyle w:val="BodyText"/>
      </w:pPr>
      <w:r>
        <w:rPr>
          <w:bCs/>
          <w:b/>
        </w:rPr>
        <w:t xml:space="preserve">Author Gravity risk:</w:t>
      </w:r>
      <w:r>
        <w:t xml:space="preserve"> </w:t>
      </w:r>
      <w:r>
        <w:t xml:space="preserve">Moderate. Pliny is the clearest single direct description of state action, but Tacitus, Suetonius, and Ignatius’s own internal evidence independently corroborate the broader pattern, reducing (not eliminating) single-source dependency.</w:t>
      </w:r>
    </w:p>
    <w:p>
      <w:pPr>
        <w:numPr>
          <w:ilvl w:val="0"/>
          <w:numId w:val="1004"/>
        </w:numPr>
        <w:pStyle w:val="Compact"/>
      </w:pPr>
      <w:r>
        <w:rPr>
          <w:bCs/>
          <w:b/>
        </w:rPr>
        <w:t xml:space="preserve">Repetition:</w:t>
      </w:r>
      <w:r>
        <w:t xml:space="preserve"> </w:t>
      </w:r>
      <w:r>
        <w:t xml:space="preserve">Passes — four separate outside/hostile witnesses plus Ignatius’s own corpus.</w:t>
      </w:r>
    </w:p>
    <w:p>
      <w:pPr>
        <w:numPr>
          <w:ilvl w:val="0"/>
          <w:numId w:val="1004"/>
        </w:numPr>
        <w:pStyle w:val="Compact"/>
      </w:pPr>
      <w:r>
        <w:rPr>
          <w:bCs/>
          <w:b/>
        </w:rPr>
        <w:t xml:space="preserve">Dependency:</w:t>
      </w:r>
      <w:r>
        <w:t xml:space="preserve"> </w:t>
      </w:r>
      <w:r>
        <w:t xml:space="preserve">Passes strongly. G04 (martyrdom-meaning) is essentially the internal response to this force; G01’s urgency partly depends on it; institutional silence (Doc_02 Section 3) is best explained by it.</w:t>
      </w:r>
    </w:p>
    <w:p>
      <w:pPr>
        <w:numPr>
          <w:ilvl w:val="0"/>
          <w:numId w:val="1004"/>
        </w:numPr>
        <w:pStyle w:val="Compact"/>
      </w:pPr>
      <w:r>
        <w:rPr>
          <w:bCs/>
          <w:b/>
        </w:rPr>
        <w:t xml:space="preserve">Formation:</w:t>
      </w:r>
      <w:r>
        <w:t xml:space="preserve"> </w:t>
      </w:r>
      <w:r>
        <w:t xml:space="preserve">Passes — shapes risk calculus, willingness to gather, willingness to recant or not.</w:t>
      </w:r>
    </w:p>
    <w:p>
      <w:pPr>
        <w:numPr>
          <w:ilvl w:val="0"/>
          <w:numId w:val="1004"/>
        </w:numPr>
        <w:pStyle w:val="Compact"/>
      </w:pPr>
      <w:r>
        <w:rPr>
          <w:bCs/>
          <w:b/>
        </w:rPr>
        <w:t xml:space="preserve">Explanatory:</w:t>
      </w:r>
      <w:r>
        <w:t xml:space="preserve"> </w:t>
      </w:r>
      <w:r>
        <w:t xml:space="preserve">Passes strongly.</w:t>
      </w:r>
    </w:p>
    <w:p>
      <w:pPr>
        <w:numPr>
          <w:ilvl w:val="0"/>
          <w:numId w:val="1004"/>
        </w:numPr>
        <w:pStyle w:val="Compact"/>
      </w:pPr>
      <w:r>
        <w:rPr>
          <w:bCs/>
          <w:b/>
        </w:rPr>
        <w:t xml:space="preserve">Persistence:</w:t>
      </w:r>
      <w:r>
        <w:t xml:space="preserve"> </w:t>
      </w:r>
      <w:r>
        <w:t xml:space="preserve">Passes,</w:t>
      </w:r>
      <w:r>
        <w:t xml:space="preserve"> </w:t>
      </w:r>
      <w:r>
        <w:rPr>
          <w:bCs/>
          <w:b/>
        </w:rPr>
        <w:t xml:space="preserve">with an honest caveat this document does not smooth over</w:t>
      </w:r>
      <w:r>
        <w:t xml:space="preserve">: the specific episodes evidenced (Nero/Rome c. 64 CE; Pliny/Bithynia-Pontus c. 111–113 CE; Ignatius’s own arrest c. 107–130s depending on the dating camp) are geographically and temporally scattered, not one continuous, systematic policy. Doc_02 itself already characterizes this as</w:t>
      </w:r>
      <w:r>
        <w:t xml:space="preserve"> </w:t>
      </w:r>
      <w:r>
        <w:t xml:space="preserve">“</w:t>
      </w:r>
      <w:r>
        <w:t xml:space="preserve">local, unpredictable legal exposure,</w:t>
      </w:r>
      <w:r>
        <w:t xml:space="preserve">”</w:t>
      </w:r>
      <w:r>
        <w:t xml:space="preserve"> </w:t>
      </w:r>
      <w:r>
        <w:t xml:space="preserve">not empire-wide system. This document treats the</w:t>
      </w:r>
      <w:r>
        <w:t xml:space="preserve"> </w:t>
      </w:r>
      <w:r>
        <w:rPr>
          <w:iCs/>
          <w:i/>
        </w:rPr>
        <w:t xml:space="preserve">underlying vulnerability</w:t>
      </w:r>
      <w:r>
        <w:t xml:space="preserve"> </w:t>
      </w:r>
      <w:r>
        <w:t xml:space="preserve">as persistent even though the</w:t>
      </w:r>
      <w:r>
        <w:t xml:space="preserve"> </w:t>
      </w:r>
      <w:r>
        <w:rPr>
          <w:iCs/>
          <w:i/>
        </w:rPr>
        <w:t xml:space="preserve">specific incidents</w:t>
      </w:r>
      <w:r>
        <w:t xml:space="preserve"> </w:t>
      </w:r>
      <w:r>
        <w:t xml:space="preserve">are intermittent — a distinction Doc_08’s Forces Document should preserve rather than collapse into</w:t>
      </w:r>
      <w:r>
        <w:t xml:space="preserve"> </w:t>
      </w:r>
      <w:r>
        <w:t xml:space="preserve">“</w:t>
      </w:r>
      <w:r>
        <w:t xml:space="preserve">constant persecution.</w:t>
      </w:r>
      <w:r>
        <w:t xml:space="preserve">”</w:t>
      </w:r>
    </w:p>
    <w:p>
      <w:pPr>
        <w:numPr>
          <w:ilvl w:val="0"/>
          <w:numId w:val="1004"/>
        </w:numPr>
        <w:pStyle w:val="Compact"/>
      </w:pPr>
      <w:r>
        <w:rPr>
          <w:bCs/>
          <w:b/>
        </w:rPr>
        <w:t xml:space="preserve">Interaction:</w:t>
      </w:r>
      <w:r>
        <w:t xml:space="preserve"> </w:t>
      </w:r>
      <w:r>
        <w:t xml:space="preserve">See Section 4.</w:t>
      </w:r>
    </w:p>
    <w:p>
      <w:pPr>
        <w:pStyle w:val="FirstParagraph"/>
      </w:pPr>
      <w:r>
        <w:rPr>
          <w:bCs/>
          <w:b/>
        </w:rPr>
        <w:t xml:space="preserve">Confidence supporting:</w:t>
      </w:r>
      <w:r>
        <w:t xml:space="preserve"> </w:t>
      </w:r>
      <w:r>
        <w:t xml:space="preserve">Split. Documented that Pliny’s letter is authentic and describes real legal action. Contested on further interpretive layers (whether a discrete, named persecution event occurred per the Shaw/Jones Tacitus debate; the Chrestus identification in Suetonius).</w:t>
      </w:r>
    </w:p>
    <w:p>
      <w:pPr>
        <w:pStyle w:val="BodyText"/>
      </w:pPr>
      <w:r>
        <w:rPr>
          <w:bCs/>
          <w:b/>
        </w:rPr>
        <w:t xml:space="preserve">Cross-strand status:</w:t>
      </w:r>
      <w:r>
        <w:t xml:space="preserve"> </w:t>
      </w:r>
      <w:r>
        <w:t xml:space="preserve">cross-strand confirmed via</w:t>
      </w:r>
      <w:r>
        <w:t xml:space="preserve"> </w:t>
      </w:r>
      <w:r>
        <w:rPr>
          <w:bCs/>
          <w:b/>
        </w:rPr>
        <w:t xml:space="preserve">Strand B</w:t>
      </w:r>
      <w:r>
        <w:t xml:space="preserve"> </w:t>
      </w:r>
      <w:r>
        <w:t xml:space="preserve">(Rome — Tacitus/Nero) and</w:t>
      </w:r>
      <w:r>
        <w:t xml:space="preserve"> </w:t>
      </w:r>
      <w:r>
        <w:rPr>
          <w:bCs/>
          <w:b/>
        </w:rPr>
        <w:t xml:space="preserve">Strand A</w:t>
      </w:r>
      <w:r>
        <w:t xml:space="preserve"> </w:t>
      </w:r>
      <w:r>
        <w:t xml:space="preserve">(Antioch/Asia Minor — Ignatius’s own arrest), a genuine two-strand attestation on its own terms. Pliny’s Bithynia-Pontus material is additional corroborating evidence that the underlying phenomenon was not confined to either strand’s home territory, but per Article 21 it does not itself count toward the two-strand test — it is a third data point strengthening the general pattern, not a third strand.</w:t>
      </w:r>
    </w:p>
    <w:p>
      <w:pPr>
        <w:pStyle w:val="BodyText"/>
      </w:pPr>
      <w:r>
        <w:rPr>
          <w:bCs/>
          <w:b/>
        </w:rPr>
        <w:t xml:space="preserve">Forces test:</w:t>
      </w:r>
      <w:r>
        <w:t xml:space="preserve"> </w:t>
      </w:r>
      <w:r>
        <w:t xml:space="preserve">This candidate</w:t>
      </w:r>
      <w:r>
        <w:t xml:space="preserve"> </w:t>
      </w:r>
      <w:r>
        <w:rPr>
          <w:iCs/>
          <w:i/>
        </w:rPr>
        <w:t xml:space="preserve">is</w:t>
      </w:r>
      <w:r>
        <w:t xml:space="preserve"> </w:t>
      </w:r>
      <w:r>
        <w:t xml:space="preserve">one of the primary forces named in Doc_01 Section 7 and Doc_02 Section 9; its own</w:t>
      </w:r>
      <w:r>
        <w:t xml:space="preserve"> </w:t>
      </w:r>
      <w:r>
        <w:t xml:space="preserve">“</w:t>
      </w:r>
      <w:r>
        <w:t xml:space="preserve">test</w:t>
      </w:r>
      <w:r>
        <w:t xml:space="preserve">”</w:t>
      </w:r>
      <w:r>
        <w:t xml:space="preserve"> </w:t>
      </w:r>
      <w:r>
        <w:t xml:space="preserve">is better read as a question of character (systematic vs. intermittent) than of how it responds to some other force. Answer: intermittent, locally variable, not a straight-line escalation across the window.</w:t>
      </w:r>
    </w:p>
    <w:p>
      <w:pPr>
        <w:pStyle w:val="BodyText"/>
      </w:pPr>
      <w:r>
        <w:rPr>
          <w:bCs/>
          <w:b/>
        </w:rPr>
        <w:t xml:space="preserve">Classification: Supporting.</w:t>
      </w:r>
    </w:p>
    <w:p>
      <w:pPr>
        <w:pStyle w:val="BodyText"/>
      </w:pPr>
      <w:r>
        <w:rPr>
          <w:bCs/>
          <w:b/>
        </w:rPr>
        <w:t xml:space="preserve">Confidence/Gravity Cross-Check:</w:t>
      </w:r>
      <w:r>
        <w:t xml:space="preserve"> </w:t>
      </w:r>
      <w:r>
        <w:t xml:space="preserve">the six-test results credited to G03 above — Dependency (</w:t>
      </w:r>
      <w:r>
        <w:t xml:space="preserve">“</w:t>
      </w:r>
      <w:r>
        <w:t xml:space="preserve">institutional silence, network reliance under guard</w:t>
      </w:r>
      <w:r>
        <w:t xml:space="preserve">”</w:t>
      </w:r>
      <w:r>
        <w:t xml:space="preserve">), Explanatory power, and the cross-strand Persistence claim across</w:t>
      </w:r>
      <w:r>
        <w:t xml:space="preserve"> </w:t>
      </w:r>
      <w:r>
        <w:t xml:space="preserve">“</w:t>
      </w:r>
      <w:r>
        <w:t xml:space="preserve">both regions</w:t>
      </w:r>
      <w:r>
        <w:t xml:space="preserve">”</w:t>
      </w:r>
      <w:r>
        <w:t xml:space="preserve"> </w:t>
      </w:r>
      <w:r>
        <w:t xml:space="preserve">— are not actually earned by the narrow Documented core (one governor, one province, one episode, c.111-113 CE) standing alone. They depend on the generalized, cross-episode reading that treats Nero (c.64 CE, Rome), Pliny (c.111-113 CE, Bithynia-Pontus), and Ignatius’s own arrest (c.107-130s, Antioch/Asia Minor, itself of disputed date) as evidence of one standing, persistent condition of legal precarity — and that synthesis, not the Documented core alone, is exactly the Contested layer this document already discloses in its own Persistence-test caveat (</w:t>
      </w:r>
      <w:r>
        <w:t xml:space="preserve">“</w:t>
      </w:r>
      <w:r>
        <w:t xml:space="preserve">local, unpredictable legal exposure,</w:t>
      </w:r>
      <w:r>
        <w:t xml:space="preserve">”</w:t>
      </w:r>
      <w:r>
        <w:t xml:space="preserve"> </w:t>
      </w:r>
      <w:r>
        <w:t xml:space="preserve">not one continuous policy). Applying the identical test used for G01: set aside the Contested content (the cross-episode synthesis) and ask what survives. What’s left —</w:t>
      </w:r>
      <w:r>
        <w:t xml:space="preserve"> </w:t>
      </w:r>
      <w:r>
        <w:t xml:space="preserve">“</w:t>
      </w:r>
      <w:r>
        <w:t xml:space="preserve">a Roman governor in one province prosecuted some Christians around 111-113 CE</w:t>
      </w:r>
      <w:r>
        <w:t xml:space="preserve">”</w:t>
      </w:r>
      <w:r>
        <w:t xml:space="preserve"> </w:t>
      </w:r>
      <w:r>
        <w:t xml:space="preserve">— does not by itself explain institutional silence in Rome, Antioch, or Smyrna; does not by itself drive G04 (built entirely from Ignatius and Polycarp, not Pliny); and does not by itself justify Persistence across</w:t>
      </w:r>
      <w:r>
        <w:t xml:space="preserve"> </w:t>
      </w:r>
      <w:r>
        <w:t xml:space="preserve">“</w:t>
      </w:r>
      <w:r>
        <w:t xml:space="preserve">both regions</w:t>
      </w:r>
      <w:r>
        <w:t xml:space="preserve">”</w:t>
      </w:r>
      <w:r>
        <w:t xml:space="preserve"> </w:t>
      </w:r>
      <w:r>
        <w:t xml:space="preserve">as claimed. Every piece of interaction, dependency, and explanatory work credited to G03 is done by the generalized reading — exactly the Contested layer, just as with G01.</w:t>
      </w:r>
      <w:r>
        <w:t xml:space="preserve"> </w:t>
      </w:r>
      <w:r>
        <w:rPr>
          <w:bCs/>
          <w:b/>
        </w:rPr>
        <w:t xml:space="preserve">Classified Supporting</w:t>
      </w:r>
      <w:r>
        <w:t xml:space="preserve">, on the same footing as G01: it organizes a real portion of the ecology (the state-pressure dimension, and specifically the Documented Pliny episode itself) and functions within the context this document’s remaining Primary gravities (G02, G07) establish, but the broader, persistent-organizing-force claim that would justify Primary does not clear the confidence bar once the Contested cross-episode synthesis is set aside.</w:t>
      </w:r>
    </w:p>
    <w:p>
      <w:r>
        <w:pict>
          <v:rect style="width:0;height:1.5pt" o:hralign="center" o:hrstd="t" o:hr="t"/>
        </w:pict>
      </w:r>
    </w:p>
    <w:bookmarkEnd w:id="23"/>
    <w:bookmarkStart w:id="24" w:name="Xb5db02aa87ca6b29dd596d39245e5748595a2af"/>
    <w:p>
      <w:pPr>
        <w:pStyle w:val="Heading3"/>
      </w:pPr>
      <w:r>
        <w:t xml:space="preserve">G04 — Martyrdom as Formation-Shaping Meaning-Response</w:t>
      </w:r>
    </w:p>
    <w:p>
      <w:pPr>
        <w:pStyle w:val="FirstParagraph"/>
      </w:pPr>
      <w:r>
        <w:rPr>
          <w:bCs/>
          <w:b/>
        </w:rPr>
        <w:t xml:space="preserve">Generated from:</w:t>
      </w:r>
      <w:r>
        <w:t xml:space="preserve"> </w:t>
      </w:r>
      <w:r>
        <w:t xml:space="preserve">Doc_01 Section 9’s expanded disclosure (Martyrdom of Polycarp ch. 18,</w:t>
      </w:r>
      <w:r>
        <w:t xml:space="preserve"> </w:t>
      </w:r>
      <w:r>
        <w:t xml:space="preserve">“</w:t>
      </w:r>
      <w:r>
        <w:t xml:space="preserve">more precious than the finest jewels</w:t>
      </w:r>
      <w:r>
        <w:t xml:space="preserve">”</w:t>
      </w:r>
      <w:r>
        <w:t xml:space="preserve">/</w:t>
      </w:r>
      <w:r>
        <w:rPr>
          <w:iCs/>
          <w:i/>
        </w:rPr>
        <w:t xml:space="preserve">dies natalis</w:t>
      </w:r>
      <w:r>
        <w:t xml:space="preserve">; Ignatius, Romans 4,</w:t>
      </w:r>
      <w:r>
        <w:t xml:space="preserve"> </w:t>
      </w:r>
      <w:r>
        <w:t xml:space="preserve">“</w:t>
      </w:r>
      <w:r>
        <w:t xml:space="preserve">food for wild beasts</w:t>
      </w:r>
      <w:r>
        <w:t xml:space="preserve">”</w:t>
      </w:r>
      <w:r>
        <w:t xml:space="preserve">); Ignatius’s own sustained rhetorical self-presentation throughout his corpus.</w:t>
      </w:r>
    </w:p>
    <w:p>
      <w:pPr>
        <w:pStyle w:val="BodyText"/>
      </w:pPr>
      <w:r>
        <w:rPr>
          <w:bCs/>
          <w:b/>
        </w:rPr>
        <w:t xml:space="preserve">Author Gravity risk:</w:t>
      </w:r>
      <w:r>
        <w:t xml:space="preserve"> </w:t>
      </w:r>
      <w:r>
        <w:t xml:space="preserve">High, flagged explicitly at generation. Within this world’s Native evidentiary base, this rests on exactly two data points — Ignatius’s own voice and the Martyrdom of Polycarp — both Strand A.</w:t>
      </w:r>
    </w:p>
    <w:p>
      <w:pPr>
        <w:numPr>
          <w:ilvl w:val="0"/>
          <w:numId w:val="1005"/>
        </w:numPr>
        <w:pStyle w:val="Compact"/>
      </w:pPr>
      <w:r>
        <w:rPr>
          <w:bCs/>
          <w:b/>
        </w:rPr>
        <w:t xml:space="preserve">Repetition:</w:t>
      </w:r>
      <w:r>
        <w:t xml:space="preserve"> </w:t>
      </w:r>
      <w:r>
        <w:t xml:space="preserve">Weak relative to G01–G03. Two data points, not the broad multi-stream recurrence the stronger candidates show.</w:t>
      </w:r>
    </w:p>
    <w:p>
      <w:pPr>
        <w:numPr>
          <w:ilvl w:val="0"/>
          <w:numId w:val="1005"/>
        </w:numPr>
        <w:pStyle w:val="Compact"/>
      </w:pPr>
      <w:r>
        <w:rPr>
          <w:bCs/>
          <w:b/>
        </w:rPr>
        <w:t xml:space="preserve">Dependency:</w:t>
      </w:r>
      <w:r>
        <w:t xml:space="preserve"> </w:t>
      </w:r>
      <w:r>
        <w:t xml:space="preserve">Real but narrower than it first appears: Ignatius uses his own impending martyrdom to reinforce his authority claims (G01) and his anti-docetic argument (G05), so this gravity’s dependency runs mostly</w:t>
      </w:r>
      <w:r>
        <w:t xml:space="preserve"> </w:t>
      </w:r>
      <w:r>
        <w:rPr>
          <w:iCs/>
          <w:i/>
        </w:rPr>
        <w:t xml:space="preserve">into</w:t>
      </w:r>
      <w:r>
        <w:t xml:space="preserve"> </w:t>
      </w:r>
      <w:r>
        <w:t xml:space="preserve">those two rather than the reverse. The liturgical commemoration this eventually produces (</w:t>
      </w:r>
      <w:r>
        <w:rPr>
          <w:iCs/>
          <w:i/>
        </w:rPr>
        <w:t xml:space="preserve">dies natalis</w:t>
      </w:r>
      <w:r>
        <w:t xml:space="preserve"> </w:t>
      </w:r>
      <w:r>
        <w:t xml:space="preserve">as a feast day) is genuine but belongs more to what this world hands off to World #2/#7 than to something this world’s own liturgical practice (G07) already organizes around — Doc_01’s own closing-boundary logic applies here too.</w:t>
      </w:r>
    </w:p>
    <w:p>
      <w:pPr>
        <w:numPr>
          <w:ilvl w:val="0"/>
          <w:numId w:val="1005"/>
        </w:numPr>
        <w:pStyle w:val="Compact"/>
      </w:pPr>
      <w:r>
        <w:rPr>
          <w:bCs/>
          <w:b/>
        </w:rPr>
        <w:t xml:space="preserve">Formation:</w:t>
      </w:r>
      <w:r>
        <w:t xml:space="preserve"> </w:t>
      </w:r>
      <w:r>
        <w:rPr>
          <w:bCs/>
          <w:b/>
        </w:rPr>
        <w:t xml:space="preserve">Clearly</w:t>
      </w:r>
      <w:r>
        <w:t xml:space="preserve"> </w:t>
      </w:r>
      <w:r>
        <w:t xml:space="preserve">formation-shaping</w:t>
      </w:r>
      <w:r>
        <w:t xml:space="preserve"> </w:t>
      </w:r>
      <w:r>
        <w:rPr>
          <w:iCs/>
          <w:i/>
        </w:rPr>
        <w:t xml:space="preserve">for the specific individuals in the record</w:t>
      </w:r>
      <w:r>
        <w:t xml:space="preserve"> </w:t>
      </w:r>
      <w:r>
        <w:t xml:space="preserve">(Ignatius, Polycarp); far less certain for the ordinary, non-elite, non-imminently-threatened member, exactly the source-asymmetry limitation named in Section 1 above.</w:t>
      </w:r>
    </w:p>
    <w:p>
      <w:pPr>
        <w:numPr>
          <w:ilvl w:val="0"/>
          <w:numId w:val="1005"/>
        </w:numPr>
        <w:pStyle w:val="Compact"/>
      </w:pPr>
      <w:r>
        <w:rPr>
          <w:bCs/>
          <w:b/>
        </w:rPr>
        <w:t xml:space="preserve">Explanatory:</w:t>
      </w:r>
      <w:r>
        <w:t xml:space="preserve"> </w:t>
      </w:r>
      <w:r>
        <w:t xml:space="preserve">Explains the rhetorical shape of Ignatius’s own letters well; does not explain Rome/Strand B material at all — 1 Clement and Hermas show no comparable martyr-piety content in Doc_02’s own treatment.</w:t>
      </w:r>
    </w:p>
    <w:p>
      <w:pPr>
        <w:numPr>
          <w:ilvl w:val="0"/>
          <w:numId w:val="1005"/>
        </w:numPr>
        <w:pStyle w:val="Compact"/>
      </w:pPr>
      <w:r>
        <w:rPr>
          <w:bCs/>
          <w:b/>
        </w:rPr>
        <w:t xml:space="preserve">Persistence:</w:t>
      </w:r>
      <w:r>
        <w:t xml:space="preserve"> </w:t>
      </w:r>
      <w:r>
        <w:t xml:space="preserve">Fails to clear a broad bar — visible in two individuals’ own experience, not</w:t>
      </w:r>
      <w:r>
        <w:t xml:space="preserve"> </w:t>
      </w:r>
      <w:r>
        <w:t xml:space="preserve">“</w:t>
      </w:r>
      <w:r>
        <w:t xml:space="preserve">across regions, communities, and evidence streams.</w:t>
      </w:r>
      <w:r>
        <w:t xml:space="preserve">”</w:t>
      </w:r>
    </w:p>
    <w:p>
      <w:pPr>
        <w:numPr>
          <w:ilvl w:val="0"/>
          <w:numId w:val="1005"/>
        </w:numPr>
        <w:pStyle w:val="Compact"/>
      </w:pPr>
      <w:r>
        <w:rPr>
          <w:bCs/>
          <w:b/>
        </w:rPr>
        <w:t xml:space="preserve">Interaction:</w:t>
      </w:r>
      <w:r>
        <w:t xml:space="preserve"> </w:t>
      </w:r>
      <w:r>
        <w:t xml:space="preserve">See Section 4.</w:t>
      </w:r>
    </w:p>
    <w:p>
      <w:pPr>
        <w:pStyle w:val="FirstParagraph"/>
      </w:pPr>
      <w:r>
        <w:rPr>
          <w:bCs/>
          <w:b/>
        </w:rPr>
        <w:t xml:space="preserve">Confidence supporting:</w:t>
      </w:r>
      <w:r>
        <w:t xml:space="preserve"> </w:t>
      </w:r>
      <w:r>
        <w:t xml:space="preserve">Contested/Inferential-Thin specifically on how</w:t>
      </w:r>
      <w:r>
        <w:t xml:space="preserve"> </w:t>
      </w:r>
      <w:r>
        <w:rPr>
          <w:iCs/>
          <w:i/>
        </w:rPr>
        <w:t xml:space="preserve">representative</w:t>
      </w:r>
      <w:r>
        <w:t xml:space="preserve"> </w:t>
      </w:r>
      <w:r>
        <w:t xml:space="preserve">this was of ordinary member experience — which is exactly Doc_01’s own disclosure caveat, carried forward rather than softened here.</w:t>
      </w:r>
    </w:p>
    <w:p>
      <w:pPr>
        <w:pStyle w:val="BodyText"/>
      </w:pPr>
      <w:r>
        <w:rPr>
          <w:bCs/>
          <w:b/>
        </w:rPr>
        <w:t xml:space="preserve">Cross-strand status:</w:t>
      </w:r>
      <w:r>
        <w:t xml:space="preserve"> </w:t>
      </w:r>
      <w:r>
        <w:t xml:space="preserve">Strand-bound. Both data points are Strand A; no Strand B equivalent is developed anywhere in Doc_02.</w:t>
      </w:r>
    </w:p>
    <w:p>
      <w:pPr>
        <w:pStyle w:val="BodyText"/>
      </w:pPr>
      <w:r>
        <w:rPr>
          <w:bCs/>
          <w:b/>
        </w:rPr>
        <w:t xml:space="preserve">Forces test:</w:t>
      </w:r>
      <w:r>
        <w:t xml:space="preserve"> </w:t>
      </w:r>
      <w:r>
        <w:t xml:space="preserve">This gravity</w:t>
      </w:r>
      <w:r>
        <w:t xml:space="preserve"> </w:t>
      </w:r>
      <w:r>
        <w:rPr>
          <w:iCs/>
          <w:i/>
        </w:rPr>
        <w:t xml:space="preserve">is</w:t>
      </w:r>
      <w:r>
        <w:t xml:space="preserve"> </w:t>
      </w:r>
      <w:r>
        <w:t xml:space="preserve">the meaning-making response to G03 — it intensifies in direct proportion to state pressure and does not appear to operate independently of it in this world’s own evidence.</w:t>
      </w:r>
    </w:p>
    <w:p>
      <w:pPr>
        <w:pStyle w:val="BodyText"/>
      </w:pPr>
      <w:r>
        <w:rPr>
          <w:bCs/>
          <w:b/>
        </w:rPr>
        <w:t xml:space="preserve">Classification:</w:t>
      </w:r>
      <w:r>
        <w:t xml:space="preserve"> </w:t>
      </w:r>
      <w:r>
        <w:rPr>
          <w:bCs/>
          <w:b/>
        </w:rPr>
        <w:t xml:space="preserve">Supporting</w:t>
      </w:r>
      <w:r>
        <w:t xml:space="preserve"> </w:t>
      </w:r>
      <w:r>
        <w:t xml:space="preserve">(not Primary, despite the vividness of its textual evidence).</w:t>
      </w:r>
    </w:p>
    <w:p>
      <w:pPr>
        <w:pStyle w:val="BodyText"/>
      </w:pPr>
      <w:r>
        <w:rPr>
          <w:bCs/>
          <w:b/>
        </w:rPr>
        <w:t xml:space="preserve">Confidence/Gravity Cross-Check:</w:t>
      </w:r>
      <w:r>
        <w:t xml:space="preserve"> </w:t>
      </w:r>
      <w:r>
        <w:t xml:space="preserve">This is the clearest case in this document of the Cross-Check doing its job. G04’s two data points are dramatic, quotable, and easy to over-read as organizing the whole world’s piety — but Repetition and Persistence are both thin, representativeness confidence is Contested/Inferential-Thin, and the gravity is Strand-bound. Classifying this Primary on the strength of how vivid it reads would be exactly the failure mode the Cross-Check exists to prevent. It is real, it is Supporting, and its true scope is narrower than its rhetorical volume suggests.</w:t>
      </w:r>
    </w:p>
    <w:p>
      <w:pPr>
        <w:pStyle w:val="BodyText"/>
      </w:pPr>
      <w:r>
        <w:rPr>
          <w:bCs/>
          <w:b/>
        </w:rPr>
        <w:t xml:space="preserve">Why Supporting rather than Tensional — reusable criterion, tested against G01, G03, G04, and G05:</w:t>
      </w:r>
      <w:r>
        <w:t xml:space="preserve"> </w:t>
      </w:r>
      <w:r>
        <w:t xml:space="preserve">the criterion does not track</w:t>
      </w:r>
      <w:r>
        <w:t xml:space="preserve"> </w:t>
      </w:r>
      <w:r>
        <w:rPr>
          <w:iCs/>
          <w:i/>
        </w:rPr>
        <w:t xml:space="preserve">whether something remains unresolved</w:t>
      </w:r>
      <w:r>
        <w:t xml:space="preserve"> </w:t>
      </w:r>
      <w:r>
        <w:t xml:space="preserve">— every non-Primary gravity here has some unresolved dimension. It tracks</w:t>
      </w:r>
      <w:r>
        <w:t xml:space="preserve"> </w:t>
      </w:r>
      <w:r>
        <w:rPr>
          <w:bCs/>
          <w:b/>
        </w:rPr>
        <w:t xml:space="preserve">what level of the claim is unresolved, and whether that level’s own six-test results are themselves confident or merely plausible.</w:t>
      </w:r>
      <w:r>
        <w:t xml:space="preserve"> </w:t>
      </w:r>
      <w:r>
        <w:t xml:space="preserve">For G01 and G03, the coarse-grained claim (authority had to be actively organized at all; real legal jeopardy existed and shaped behavior) is itself Widely Accepted or Documented; what remains unresolved is only the fine-grained resolution. For G04, the coarse-grained claim (martyrdom-meaning was broadly formation-shaping across this world’s communities) is Contested/Inferential-Thin — but the narrower claim, that it shaped these two specific people’s own self-presentation, is not merely asserted as a fallback: G04’s own</w:t>
      </w:r>
      <w:r>
        <w:t xml:space="preserve"> </w:t>
      </w:r>
      <w:r>
        <w:rPr>
          <w:bCs/>
          <w:b/>
        </w:rPr>
        <w:t xml:space="preserve">Formation test result reads</w:t>
      </w:r>
      <w:r>
        <w:rPr>
          <w:bCs/>
          <w:b/>
        </w:rPr>
        <w:t xml:space="preserve"> </w:t>
      </w:r>
      <w:r>
        <w:rPr>
          <w:bCs/>
          <w:b/>
        </w:rPr>
        <w:t xml:space="preserve">“</w:t>
      </w:r>
      <w:r>
        <w:rPr>
          <w:bCs/>
          <w:b/>
        </w:rPr>
        <w:t xml:space="preserve">Clearly formation-shaping for the specific individuals in the record</w:t>
      </w:r>
      <w:r>
        <w:rPr>
          <w:bCs/>
          <w:b/>
        </w:rPr>
        <w:t xml:space="preserve">”</w:t>
      </w:r>
      <w:r>
        <w:t xml:space="preserve"> </w:t>
      </w:r>
      <w:r>
        <w:t xml:space="preserve">—</w:t>
      </w:r>
      <w:r>
        <w:t xml:space="preserve"> </w:t>
      </w:r>
      <w:r>
        <w:t xml:space="preserve">“</w:t>
      </w:r>
      <w:r>
        <w:t xml:space="preserve">Clearly,</w:t>
      </w:r>
      <w:r>
        <w:t xml:space="preserve">”</w:t>
      </w:r>
      <w:r>
        <w:t xml:space="preserve"> </w:t>
      </w:r>
      <w:r>
        <w:t xml:space="preserve">not</w:t>
      </w:r>
      <w:r>
        <w:t xml:space="preserve"> </w:t>
      </w:r>
      <w:r>
        <w:t xml:space="preserve">“</w:t>
      </w:r>
      <w:r>
        <w:t xml:space="preserve">plausibly.</w:t>
      </w:r>
      <w:r>
        <w:t xml:space="preserve">”</w:t>
      </w:r>
      <w:r>
        <w:t xml:space="preserve"> </w:t>
      </w:r>
      <w:r>
        <w:t xml:space="preserve">That narrow claim clears Documented-level confidence on its own terms, which is what earns G04 its Supporting classification.</w:t>
      </w:r>
      <w:r>
        <w:t xml:space="preserve"> </w:t>
      </w:r>
      <w:r>
        <w:rPr>
          <w:bCs/>
          <w:b/>
        </w:rPr>
        <w:t xml:space="preserve">G05 does not have an analogous narrow claim that clears the same bar, and this is demonstrable from its own Formation-test result rather than merely asserted:</w:t>
      </w:r>
      <w:r>
        <w:t xml:space="preserve"> </w:t>
      </w:r>
      <w:r>
        <w:t xml:space="preserve">G05’s Formation test reads</w:t>
      </w:r>
      <w:r>
        <w:t xml:space="preserve"> </w:t>
      </w:r>
      <w:r>
        <w:rPr>
          <w:bCs/>
          <w:b/>
        </w:rPr>
        <w:t xml:space="preserve">“</w:t>
      </w:r>
      <w:r>
        <w:rPr>
          <w:bCs/>
          <w:b/>
        </w:rPr>
        <w:t xml:space="preserve">Plausible for Ignatius’s own direct addressees; unestablished more broadly</w:t>
      </w:r>
      <w:r>
        <w:rPr>
          <w:bCs/>
          <w:b/>
        </w:rPr>
        <w:t xml:space="preserve">”</w:t>
      </w:r>
      <w:r>
        <w:t xml:space="preserve"> </w:t>
      </w:r>
      <w:r>
        <w:t xml:space="preserve">—</w:t>
      </w:r>
      <w:r>
        <w:t xml:space="preserve"> </w:t>
      </w:r>
      <w:r>
        <w:t xml:space="preserve">“</w:t>
      </w:r>
      <w:r>
        <w:t xml:space="preserve">Plausible,</w:t>
      </w:r>
      <w:r>
        <w:t xml:space="preserve">”</w:t>
      </w:r>
      <w:r>
        <w:t xml:space="preserve"> </w:t>
      </w:r>
      <w:r>
        <w:t xml:space="preserve">not</w:t>
      </w:r>
      <w:r>
        <w:t xml:space="preserve"> </w:t>
      </w:r>
      <w:r>
        <w:t xml:space="preserve">“</w:t>
      </w:r>
      <w:r>
        <w:t xml:space="preserve">Clearly.</w:t>
      </w:r>
      <w:r>
        <w:t xml:space="preserve">”</w:t>
      </w:r>
      <w:r>
        <w:t xml:space="preserve"> </w:t>
      </w:r>
      <w:r>
        <w:t xml:space="preserve">Even at its narrowest possible scope (Ignatius’s own direct addressees, the smallest population G04’s narrow claim is tested against), G05’s own six-test writeup hedges its Formation result at Contested/Dominant-Modern-Reconstruction confidence rather than Documented. There is no level of grain, coarse or fine, at which G05 clears the bar G04 clears at its narrow end. That is the reusable distinction, grounded in the two candidates’ own stated test results rather than in a restated assertion: Supporting requires a genuine claim, at some level of grain, whose own six-test language reaches Documented/Widely Accepted confidence and does real organizing work at that level. Tensional means no level of the claim — checked against its own stated test results, not just against the coarse claim — clears that bar.</w:t>
      </w:r>
    </w:p>
    <w:p>
      <w:r>
        <w:pict>
          <v:rect style="width:0;height:1.5pt" o:hralign="center" o:hrstd="t" o:hr="t"/>
        </w:pict>
      </w:r>
    </w:p>
    <w:bookmarkEnd w:id="24"/>
    <w:bookmarkStart w:id="25" w:name="X71106e422c33d53a7f094eba3b8a4104fe8844d"/>
    <w:p>
      <w:pPr>
        <w:pStyle w:val="Heading3"/>
      </w:pPr>
      <w:r>
        <w:t xml:space="preserve">G05 — Boundary-Drawing Against Contemporary Rival Movements (anti-docetic polemic)</w:t>
      </w:r>
    </w:p>
    <w:p>
      <w:pPr>
        <w:pStyle w:val="FirstParagraph"/>
      </w:pPr>
      <w:r>
        <w:rPr>
          <w:bCs/>
          <w:b/>
        </w:rPr>
        <w:t xml:space="preserve">Generated from:</w:t>
      </w:r>
      <w:r>
        <w:t xml:space="preserve"> </w:t>
      </w:r>
      <w:r>
        <w:t xml:space="preserve">Ignatius’s anti-docetic argument (present across several of his letters); Doc_01 Section 8.3’s disclosure that Marcionite, Valentinian/Gnostic, and Montanist movements were live, contemporary, geographically overlapping rivals, not later or external threats.</w:t>
      </w:r>
    </w:p>
    <w:p>
      <w:pPr>
        <w:pStyle w:val="BodyText"/>
      </w:pPr>
      <w:r>
        <w:rPr>
          <w:bCs/>
          <w:b/>
        </w:rPr>
        <w:t xml:space="preserve">Author Gravity risk:</w:t>
      </w:r>
      <w:r>
        <w:t xml:space="preserve"> </w:t>
      </w:r>
      <w:r>
        <w:t xml:space="preserve">High, flagged at generation. Within Doc_02’s own Native evidence streams, this candidate is substantively developed by exactly one voice (Ignatius). Doc_01 Section 8.3 is comparative/contextual analysis, not itself a Doc_02 evidence stream with independent primary-voice support — this document does not let Doc_01’s synthesis substitute for the Repetition test’s actual requirement (recurrence across Doc_02’s own evidence streams).</w:t>
      </w:r>
    </w:p>
    <w:p>
      <w:pPr>
        <w:numPr>
          <w:ilvl w:val="0"/>
          <w:numId w:val="1006"/>
        </w:numPr>
        <w:pStyle w:val="Compact"/>
      </w:pPr>
      <w:r>
        <w:rPr>
          <w:bCs/>
          <w:b/>
        </w:rPr>
        <w:t xml:space="preserve">Repetition:</w:t>
      </w:r>
      <w:r>
        <w:t xml:space="preserve"> </w:t>
      </w:r>
      <w:r>
        <w:t xml:space="preserve">Weak. Essentially one voice within the Native Registry.</w:t>
      </w:r>
    </w:p>
    <w:p>
      <w:pPr>
        <w:numPr>
          <w:ilvl w:val="0"/>
          <w:numId w:val="1006"/>
        </w:numPr>
        <w:pStyle w:val="Compact"/>
      </w:pPr>
      <w:r>
        <w:rPr>
          <w:bCs/>
          <w:b/>
        </w:rPr>
        <w:t xml:space="preserve">Dependency:</w:t>
      </w:r>
      <w:r>
        <w:t xml:space="preserve"> </w:t>
      </w:r>
      <w:r>
        <w:t xml:space="preserve">Some — Ignatius ties his</w:t>
      </w:r>
      <w:r>
        <w:t xml:space="preserve"> </w:t>
      </w:r>
      <w:r>
        <w:t xml:space="preserve">“</w:t>
      </w:r>
      <w:r>
        <w:t xml:space="preserve">obey the bishop</w:t>
      </w:r>
      <w:r>
        <w:t xml:space="preserve">”</w:t>
      </w:r>
      <w:r>
        <w:t xml:space="preserve"> </w:t>
      </w:r>
      <w:r>
        <w:t xml:space="preserve">program directly to anti-docetic argument (G01 interaction), but this dependency runs mostly in one direction.</w:t>
      </w:r>
    </w:p>
    <w:p>
      <w:pPr>
        <w:numPr>
          <w:ilvl w:val="0"/>
          <w:numId w:val="1006"/>
        </w:numPr>
        <w:pStyle w:val="Compact"/>
      </w:pPr>
      <w:r>
        <w:rPr>
          <w:bCs/>
          <w:b/>
        </w:rPr>
        <w:t xml:space="preserve">Formation:</w:t>
      </w:r>
      <w:r>
        <w:t xml:space="preserve"> </w:t>
      </w:r>
      <w:r>
        <w:t xml:space="preserve">Plausible for Ignatius’s own direct addressees; unestablished more broadly.</w:t>
      </w:r>
    </w:p>
    <w:p>
      <w:pPr>
        <w:numPr>
          <w:ilvl w:val="0"/>
          <w:numId w:val="1006"/>
        </w:numPr>
        <w:pStyle w:val="Compact"/>
      </w:pPr>
      <w:r>
        <w:rPr>
          <w:bCs/>
          <w:b/>
        </w:rPr>
        <w:t xml:space="preserve">Explanatory:</w:t>
      </w:r>
      <w:r>
        <w:t xml:space="preserve"> </w:t>
      </w:r>
      <w:r>
        <w:t xml:space="preserve">Explains Ignatius’s own rhetoric; does not explain Rome/Strand B material, which shows no comparable content in Doc_02’s treatment.</w:t>
      </w:r>
    </w:p>
    <w:p>
      <w:pPr>
        <w:numPr>
          <w:ilvl w:val="0"/>
          <w:numId w:val="1006"/>
        </w:numPr>
        <w:pStyle w:val="Compact"/>
      </w:pPr>
      <w:r>
        <w:rPr>
          <w:bCs/>
          <w:b/>
        </w:rPr>
        <w:t xml:space="preserve">Persistence:</w:t>
      </w:r>
      <w:r>
        <w:t xml:space="preserve"> </w:t>
      </w:r>
      <w:r>
        <w:t xml:space="preserve">Fails broadly — not attested outside Ignatius within the Native set.</w:t>
      </w:r>
    </w:p>
    <w:p>
      <w:pPr>
        <w:numPr>
          <w:ilvl w:val="0"/>
          <w:numId w:val="1006"/>
        </w:numPr>
        <w:pStyle w:val="Compact"/>
      </w:pPr>
      <w:r>
        <w:rPr>
          <w:bCs/>
          <w:b/>
        </w:rPr>
        <w:t xml:space="preserve">Interaction:</w:t>
      </w:r>
      <w:r>
        <w:t xml:space="preserve"> </w:t>
      </w:r>
      <w:r>
        <w:t xml:space="preserve">See Section 4.</w:t>
      </w:r>
    </w:p>
    <w:p>
      <w:pPr>
        <w:pStyle w:val="FirstParagraph"/>
      </w:pPr>
      <w:r>
        <w:rPr>
          <w:bCs/>
          <w:b/>
        </w:rPr>
        <w:t xml:space="preserve">Confidence supporting:</w:t>
      </w:r>
      <w:r>
        <w:t xml:space="preserve"> </w:t>
      </w:r>
      <w:r>
        <w:t xml:space="preserve">Contested/Inferential-Thin for representativeness beyond Ignatius’s own addressees.</w:t>
      </w:r>
    </w:p>
    <w:p>
      <w:pPr>
        <w:pStyle w:val="BodyText"/>
      </w:pPr>
      <w:r>
        <w:rPr>
          <w:bCs/>
          <w:b/>
        </w:rPr>
        <w:t xml:space="preserve">Cross-strand status:</w:t>
      </w:r>
      <w:r>
        <w:t xml:space="preserve"> </w:t>
      </w:r>
      <w:r>
        <w:t xml:space="preserve">Strand-bound (Strand A only).</w:t>
      </w:r>
    </w:p>
    <w:p>
      <w:pPr>
        <w:pStyle w:val="BodyText"/>
      </w:pPr>
      <w:r>
        <w:rPr>
          <w:bCs/>
          <w:b/>
        </w:rPr>
        <w:t xml:space="preserve">Forces test:</w:t>
      </w:r>
      <w:r>
        <w:t xml:space="preserve"> </w:t>
      </w:r>
      <w:r>
        <w:t xml:space="preserve">Plausibly connects to the same eyewitness-generation-loss force behind G01 (doctrinal drift anxiety once living apostolic testimony recedes) — but this specific causal link is this document’s own inference, not something Doc_02 independently traces, and is flagged as such rather than presented as established.</w:t>
      </w:r>
    </w:p>
    <w:p>
      <w:pPr>
        <w:pStyle w:val="BodyText"/>
      </w:pPr>
      <w:r>
        <w:rPr>
          <w:bCs/>
          <w:b/>
        </w:rPr>
        <w:t xml:space="preserve">Classification:</w:t>
      </w:r>
      <w:r>
        <w:t xml:space="preserve"> </w:t>
      </w:r>
      <w:r>
        <w:rPr>
          <w:bCs/>
          <w:b/>
        </w:rPr>
        <w:t xml:space="preserve">Tensional.</w:t>
      </w:r>
    </w:p>
    <w:p>
      <w:pPr>
        <w:pStyle w:val="BodyText"/>
      </w:pPr>
      <w:r>
        <w:rPr>
          <w:bCs/>
          <w:b/>
        </w:rPr>
        <w:t xml:space="preserve">Confidence/Gravity Cross-Check:</w:t>
      </w:r>
      <w:r>
        <w:t xml:space="preserve"> </w:t>
      </w:r>
      <w:r>
        <w:t xml:space="preserve">G05’s own</w:t>
      </w:r>
      <w:r>
        <w:t xml:space="preserve"> </w:t>
      </w:r>
      <w:r>
        <w:rPr>
          <w:bCs/>
          <w:b/>
        </w:rPr>
        <w:t xml:space="preserve">Formation test result reads</w:t>
      </w:r>
      <w:r>
        <w:rPr>
          <w:bCs/>
          <w:b/>
        </w:rPr>
        <w:t xml:space="preserve"> </w:t>
      </w:r>
      <w:r>
        <w:rPr>
          <w:bCs/>
          <w:b/>
        </w:rPr>
        <w:t xml:space="preserve">“</w:t>
      </w:r>
      <w:r>
        <w:rPr>
          <w:bCs/>
          <w:b/>
        </w:rPr>
        <w:t xml:space="preserve">Plausible… unestablished,</w:t>
      </w:r>
      <w:r>
        <w:rPr>
          <w:bCs/>
          <w:b/>
        </w:rPr>
        <w:t xml:space="preserve">”</w:t>
      </w:r>
      <w:r>
        <w:t xml:space="preserve"> </w:t>
      </w:r>
      <w:r>
        <w:t xml:space="preserve">never rising to the</w:t>
      </w:r>
      <w:r>
        <w:t xml:space="preserve"> </w:t>
      </w:r>
      <w:r>
        <w:t xml:space="preserve">“</w:t>
      </w:r>
      <w:r>
        <w:t xml:space="preserve">Clearly</w:t>
      </w:r>
      <w:r>
        <w:t xml:space="preserve">”</w:t>
      </w:r>
      <w:r>
        <w:t xml:space="preserve"> </w:t>
      </w:r>
      <w:r>
        <w:t xml:space="preserve">language G04’s Formation result uses even at its narrowest scope (Ignatius’s own direct addressees — the same population). Thin, single-voice evidence prevents Primary or confident Supporting classification at any grain; the underlying phenomenon (a real, live, unsettled boundary against contemporary rivals) is exactly what a Tensional gravity is for — a persistent, unresolved pressure that keeps this world’s ecology from reading as already-settled orthodoxy, without claiming the organizing weight Primary or Supporting would imply. See G04’s entry for the full reusable Supporting/Tensional criterion this classification is tested against.</w:t>
      </w:r>
    </w:p>
    <w:p>
      <w:r>
        <w:pict>
          <v:rect style="width:0;height:1.5pt" o:hralign="center" o:hrstd="t" o:hr="t"/>
        </w:pict>
      </w:r>
    </w:p>
    <w:bookmarkEnd w:id="25"/>
    <w:bookmarkStart w:id="26" w:name="X8aa58d955c3501136f7294dd668cb5f4dcce506"/>
    <w:p>
      <w:pPr>
        <w:pStyle w:val="Heading3"/>
      </w:pPr>
      <w:r>
        <w:t xml:space="preserve">G06 — Household (</w:t>
      </w:r>
      <w:r>
        <w:rPr>
          <w:iCs/>
          <w:i/>
        </w:rPr>
        <w:t xml:space="preserve">oikos</w:t>
      </w:r>
      <w:r>
        <w:t xml:space="preserve">) as Basic Social/Meeting Unit — tested, does not reach gravity status</w:t>
      </w:r>
    </w:p>
    <w:p>
      <w:pPr>
        <w:pStyle w:val="FirstParagraph"/>
      </w:pPr>
      <w:r>
        <w:rPr>
          <w:bCs/>
          <w:b/>
        </w:rPr>
        <w:t xml:space="preserve">Generated from:</w:t>
      </w:r>
      <w:r>
        <w:t xml:space="preserve"> </w:t>
      </w:r>
      <w:r>
        <w:t xml:space="preserve">Secondary Scholarship (Meeks S12, Gehring S13, Balch S15, MacDonald S18); Doc_01 Geographic Scope’s</w:t>
      </w:r>
      <w:r>
        <w:t xml:space="preserve"> </w:t>
      </w:r>
      <w:r>
        <w:t xml:space="preserve">“</w:t>
      </w:r>
      <w:r>
        <w:t xml:space="preserve">household as replicated cell</w:t>
      </w:r>
      <w:r>
        <w:t xml:space="preserve">”</w:t>
      </w:r>
      <w:r>
        <w:t xml:space="preserve"> </w:t>
      </w:r>
      <w:r>
        <w:t xml:space="preserve">framing.</w:t>
      </w:r>
    </w:p>
    <w:p>
      <w:pPr>
        <w:pStyle w:val="BodyText"/>
      </w:pPr>
      <w:r>
        <w:rPr>
          <w:bCs/>
          <w:b/>
        </w:rPr>
        <w:t xml:space="preserve">Author Gravity risk:</w:t>
      </w:r>
      <w:r>
        <w:t xml:space="preserve"> </w:t>
      </w:r>
      <w:r>
        <w:t xml:space="preserve">Flagged at generation as severe, and confirmed rather than resolved by testing. This candidate rests almost entirely on secondary scholarly reconstruction, not primary-voice attestation. On closer check (prompted by re-examining what Doc_02 Section 7 actually cites for</w:t>
      </w:r>
      <w:r>
        <w:t xml:space="preserve"> </w:t>
      </w:r>
      <w:r>
        <w:t xml:space="preserve">“</w:t>
      </w:r>
      <w:r>
        <w:t xml:space="preserve">household codes</w:t>
      </w:r>
      <w:r>
        <w:t xml:space="preserve">”</w:t>
      </w:r>
      <w:r>
        <w:t xml:space="preserve">): the classic household-code texts are Colossians, Ephesians, and 1 Peter — none of which are among this world’s own six primary voices (Didache, 1 Clement, Ignatius, Polycarp, Hermas, Justin), and none of which have a Registry row in this world’s Source Registry at all. Doc_02 cites household-code</w:t>
      </w:r>
      <w:r>
        <w:t xml:space="preserve"> </w:t>
      </w:r>
      <w:r>
        <w:rPr>
          <w:iCs/>
          <w:i/>
        </w:rPr>
        <w:t xml:space="preserve">scholarship</w:t>
      </w:r>
      <w:r>
        <w:t xml:space="preserve"> </w:t>
      </w:r>
      <w:r>
        <w:t xml:space="preserve">discussing those</w:t>
      </w:r>
      <w:r>
        <w:t xml:space="preserve"> </w:t>
      </w:r>
      <w:r>
        <w:rPr>
          <w:iCs/>
          <w:i/>
        </w:rPr>
        <w:t xml:space="preserve">other</w:t>
      </w:r>
      <w:r>
        <w:t xml:space="preserve"> </w:t>
      </w:r>
      <w:r>
        <w:t xml:space="preserve">texts, not this world’s own primary voices directly attesting household-based organization. This is the same category of gap Doc_03 Section 3 already found for</w:t>
      </w:r>
      <w:r>
        <w:t xml:space="preserve"> </w:t>
      </w:r>
      <w:r>
        <w:t xml:space="preserve">“</w:t>
      </w:r>
      <w:r>
        <w:t xml:space="preserve">house church</w:t>
      </w:r>
      <w:r>
        <w:t xml:space="preserve">”</w:t>
      </w:r>
      <w:r>
        <w:t xml:space="preserve">/</w:t>
      </w:r>
      <w:r>
        <w:rPr>
          <w:iCs/>
          <w:i/>
        </w:rPr>
        <w:t xml:space="preserve">oikos</w:t>
      </w:r>
      <w:r>
        <w:t xml:space="preserve"> </w:t>
      </w:r>
      <w:r>
        <w:t xml:space="preserve">as a lexicon candidate — tested here independently and reaching the same conclusion by a different route.</w:t>
      </w:r>
    </w:p>
    <w:p>
      <w:pPr>
        <w:numPr>
          <w:ilvl w:val="0"/>
          <w:numId w:val="1007"/>
        </w:numPr>
        <w:pStyle w:val="Compact"/>
      </w:pPr>
      <w:r>
        <w:rPr>
          <w:bCs/>
          <w:b/>
        </w:rPr>
        <w:t xml:space="preserve">Repetition:</w:t>
      </w:r>
      <w:r>
        <w:t xml:space="preserve"> </w:t>
      </w:r>
      <w:r>
        <w:t xml:space="preserve">Fails within the Native primary-voice set specifically.</w:t>
      </w:r>
    </w:p>
    <w:p>
      <w:pPr>
        <w:numPr>
          <w:ilvl w:val="0"/>
          <w:numId w:val="1007"/>
        </w:numPr>
        <w:pStyle w:val="Compact"/>
      </w:pPr>
      <w:r>
        <w:rPr>
          <w:bCs/>
          <w:b/>
        </w:rPr>
        <w:t xml:space="preserve">Dependency:</w:t>
      </w:r>
      <w:r>
        <w:t xml:space="preserve"> </w:t>
      </w:r>
      <w:r>
        <w:t xml:space="preserve">Plausible in the abstract (meetings had to happen somewhere) but not traceable to specific Native evidence beyond inference.</w:t>
      </w:r>
    </w:p>
    <w:p>
      <w:pPr>
        <w:numPr>
          <w:ilvl w:val="0"/>
          <w:numId w:val="1007"/>
        </w:numPr>
        <w:pStyle w:val="Compact"/>
      </w:pPr>
      <w:r>
        <w:rPr>
          <w:bCs/>
          <w:b/>
        </w:rPr>
        <w:t xml:space="preserve">Formation, Explanatory, Persistence:</w:t>
      </w:r>
      <w:r>
        <w:t xml:space="preserve"> </w:t>
      </w:r>
      <w:r>
        <w:t xml:space="preserve">Not independently testable against this world’s own primary voices given the above gap.</w:t>
      </w:r>
    </w:p>
    <w:p>
      <w:pPr>
        <w:pStyle w:val="FirstParagraph"/>
      </w:pPr>
      <w:r>
        <w:rPr>
          <w:bCs/>
          <w:b/>
        </w:rPr>
        <w:t xml:space="preserve">Confidence supporting:</w:t>
      </w:r>
      <w:r>
        <w:t xml:space="preserve"> </w:t>
      </w:r>
      <w:r>
        <w:t xml:space="preserve">Inferential-Thin, and mediated almost entirely through secondary scholarship discussing texts outside this world’s own Registry.</w:t>
      </w:r>
    </w:p>
    <w:p>
      <w:pPr>
        <w:pStyle w:val="BodyText"/>
      </w:pPr>
      <w:r>
        <w:rPr>
          <w:bCs/>
          <w:b/>
        </w:rPr>
        <w:t xml:space="preserve">Cross-strand status:</w:t>
      </w:r>
      <w:r>
        <w:t xml:space="preserve"> </w:t>
      </w:r>
      <w:r>
        <w:t xml:space="preserve">Not meaningfully assessable given the underlying evidentiary gap.</w:t>
      </w:r>
    </w:p>
    <w:p>
      <w:pPr>
        <w:pStyle w:val="BodyText"/>
      </w:pPr>
      <w:r>
        <w:rPr>
          <w:bCs/>
          <w:b/>
        </w:rPr>
        <w:t xml:space="preserve">Forces test:</w:t>
      </w:r>
      <w:r>
        <w:t xml:space="preserve"> </w:t>
      </w:r>
      <w:r>
        <w:t xml:space="preserve">Not applicable — a candidate that cannot pass Repetition against this world’s own primary voices is not carried into forces testing.</w:t>
      </w:r>
    </w:p>
    <w:p>
      <w:pPr>
        <w:pStyle w:val="BodyText"/>
      </w:pPr>
      <w:r>
        <w:rPr>
          <w:bCs/>
          <w:b/>
        </w:rPr>
        <w:t xml:space="preserve">Classification:</w:t>
      </w:r>
      <w:r>
        <w:t xml:space="preserve"> </w:t>
      </w:r>
      <w:r>
        <w:rPr>
          <w:bCs/>
          <w:b/>
        </w:rPr>
        <w:t xml:space="preserve">Does not reach gravity status.</w:t>
      </w:r>
      <w:r>
        <w:t xml:space="preserve"> </w:t>
      </w:r>
      <w:r>
        <w:t xml:space="preserve">Logged here rather than dropped silently, per this step’s own discipline. This is not a claim that households were unimportant to how these communities actually met — it is a claim that</w:t>
      </w:r>
      <w:r>
        <w:t xml:space="preserve"> </w:t>
      </w:r>
      <w:r>
        <w:rPr>
          <w:iCs/>
          <w:i/>
        </w:rPr>
        <w:t xml:space="preserve">this document’s own evidentiary base</w:t>
      </w:r>
      <w:r>
        <w:t xml:space="preserve">, as currently built, cannot independently establish it as a gravity rather than an imported modern historiographical frame. This document’s Registry-based Repetition testing</w:t>
      </w:r>
      <w:r>
        <w:t xml:space="preserve"> </w:t>
      </w:r>
      <w:r>
        <w:rPr>
          <w:bCs/>
          <w:b/>
        </w:rPr>
        <w:t xml:space="preserve">confirms, via an independently-run test, the same underlying evidentiary gap</w:t>
      </w:r>
      <w:r>
        <w:t xml:space="preserve"> </w:t>
      </w:r>
      <w:r>
        <w:t xml:space="preserve">Doc_03 identified by a different method (a lexicon-vocabulary lookup) — both draw on the same single underlying fact (the household-code texts have no Registry row in this world): one fact, verified twice by different means, not two convergent lines of evidence.</w:t>
      </w:r>
    </w:p>
    <w:p>
      <w:pPr>
        <w:pStyle w:val="BodyText"/>
      </w:pPr>
      <w:r>
        <w:rPr>
          <w:bCs/>
          <w:b/>
        </w:rPr>
        <w:t xml:space="preserve">Confidence/Gravity Cross-Check:</w:t>
      </w:r>
      <w:r>
        <w:t xml:space="preserve"> </w:t>
      </w:r>
      <w:r>
        <w:t xml:space="preserve">N/A — did not reach classification.</w:t>
      </w:r>
    </w:p>
    <w:p>
      <w:r>
        <w:pict>
          <v:rect style="width:0;height:1.5pt" o:hralign="center" o:hrstd="t" o:hr="t"/>
        </w:pict>
      </w:r>
    </w:p>
    <w:bookmarkEnd w:id="26"/>
    <w:bookmarkStart w:id="27" w:name="X318386863a5bf0deb9566371d4477391c7aa8b4"/>
    <w:p>
      <w:pPr>
        <w:pStyle w:val="Heading3"/>
      </w:pPr>
      <w:r>
        <w:t xml:space="preserve">G07 — Liturgical Practice (Eucharist) as Site of Variation and Convergence</w:t>
      </w:r>
    </w:p>
    <w:p>
      <w:pPr>
        <w:pStyle w:val="FirstParagraph"/>
      </w:pPr>
      <w:r>
        <w:rPr>
          <w:bCs/>
          <w:b/>
        </w:rPr>
        <w:t xml:space="preserve">Generated from:</w:t>
      </w:r>
      <w:r>
        <w:t xml:space="preserve"> </w:t>
      </w:r>
      <w:r>
        <w:t xml:space="preserve">Didache 9–10 (P01), Ignatius</w:t>
      </w:r>
      <w:r>
        <w:t xml:space="preserve"> </w:t>
      </w:r>
      <w:r>
        <w:rPr>
          <w:iCs/>
          <w:i/>
        </w:rPr>
        <w:t xml:space="preserve">Smyrnaeans</w:t>
      </w:r>
      <w:r>
        <w:t xml:space="preserve"> </w:t>
      </w:r>
      <w:r>
        <w:t xml:space="preserve">8 (P03), Justin</w:t>
      </w:r>
      <w:r>
        <w:t xml:space="preserve"> </w:t>
      </w:r>
      <w:r>
        <w:rPr>
          <w:iCs/>
          <w:i/>
        </w:rPr>
        <w:t xml:space="preserve">First Apology</w:t>
      </w:r>
      <w:r>
        <w:t xml:space="preserve"> </w:t>
      </w:r>
      <w:r>
        <w:t xml:space="preserve">65–67 (P06) — three independent primary voices; Doc_02 Section 4 (a full dedicated Liturgical Evidence section); Doc_03’s own borderline-Tier-1 eucharistia entry.</w:t>
      </w:r>
    </w:p>
    <w:p>
      <w:pPr>
        <w:pStyle w:val="BodyText"/>
      </w:pPr>
      <w:r>
        <w:rPr>
          <w:bCs/>
          <w:b/>
        </w:rPr>
        <w:t xml:space="preserve">Author Gravity risk:</w:t>
      </w:r>
      <w:r>
        <w:t xml:space="preserve"> </w:t>
      </w:r>
      <w:r>
        <w:t xml:space="preserve">Moderate. Three independent voices reduce single-source risk, though Justin’s fuller description carries its own well-flagged over-generalization risk (Bradshaw vs. Ferguson).</w:t>
      </w:r>
    </w:p>
    <w:p>
      <w:pPr>
        <w:numPr>
          <w:ilvl w:val="0"/>
          <w:numId w:val="1008"/>
        </w:numPr>
        <w:pStyle w:val="Compact"/>
      </w:pPr>
      <w:r>
        <w:rPr>
          <w:bCs/>
          <w:b/>
        </w:rPr>
        <w:t xml:space="preserve">Repetition:</w:t>
      </w:r>
      <w:r>
        <w:t xml:space="preserve"> </w:t>
      </w:r>
      <w:r>
        <w:t xml:space="preserve">Passes strongly — three voices, cross-regional (Syria-adjacent Didache, Antioch Ignatius, Rome Justin).</w:t>
      </w:r>
    </w:p>
    <w:p>
      <w:pPr>
        <w:numPr>
          <w:ilvl w:val="0"/>
          <w:numId w:val="1008"/>
        </w:numPr>
        <w:pStyle w:val="Compact"/>
      </w:pPr>
      <w:r>
        <w:rPr>
          <w:bCs/>
          <w:b/>
        </w:rPr>
        <w:t xml:space="preserve">Dependency:</w:t>
      </w:r>
      <w:r>
        <w:t xml:space="preserve"> </w:t>
      </w:r>
      <w:r>
        <w:t xml:space="preserve">Passes. Communal boundary-marking depends on it (Ignatius’s</w:t>
      </w:r>
      <w:r>
        <w:t xml:space="preserve"> </w:t>
      </w:r>
      <w:r>
        <w:t xml:space="preserve">“</w:t>
      </w:r>
      <w:r>
        <w:t xml:space="preserve">one eucharist,</w:t>
      </w:r>
      <w:r>
        <w:t xml:space="preserve">”</w:t>
      </w:r>
      <w:r>
        <w:t xml:space="preserve"> </w:t>
      </w:r>
      <w:r>
        <w:t xml:space="preserve">per Doc_03’s own corrected citation to Philadelphians 4, is simultaneously a G01 and G05 move); basic worship-gathering structure depends on it.</w:t>
      </w:r>
    </w:p>
    <w:p>
      <w:pPr>
        <w:numPr>
          <w:ilvl w:val="0"/>
          <w:numId w:val="1008"/>
        </w:numPr>
        <w:pStyle w:val="Compact"/>
      </w:pPr>
      <w:r>
        <w:rPr>
          <w:bCs/>
          <w:b/>
        </w:rPr>
        <w:t xml:space="preserve">Formation:</w:t>
      </w:r>
      <w:r>
        <w:t xml:space="preserve"> </w:t>
      </w:r>
      <w:r>
        <w:t xml:space="preserve">Passes strongly — the central recurring communal ritual.</w:t>
      </w:r>
    </w:p>
    <w:p>
      <w:pPr>
        <w:numPr>
          <w:ilvl w:val="0"/>
          <w:numId w:val="1008"/>
        </w:numPr>
        <w:pStyle w:val="Compact"/>
      </w:pPr>
      <w:r>
        <w:rPr>
          <w:bCs/>
          <w:b/>
        </w:rPr>
        <w:t xml:space="preserve">Explanatory:</w:t>
      </w:r>
      <w:r>
        <w:t xml:space="preserve"> </w:t>
      </w:r>
      <w:r>
        <w:t xml:space="preserve">Passes strongly — explains real variation in the evidence itself (cup-before-bread vs. institution-narrative forms) and explains why Doc_02 needed an explicit diversity-first calibration in the first place.</w:t>
      </w:r>
    </w:p>
    <w:p>
      <w:pPr>
        <w:numPr>
          <w:ilvl w:val="0"/>
          <w:numId w:val="1008"/>
        </w:numPr>
        <w:pStyle w:val="Compact"/>
      </w:pPr>
      <w:r>
        <w:rPr>
          <w:bCs/>
          <w:b/>
        </w:rPr>
        <w:t xml:space="preserve">Persistence:</w:t>
      </w:r>
      <w:r>
        <w:t xml:space="preserve"> </w:t>
      </w:r>
      <w:r>
        <w:t xml:space="preserve">Passes across all three regions.</w:t>
      </w:r>
    </w:p>
    <w:p>
      <w:pPr>
        <w:numPr>
          <w:ilvl w:val="0"/>
          <w:numId w:val="1008"/>
        </w:numPr>
        <w:pStyle w:val="Compact"/>
      </w:pPr>
      <w:r>
        <w:rPr>
          <w:bCs/>
          <w:b/>
        </w:rPr>
        <w:t xml:space="preserve">Interaction:</w:t>
      </w:r>
      <w:r>
        <w:t xml:space="preserve"> </w:t>
      </w:r>
      <w:r>
        <w:t xml:space="preserve">See Section 4.</w:t>
      </w:r>
    </w:p>
    <w:p>
      <w:pPr>
        <w:pStyle w:val="FirstParagraph"/>
      </w:pPr>
      <w:r>
        <w:rPr>
          <w:bCs/>
          <w:b/>
        </w:rPr>
        <w:t xml:space="preserve">Confidence supporting:</w:t>
      </w:r>
      <w:r>
        <w:t xml:space="preserve"> </w:t>
      </w:r>
      <w:r>
        <w:t xml:space="preserve">Widely Accepted that these three practices/texts exist and differ from one another; Contested on whether any one is representative or network-wide (the same caution Doc_02/Doc_03 already apply throughout).</w:t>
      </w:r>
    </w:p>
    <w:p>
      <w:pPr>
        <w:pStyle w:val="BodyText"/>
      </w:pPr>
      <w:r>
        <w:rPr>
          <w:bCs/>
          <w:b/>
        </w:rPr>
        <w:t xml:space="preserve">Cross-strand status:</w:t>
      </w:r>
      <w:r>
        <w:t xml:space="preserve"> </w:t>
      </w:r>
      <w:r>
        <w:t xml:space="preserve">Confirmed cross-strand — independently attested in Strand A (Ignatius) and Strand B (Justin), plus the Didache’s separate single-community witness.</w:t>
      </w:r>
    </w:p>
    <w:p>
      <w:pPr>
        <w:pStyle w:val="BodyText"/>
      </w:pPr>
      <w:r>
        <w:rPr>
          <w:bCs/>
          <w:b/>
        </w:rPr>
        <w:t xml:space="preserve">Forces test:</w:t>
      </w:r>
      <w:r>
        <w:t xml:space="preserve"> </w:t>
      </w:r>
      <w:r>
        <w:t xml:space="preserve">Connects to G01 — Ignatius’s bishop-presided eucharist is explicitly an authority-consolidation move, not a purely devotional one. No demonstrated connection to G03 in this world’s own developed evidence (see Section 4).</w:t>
      </w:r>
    </w:p>
    <w:p>
      <w:pPr>
        <w:pStyle w:val="BodyText"/>
      </w:pPr>
      <w:r>
        <w:rPr>
          <w:bCs/>
          <w:b/>
        </w:rPr>
        <w:t xml:space="preserve">Classification:</w:t>
      </w:r>
      <w:r>
        <w:t xml:space="preserve"> </w:t>
      </w:r>
      <w:r>
        <w:rPr>
          <w:bCs/>
          <w:b/>
        </w:rPr>
        <w:t xml:space="preserve">Primary.</w:t>
      </w:r>
    </w:p>
    <w:p>
      <w:pPr>
        <w:pStyle w:val="BodyText"/>
      </w:pPr>
      <w:r>
        <w:rPr>
          <w:bCs/>
          <w:b/>
        </w:rPr>
        <w:t xml:space="preserve">Confidence/Gravity Cross-Check:</w:t>
      </w:r>
      <w:r>
        <w:t xml:space="preserve"> </w:t>
      </w:r>
      <w:r>
        <w:t xml:space="preserve">applying the set-aside-the-Contested-layer test directly: the Documented content (a shared eucharist ritual independently attested, in related but non-identical forms, by three geographically-separated voices across this world’s whole window) is what earns Dependency/Explanatory/Formation — not the Contested</w:t>
      </w:r>
      <w:r>
        <w:t xml:space="preserve"> </w:t>
      </w:r>
      <w:r>
        <w:t xml:space="preserve">“</w:t>
      </w:r>
      <w:r>
        <w:t xml:space="preserve">which form is representative</w:t>
      </w:r>
      <w:r>
        <w:t xml:space="preserve">”</w:t>
      </w:r>
      <w:r>
        <w:t xml:space="preserve"> </w:t>
      </w:r>
      <w:r>
        <w:t xml:space="preserve">layer. Unlike G01/G03, the Contested content here is not what the interaction/dependency work depends on. One acknowledged soft spot: the Forces-test/Dependency link to G01 (</w:t>
      </w:r>
      <w:r>
        <w:t xml:space="preserve">“</w:t>
      </w:r>
      <w:r>
        <w:t xml:space="preserve">Ignatius’s bishop-presided eucharist is explicitly an authority-consolidation move</w:t>
      </w:r>
      <w:r>
        <w:t xml:space="preserve">”</w:t>
      </w:r>
      <w:r>
        <w:t xml:space="preserve">) itself imports one interpretive step — that Ignatius’s own linkage of eucharist to episcopal authority is read as a general claim about the</w:t>
      </w:r>
      <w:r>
        <w:t xml:space="preserve"> </w:t>
      </w:r>
      <w:r>
        <w:rPr>
          <w:iCs/>
          <w:i/>
        </w:rPr>
        <w:t xml:space="preserve">practice</w:t>
      </w:r>
      <w:r>
        <w:t xml:space="preserve">, not only about Ignatius’s own rhetoric — which this document does not bracket with the same explicit care it applies elsewhere (e.g., G03’s Persistence caveat). This is a minor, acknowledged softness, not a rule violation: the underlying textual fact (Ignatius does link the two in his own letters) is itself Documented, and the interpretive step is small and stated here rather than hidden. It does not disturb the Primary classification, which rests on the broader existence/variation claim, not this one dependency link.</w:t>
      </w:r>
    </w:p>
    <w:p>
      <w:r>
        <w:pict>
          <v:rect style="width:0;height:1.5pt" o:hralign="center" o:hrstd="t" o:hr="t"/>
        </w:pict>
      </w:r>
    </w:p>
    <w:bookmarkEnd w:id="27"/>
    <w:bookmarkEnd w:id="28"/>
    <w:bookmarkStart w:id="29" w:name="cross-strand-gravity-summary-article-21"/>
    <w:p>
      <w:pPr>
        <w:pStyle w:val="Heading2"/>
      </w:pPr>
      <w:r>
        <w:t xml:space="preserve">3. Cross-Strand Gravity Summary (Article 21)</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Gravity</w:t>
            </w:r>
          </w:p>
        </w:tc>
        <w:tc>
          <w:tcPr/>
          <w:p>
            <w:pPr>
              <w:pStyle w:val="Compact"/>
              <w:jc w:val="left"/>
            </w:pPr>
            <w:r>
              <w:t xml:space="preserve">Cross-strand status</w:t>
            </w:r>
          </w:p>
        </w:tc>
      </w:tr>
      <w:tr>
        <w:tc>
          <w:tcPr/>
          <w:p>
            <w:pPr>
              <w:pStyle w:val="Compact"/>
              <w:jc w:val="left"/>
            </w:pPr>
            <w:r>
              <w:t xml:space="preserve">G01 Authority Consolidation</w:t>
            </w:r>
          </w:p>
        </w:tc>
        <w:tc>
          <w:tcPr/>
          <w:p>
            <w:pPr>
              <w:pStyle w:val="Compact"/>
              <w:jc w:val="left"/>
            </w:pPr>
            <w:r>
              <w:t xml:space="preserve">Force cross-strand confirmed; specific resolution strand-bound</w:t>
            </w:r>
          </w:p>
        </w:tc>
      </w:tr>
      <w:tr>
        <w:tc>
          <w:tcPr/>
          <w:p>
            <w:pPr>
              <w:pStyle w:val="Compact"/>
              <w:jc w:val="left"/>
            </w:pPr>
            <w:r>
              <w:t xml:space="preserve">G02 Translocal Correspondence Network</w:t>
            </w:r>
          </w:p>
        </w:tc>
        <w:tc>
          <w:tcPr/>
          <w:p>
            <w:pPr>
              <w:pStyle w:val="Compact"/>
              <w:jc w:val="left"/>
            </w:pPr>
            <w:r>
              <w:t xml:space="preserve">Cross-strand confirmed</w:t>
            </w:r>
          </w:p>
        </w:tc>
      </w:tr>
      <w:tr>
        <w:tc>
          <w:tcPr/>
          <w:p>
            <w:pPr>
              <w:pStyle w:val="Compact"/>
              <w:jc w:val="left"/>
            </w:pPr>
            <w:r>
              <w:t xml:space="preserve">G03 State Pressure / Legal Precarity</w:t>
            </w:r>
          </w:p>
        </w:tc>
        <w:tc>
          <w:tcPr/>
          <w:p>
            <w:pPr>
              <w:pStyle w:val="Compact"/>
              <w:jc w:val="left"/>
            </w:pPr>
            <w:r>
              <w:t xml:space="preserve">Cross-strand confirmed (Strand B: Rome; Strand A: Antioch/Asia Minor) — Bithynia-Pontus corroborates but is not itself a strand</w:t>
            </w:r>
          </w:p>
        </w:tc>
      </w:tr>
      <w:tr>
        <w:tc>
          <w:tcPr/>
          <w:p>
            <w:pPr>
              <w:pStyle w:val="Compact"/>
              <w:jc w:val="left"/>
            </w:pPr>
            <w:r>
              <w:t xml:space="preserve">G04 Martyrdom as Meaning-Response</w:t>
            </w:r>
          </w:p>
        </w:tc>
        <w:tc>
          <w:tcPr/>
          <w:p>
            <w:pPr>
              <w:pStyle w:val="Compact"/>
              <w:jc w:val="left"/>
            </w:pPr>
            <w:r>
              <w:t xml:space="preserve">Strand-bound (Strand A only)</w:t>
            </w:r>
          </w:p>
        </w:tc>
      </w:tr>
      <w:tr>
        <w:tc>
          <w:tcPr/>
          <w:p>
            <w:pPr>
              <w:pStyle w:val="Compact"/>
              <w:jc w:val="left"/>
            </w:pPr>
            <w:r>
              <w:t xml:space="preserve">G05 Boundary-Drawing vs. Rivals</w:t>
            </w:r>
          </w:p>
        </w:tc>
        <w:tc>
          <w:tcPr/>
          <w:p>
            <w:pPr>
              <w:pStyle w:val="Compact"/>
              <w:jc w:val="left"/>
            </w:pPr>
            <w:r>
              <w:t xml:space="preserve">Strand-bound (Strand A only)</w:t>
            </w:r>
          </w:p>
        </w:tc>
      </w:tr>
      <w:tr>
        <w:tc>
          <w:tcPr/>
          <w:p>
            <w:pPr>
              <w:pStyle w:val="Compact"/>
              <w:jc w:val="left"/>
            </w:pPr>
            <w:r>
              <w:t xml:space="preserve">G06 Household as Basic Unit</w:t>
            </w:r>
          </w:p>
        </w:tc>
        <w:tc>
          <w:tcPr/>
          <w:p>
            <w:pPr>
              <w:pStyle w:val="Compact"/>
              <w:jc w:val="left"/>
            </w:pPr>
            <w:r>
              <w:t xml:space="preserve">Not meaningfully assessable (did not reach gravity status)</w:t>
            </w:r>
          </w:p>
        </w:tc>
      </w:tr>
      <w:tr>
        <w:tc>
          <w:tcPr/>
          <w:p>
            <w:pPr>
              <w:pStyle w:val="Compact"/>
              <w:jc w:val="left"/>
            </w:pPr>
            <w:r>
              <w:t xml:space="preserve">G07 Liturgical Practice (Eucharist)</w:t>
            </w:r>
          </w:p>
        </w:tc>
        <w:tc>
          <w:tcPr/>
          <w:p>
            <w:pPr>
              <w:pStyle w:val="Compact"/>
              <w:jc w:val="left"/>
            </w:pPr>
            <w:r>
              <w:t xml:space="preserve">Cross-strand confirmed</w:t>
            </w:r>
          </w:p>
        </w:tc>
      </w:tr>
    </w:tbl>
    <w:p>
      <w:pPr>
        <w:pStyle w:val="BodyText"/>
      </w:pPr>
      <w:r>
        <w:rPr>
          <w:bCs/>
          <w:b/>
        </w:rPr>
        <w:t xml:space="preserve">Open item from Doc_01 (Section 6) not resolved here, and not manufactured:</w:t>
      </w:r>
      <w:r>
        <w:t xml:space="preserve"> </w:t>
      </w:r>
      <w:r>
        <w:t xml:space="preserve">Doc_01 flagged whether a third, less-clearly-evidenced profile exists in the broader Asia Minor material beyond Ignatius’s direct addressees (material bearing on Revelation’s seven churches, or Justin’s formation background prior to Rome). This document does not resolve it, because no new primary evidence for that material was developed in Doc_02 — Revelation is not a primary voice in this world’s Registry, and Justin’s pre-Rome background is not developed beyond his First/Second Apology and Dialogue. Manufacturing a finding here from evidence this project does not have would violate the same discipline that kept G05/G06 from being inflated.</w:t>
      </w:r>
      <w:r>
        <w:t xml:space="preserve"> </w:t>
      </w:r>
      <w:r>
        <w:rPr>
          <w:bCs/>
          <w:b/>
        </w:rPr>
        <w:t xml:space="preserve">This is carried forward again, unresolved, to Doc_05</w:t>
      </w:r>
      <w:r>
        <w:t xml:space="preserve"> </w:t>
      </w:r>
      <w:r>
        <w:t xml:space="preserve">— if Doc_05’s ecological reconstruction work independently develops that material, this document’s own Strand/gravity findings should be revisited, not assumed settled.</w:t>
      </w:r>
    </w:p>
    <w:p>
      <w:pPr>
        <w:pStyle w:val="BodyText"/>
      </w:pPr>
      <w:r>
        <w:rPr>
          <w:bCs/>
          <w:b/>
        </w:rPr>
        <w:t xml:space="preserve">Explicit vulnerability linkage:</w:t>
      </w:r>
      <w:r>
        <w:t xml:space="preserve"> </w:t>
      </w:r>
      <w:r>
        <w:rPr>
          <w:bCs/>
          <w:b/>
        </w:rPr>
        <w:t xml:space="preserve">G01’s Strand A-specific content and G04 both rest on Ignatius as their only Asia Minor evidentiary voice</w:t>
      </w:r>
      <w:r>
        <w:t xml:space="preserve"> </w:t>
      </w:r>
      <w:r>
        <w:t xml:space="preserve">(G05 as well, unaffected by G03’s classification since all three candidates’ Strand-bound status is about voice count, not Primary/Supporting standing) — not merely</w:t>
      </w:r>
      <w:r>
        <w:t xml:space="preserve"> </w:t>
      </w:r>
      <w:r>
        <w:t xml:space="preserve">“</w:t>
      </w:r>
      <w:r>
        <w:t xml:space="preserve">Strand A</w:t>
      </w:r>
      <w:r>
        <w:t xml:space="preserve">”</w:t>
      </w:r>
      <w:r>
        <w:t xml:space="preserve"> </w:t>
      </w:r>
      <w:r>
        <w:t xml:space="preserve">in the abstract, but Ignatius specifically. A confirmed independent third Asia Minor profile (a genuinely separate voice, not merely more Ignatius material) is exactly the kind of new evidence that could raise G01’s content confidence above Contested, strengthen G04/G05’s currently-failing Repetition and Persistence scores, or reveal that what looks like one Strand A position is actually two distinct, non-identical positions. None of this is true of G02 or G07, whose classifications do not depend on Ignatius being Asia Minor’s only voice; G03 (Supporting, cross-strand confirmed) similarly does not depend on this vulnerability, since its own evidentiary base (Pliny, Tacitus, Suetonius) is not Ignatius-dependent at all — the third-Asia-Minor-profile question is specifically about G01/G04/G05’s shared reliance on Ignatius as Asia Minor’s only voice, not a general risk affecting every gravity. This distinction is carried into the companion workbook’s Cross-Build sheet (see Document Log).</w:t>
      </w:r>
    </w:p>
    <w:p>
      <w:r>
        <w:pict>
          <v:rect style="width:0;height:1.5pt" o:hralign="center" o:hrstd="t" o:hr="t"/>
        </w:pict>
      </w:r>
    </w:p>
    <w:bookmarkEnd w:id="29"/>
    <w:bookmarkStart w:id="30" w:name="interaction-matrix"/>
    <w:p>
      <w:pPr>
        <w:pStyle w:val="Heading2"/>
      </w:pPr>
      <w:r>
        <w:t xml:space="preserve">4. Interaction Matrix</w:t>
      </w:r>
    </w:p>
    <w:p>
      <w:pPr>
        <w:pStyle w:val="FirstParagraph"/>
      </w:pPr>
      <w:r>
        <w:t xml:space="preserve">Every classified candidate (G01, G02, G03, G04, G05, G07) has at least one demonstrated relationship to another classified candidate, avoiding the exact</w:t>
      </w:r>
      <w:r>
        <w:t xml:space="preserve"> </w:t>
      </w:r>
      <w:r>
        <w:t xml:space="preserve">“</w:t>
      </w:r>
      <w:r>
        <w:t xml:space="preserve">isolated candidate</w:t>
      </w:r>
      <w:r>
        <w:t xml:space="preserve">”</w:t>
      </w:r>
      <w:r>
        <w:t xml:space="preserve"> </w:t>
      </w:r>
      <w:r>
        <w:t xml:space="preserve">signal the Framework warns indicates a list built from impression rather than evidence. G06 is excluded from the matrix since it did not reach classification. Relationships describe evidentiary connections between candidates and do not change when a candidate’s own Primary/Supporting/Tensional classification changes.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pPr>
          </w:p>
        </w:tc>
        <w:tc>
          <w:tcPr/>
          <w:p>
            <w:pPr>
              <w:pStyle w:val="Compact"/>
              <w:jc w:val="left"/>
            </w:pPr>
            <w:r>
              <w:t xml:space="preserve">G01</w:t>
            </w:r>
          </w:p>
        </w:tc>
        <w:tc>
          <w:tcPr/>
          <w:p>
            <w:pPr>
              <w:pStyle w:val="Compact"/>
              <w:jc w:val="left"/>
            </w:pPr>
            <w:r>
              <w:t xml:space="preserve">G02</w:t>
            </w:r>
          </w:p>
        </w:tc>
        <w:tc>
          <w:tcPr/>
          <w:p>
            <w:pPr>
              <w:pStyle w:val="Compact"/>
              <w:jc w:val="left"/>
            </w:pPr>
            <w:r>
              <w:t xml:space="preserve">G03</w:t>
            </w:r>
          </w:p>
        </w:tc>
        <w:tc>
          <w:tcPr/>
          <w:p>
            <w:pPr>
              <w:pStyle w:val="Compact"/>
              <w:jc w:val="left"/>
            </w:pPr>
            <w:r>
              <w:t xml:space="preserve">G04</w:t>
            </w:r>
          </w:p>
        </w:tc>
        <w:tc>
          <w:tcPr/>
          <w:p>
            <w:pPr>
              <w:pStyle w:val="Compact"/>
              <w:jc w:val="left"/>
            </w:pPr>
            <w:r>
              <w:t xml:space="preserve">G05</w:t>
            </w:r>
          </w:p>
        </w:tc>
        <w:tc>
          <w:tcPr/>
          <w:p>
            <w:pPr>
              <w:pStyle w:val="Compact"/>
              <w:jc w:val="left"/>
            </w:pPr>
            <w:r>
              <w:t xml:space="preserve">G07</w:t>
            </w:r>
          </w:p>
        </w:tc>
      </w:tr>
      <w:tr>
        <w:tc>
          <w:tcPr/>
          <w:p>
            <w:pPr>
              <w:pStyle w:val="Compact"/>
              <w:jc w:val="left"/>
            </w:pPr>
            <w:r>
              <w:rPr>
                <w:bCs/>
                <w:b/>
              </w:rPr>
              <w:t xml:space="preserve">G01</w:t>
            </w:r>
            <w:r>
              <w:t xml:space="preserve"> </w:t>
            </w:r>
            <w:r>
              <w:t xml:space="preserve">Authority</w:t>
            </w:r>
          </w:p>
        </w:tc>
        <w:tc>
          <w:tcPr/>
          <w:p>
            <w:pPr>
              <w:pStyle w:val="Compact"/>
              <w:jc w:val="left"/>
            </w:pPr>
            <w:r>
              <w:t xml:space="preserve">—</w:t>
            </w:r>
          </w:p>
        </w:tc>
        <w:tc>
          <w:tcPr/>
          <w:p>
            <w:pPr>
              <w:pStyle w:val="Compact"/>
              <w:jc w:val="left"/>
            </w:pPr>
            <w:r>
              <w:t xml:space="preserve">Reinforcing</w:t>
            </w:r>
          </w:p>
        </w:tc>
        <w:tc>
          <w:tcPr/>
          <w:p>
            <w:pPr>
              <w:pStyle w:val="Compact"/>
              <w:jc w:val="left"/>
            </w:pPr>
            <w:r>
              <w:t xml:space="preserve">Reinforcing (inferential)</w:t>
            </w:r>
          </w:p>
        </w:tc>
        <w:tc>
          <w:tcPr/>
          <w:p>
            <w:pPr>
              <w:pStyle w:val="Compact"/>
              <w:jc w:val="left"/>
            </w:pPr>
            <w:r>
              <w:t xml:space="preserve">Reinforcing (inferential)</w:t>
            </w:r>
          </w:p>
        </w:tc>
        <w:tc>
          <w:tcPr/>
          <w:p>
            <w:pPr>
              <w:pStyle w:val="Compact"/>
              <w:jc w:val="left"/>
            </w:pPr>
            <w:r>
              <w:t xml:space="preserve">Reinforcing (inferential)</w:t>
            </w:r>
          </w:p>
        </w:tc>
        <w:tc>
          <w:tcPr/>
          <w:p>
            <w:pPr>
              <w:pStyle w:val="Compact"/>
              <w:jc w:val="left"/>
            </w:pPr>
            <w:r>
              <w:t xml:space="preserve">Reinforcing (inferential)</w:t>
            </w:r>
          </w:p>
        </w:tc>
      </w:tr>
      <w:tr>
        <w:tc>
          <w:tcPr/>
          <w:p>
            <w:pPr>
              <w:pStyle w:val="Compact"/>
              <w:jc w:val="left"/>
            </w:pPr>
            <w:r>
              <w:rPr>
                <w:bCs/>
                <w:b/>
              </w:rPr>
              <w:t xml:space="preserve">G02</w:t>
            </w:r>
            <w:r>
              <w:t xml:space="preserve"> </w:t>
            </w:r>
            <w:r>
              <w:t xml:space="preserve">Network</w:t>
            </w:r>
          </w:p>
        </w:tc>
        <w:tc>
          <w:tcPr/>
          <w:p>
            <w:pPr>
              <w:pStyle w:val="Compact"/>
              <w:jc w:val="left"/>
            </w:pPr>
            <w:r>
              <w:t xml:space="preserve">Reinforcing</w:t>
            </w:r>
          </w:p>
        </w:tc>
        <w:tc>
          <w:tcPr/>
          <w:p>
            <w:pPr>
              <w:pStyle w:val="Compact"/>
              <w:jc w:val="left"/>
            </w:pPr>
            <w:r>
              <w:t xml:space="preserve">—</w:t>
            </w:r>
          </w:p>
        </w:tc>
        <w:tc>
          <w:tcPr/>
          <w:p>
            <w:pPr>
              <w:pStyle w:val="Compact"/>
              <w:jc w:val="left"/>
            </w:pPr>
            <w:r>
              <w:t xml:space="preserve">Reshaping (inferential)</w:t>
            </w:r>
          </w:p>
        </w:tc>
        <w:tc>
          <w:tcPr/>
          <w:p>
            <w:pPr>
              <w:pStyle w:val="Compact"/>
              <w:jc w:val="left"/>
            </w:pPr>
            <w:r>
              <w:t xml:space="preserve">Reinforcing (inferential)</w:t>
            </w:r>
          </w:p>
        </w:tc>
        <w:tc>
          <w:tcPr/>
          <w:p>
            <w:pPr>
              <w:pStyle w:val="Compact"/>
              <w:jc w:val="left"/>
            </w:pPr>
            <w:r>
              <w:t xml:space="preserve">No demonstrated relationship</w:t>
            </w:r>
          </w:p>
        </w:tc>
        <w:tc>
          <w:tcPr/>
          <w:p>
            <w:pPr>
              <w:pStyle w:val="Compact"/>
              <w:jc w:val="left"/>
            </w:pPr>
            <w:r>
              <w:t xml:space="preserve">No demonstrated relationship</w:t>
            </w:r>
          </w:p>
        </w:tc>
      </w:tr>
      <w:tr>
        <w:tc>
          <w:tcPr/>
          <w:p>
            <w:pPr>
              <w:pStyle w:val="Compact"/>
              <w:jc w:val="left"/>
            </w:pPr>
            <w:r>
              <w:rPr>
                <w:bCs/>
                <w:b/>
              </w:rPr>
              <w:t xml:space="preserve">G03</w:t>
            </w:r>
            <w:r>
              <w:t xml:space="preserve"> </w:t>
            </w:r>
            <w:r>
              <w:t xml:space="preserve">State Pressure</w:t>
            </w:r>
          </w:p>
        </w:tc>
        <w:tc>
          <w:tcPr/>
          <w:p>
            <w:pPr>
              <w:pStyle w:val="Compact"/>
              <w:jc w:val="left"/>
            </w:pPr>
            <w:r>
              <w:t xml:space="preserve">Reinforcing (inferential)</w:t>
            </w:r>
          </w:p>
        </w:tc>
        <w:tc>
          <w:tcPr/>
          <w:p>
            <w:pPr>
              <w:pStyle w:val="Compact"/>
              <w:jc w:val="left"/>
            </w:pPr>
            <w:r>
              <w:t xml:space="preserve">Reshaping (inferential)</w:t>
            </w:r>
          </w:p>
        </w:tc>
        <w:tc>
          <w:tcPr/>
          <w:p>
            <w:pPr>
              <w:pStyle w:val="Compact"/>
              <w:jc w:val="left"/>
            </w:pPr>
            <w:r>
              <w:t xml:space="preserve">—</w:t>
            </w:r>
          </w:p>
        </w:tc>
        <w:tc>
          <w:tcPr/>
          <w:p>
            <w:pPr>
              <w:pStyle w:val="Compact"/>
              <w:jc w:val="left"/>
            </w:pPr>
            <w:r>
              <w:t xml:space="preserve">Reinforcing (inferential)</w:t>
            </w:r>
          </w:p>
        </w:tc>
        <w:tc>
          <w:tcPr/>
          <w:p>
            <w:pPr>
              <w:pStyle w:val="Compact"/>
              <w:jc w:val="left"/>
            </w:pPr>
            <w:r>
              <w:t xml:space="preserve">No demonstrated relationship</w:t>
            </w:r>
          </w:p>
        </w:tc>
        <w:tc>
          <w:tcPr/>
          <w:p>
            <w:pPr>
              <w:pStyle w:val="Compact"/>
              <w:jc w:val="left"/>
            </w:pPr>
            <w:r>
              <w:t xml:space="preserve">No demonstrated relationship</w:t>
            </w:r>
          </w:p>
        </w:tc>
      </w:tr>
      <w:tr>
        <w:tc>
          <w:tcPr/>
          <w:p>
            <w:pPr>
              <w:pStyle w:val="Compact"/>
              <w:jc w:val="left"/>
            </w:pPr>
            <w:r>
              <w:rPr>
                <w:bCs/>
                <w:b/>
              </w:rPr>
              <w:t xml:space="preserve">G04</w:t>
            </w:r>
            <w:r>
              <w:t xml:space="preserve"> </w:t>
            </w:r>
            <w:r>
              <w:t xml:space="preserve">Martyrdom</w:t>
            </w:r>
          </w:p>
        </w:tc>
        <w:tc>
          <w:tcPr/>
          <w:p>
            <w:pPr>
              <w:pStyle w:val="Compact"/>
              <w:jc w:val="left"/>
            </w:pPr>
            <w:r>
              <w:t xml:space="preserve">Reinforcing (inferential)</w:t>
            </w:r>
          </w:p>
        </w:tc>
        <w:tc>
          <w:tcPr/>
          <w:p>
            <w:pPr>
              <w:pStyle w:val="Compact"/>
              <w:jc w:val="left"/>
            </w:pPr>
            <w:r>
              <w:t xml:space="preserve">Reinforcing (inferential)</w:t>
            </w:r>
          </w:p>
        </w:tc>
        <w:tc>
          <w:tcPr/>
          <w:p>
            <w:pPr>
              <w:pStyle w:val="Compact"/>
              <w:jc w:val="left"/>
            </w:pPr>
            <w:r>
              <w:t xml:space="preserve">Reinforcing (inferential)</w:t>
            </w:r>
          </w:p>
        </w:tc>
        <w:tc>
          <w:tcPr/>
          <w:p>
            <w:pPr>
              <w:pStyle w:val="Compact"/>
              <w:jc w:val="left"/>
            </w:pPr>
            <w:r>
              <w:t xml:space="preserve">—</w:t>
            </w:r>
          </w:p>
        </w:tc>
        <w:tc>
          <w:tcPr/>
          <w:p>
            <w:pPr>
              <w:pStyle w:val="Compact"/>
              <w:jc w:val="left"/>
            </w:pPr>
            <w:r>
              <w:t xml:space="preserve">Reinforcing (inferential)</w:t>
            </w:r>
          </w:p>
        </w:tc>
        <w:tc>
          <w:tcPr/>
          <w:p>
            <w:pPr>
              <w:pStyle w:val="Compact"/>
              <w:jc w:val="left"/>
            </w:pPr>
            <w:r>
              <w:t xml:space="preserve">No demonstrated relationship</w:t>
            </w:r>
          </w:p>
        </w:tc>
      </w:tr>
      <w:tr>
        <w:tc>
          <w:tcPr/>
          <w:p>
            <w:pPr>
              <w:pStyle w:val="Compact"/>
              <w:jc w:val="left"/>
            </w:pPr>
            <w:r>
              <w:rPr>
                <w:bCs/>
                <w:b/>
              </w:rPr>
              <w:t xml:space="preserve">G05</w:t>
            </w:r>
            <w:r>
              <w:t xml:space="preserve"> </w:t>
            </w:r>
            <w:r>
              <w:t xml:space="preserve">Boundary-Drawing</w:t>
            </w:r>
          </w:p>
        </w:tc>
        <w:tc>
          <w:tcPr/>
          <w:p>
            <w:pPr>
              <w:pStyle w:val="Compact"/>
              <w:jc w:val="left"/>
            </w:pPr>
            <w:r>
              <w:t xml:space="preserve">Reinforcing (inferential)</w:t>
            </w:r>
          </w:p>
        </w:tc>
        <w:tc>
          <w:tcPr/>
          <w:p>
            <w:pPr>
              <w:pStyle w:val="Compact"/>
              <w:jc w:val="left"/>
            </w:pPr>
            <w:r>
              <w:t xml:space="preserve">No demonstrated relationship</w:t>
            </w:r>
          </w:p>
        </w:tc>
        <w:tc>
          <w:tcPr/>
          <w:p>
            <w:pPr>
              <w:pStyle w:val="Compact"/>
              <w:jc w:val="left"/>
            </w:pPr>
            <w:r>
              <w:t xml:space="preserve">No demonstrated relationship</w:t>
            </w:r>
          </w:p>
        </w:tc>
        <w:tc>
          <w:tcPr/>
          <w:p>
            <w:pPr>
              <w:pStyle w:val="Compact"/>
              <w:jc w:val="left"/>
            </w:pPr>
            <w:r>
              <w:t xml:space="preserve">Reinforcing (inferential)</w:t>
            </w:r>
          </w:p>
        </w:tc>
        <w:tc>
          <w:tcPr/>
          <w:p>
            <w:pPr>
              <w:pStyle w:val="Compact"/>
              <w:jc w:val="left"/>
            </w:pPr>
            <w:r>
              <w:t xml:space="preserve">—</w:t>
            </w:r>
          </w:p>
        </w:tc>
        <w:tc>
          <w:tcPr/>
          <w:p>
            <w:pPr>
              <w:pStyle w:val="Compact"/>
              <w:jc w:val="left"/>
            </w:pPr>
            <w:r>
              <w:t xml:space="preserve">Reinforcing (inferential)</w:t>
            </w:r>
          </w:p>
        </w:tc>
      </w:tr>
      <w:tr>
        <w:tc>
          <w:tcPr/>
          <w:p>
            <w:pPr>
              <w:pStyle w:val="Compact"/>
              <w:jc w:val="left"/>
            </w:pPr>
            <w:r>
              <w:rPr>
                <w:bCs/>
                <w:b/>
              </w:rPr>
              <w:t xml:space="preserve">G07</w:t>
            </w:r>
            <w:r>
              <w:t xml:space="preserve"> </w:t>
            </w:r>
            <w:r>
              <w:t xml:space="preserve">Liturgy</w:t>
            </w:r>
          </w:p>
        </w:tc>
        <w:tc>
          <w:tcPr/>
          <w:p>
            <w:pPr>
              <w:pStyle w:val="Compact"/>
              <w:jc w:val="left"/>
            </w:pPr>
            <w:r>
              <w:t xml:space="preserve">Reinforcing (inferential)</w:t>
            </w:r>
          </w:p>
        </w:tc>
        <w:tc>
          <w:tcPr/>
          <w:p>
            <w:pPr>
              <w:pStyle w:val="Compact"/>
              <w:jc w:val="left"/>
            </w:pPr>
            <w:r>
              <w:t xml:space="preserve">No demonstrated relationship</w:t>
            </w:r>
          </w:p>
        </w:tc>
        <w:tc>
          <w:tcPr/>
          <w:p>
            <w:pPr>
              <w:pStyle w:val="Compact"/>
              <w:jc w:val="left"/>
            </w:pPr>
            <w:r>
              <w:t xml:space="preserve">No demonstrated relationship</w:t>
            </w:r>
          </w:p>
        </w:tc>
        <w:tc>
          <w:tcPr/>
          <w:p>
            <w:pPr>
              <w:pStyle w:val="Compact"/>
              <w:jc w:val="left"/>
            </w:pPr>
            <w:r>
              <w:t xml:space="preserve">No demonstrated relationship</w:t>
            </w:r>
          </w:p>
        </w:tc>
        <w:tc>
          <w:tcPr/>
          <w:p>
            <w:pPr>
              <w:pStyle w:val="Compact"/>
              <w:jc w:val="left"/>
            </w:pPr>
            <w:r>
              <w:t xml:space="preserve">Reinforcing (inferential)</w:t>
            </w:r>
          </w:p>
        </w:tc>
        <w:tc>
          <w:tcPr/>
          <w:p>
            <w:pPr>
              <w:pStyle w:val="Compact"/>
              <w:jc w:val="left"/>
            </w:pPr>
            <w:r>
              <w:t xml:space="preserve">—</w:t>
            </w:r>
          </w:p>
        </w:tc>
      </w:tr>
    </w:tbl>
    <w:p>
      <w:pPr>
        <w:pStyle w:val="BodyText"/>
      </w:pPr>
      <w:r>
        <w:rPr>
          <w:bCs/>
          <w:b/>
        </w:rPr>
        <w:t xml:space="preserve">Round-4 review found that round-3’s</w:t>
      </w:r>
      <w:r>
        <w:rPr>
          <w:bCs/>
          <w:b/>
        </w:rPr>
        <w:t xml:space="preserve"> </w:t>
      </w:r>
      <w:r>
        <w:rPr>
          <w:bCs/>
          <w:b/>
        </w:rPr>
        <w:t xml:space="preserve">“</w:t>
      </w:r>
      <w:r>
        <w:rPr>
          <w:bCs/>
          <w:b/>
        </w:rPr>
        <w:t xml:space="preserve">corrected here</w:t>
      </w:r>
      <w:r>
        <w:rPr>
          <w:bCs/>
          <w:b/>
        </w:rPr>
        <w:t xml:space="preserve">”</w:t>
      </w:r>
      <w:r>
        <w:rPr>
          <w:bCs/>
          <w:b/>
        </w:rPr>
        <w:t xml:space="preserve"> </w:t>
      </w:r>
      <w:r>
        <w:rPr>
          <w:bCs/>
          <w:b/>
        </w:rPr>
        <w:t xml:space="preserve">claim was itself only a partial patch — three named cells were fixed, but the standing commitment to re-derive the whole matrix (Section 6, item 8) was not actually carried out. This revision performs that full, pair-by-pair re-derivation for the first time, checking all 15 unique cells against the document’s own stated evidence rather than only the previously-flagged ones:</w:t>
      </w:r>
    </w:p>
    <w:p>
      <w:pPr>
        <w:numPr>
          <w:ilvl w:val="0"/>
          <w:numId w:val="1009"/>
        </w:numPr>
        <w:pStyle w:val="Compact"/>
      </w:pPr>
      <w:r>
        <w:rPr>
          <w:bCs/>
          <w:b/>
        </w:rPr>
        <w:t xml:space="preserve">G01↔G05</w:t>
      </w:r>
      <w:r>
        <w:t xml:space="preserve">, previously flat</w:t>
      </w:r>
      <w:r>
        <w:t xml:space="preserve"> </w:t>
      </w:r>
      <w:r>
        <w:t xml:space="preserve">“</w:t>
      </w:r>
      <w:r>
        <w:t xml:space="preserve">Reinforcing</w:t>
      </w:r>
      <w:r>
        <w:t xml:space="preserve">”</w:t>
      </w:r>
      <w:r>
        <w:t xml:space="preserve">: G05’s own Dependency test states</w:t>
      </w:r>
      <w:r>
        <w:t xml:space="preserve"> </w:t>
      </w:r>
      <w:r>
        <w:t xml:space="preserve">“</w:t>
      </w:r>
      <w:r>
        <w:t xml:space="preserve">Ignatius ties his</w:t>
      </w:r>
      <w:r>
        <w:t xml:space="preserve"> </w:t>
      </w:r>
      <w:r>
        <w:t xml:space="preserve">‘</w:t>
      </w:r>
      <w:r>
        <w:t xml:space="preserve">obey the bishop</w:t>
      </w:r>
      <w:r>
        <w:t xml:space="preserve">’</w:t>
      </w:r>
      <w:r>
        <w:t xml:space="preserve"> </w:t>
      </w:r>
      <w:r>
        <w:t xml:space="preserve">program directly to anti-docetic argument (G01 interaction)</w:t>
      </w:r>
      <w:r>
        <w:t xml:space="preserve">”</w:t>
      </w:r>
      <w:r>
        <w:t xml:space="preserve"> </w:t>
      </w:r>
      <w:r>
        <w:t xml:space="preserve">— the same single-corpus (Ignatius) structure already recognized as inferential elsewhere. Corrected to inferential.</w:t>
      </w:r>
    </w:p>
    <w:p>
      <w:pPr>
        <w:numPr>
          <w:ilvl w:val="0"/>
          <w:numId w:val="1009"/>
        </w:numPr>
        <w:pStyle w:val="Compact"/>
      </w:pPr>
      <w:r>
        <w:rPr>
          <w:bCs/>
          <w:b/>
        </w:rPr>
        <w:t xml:space="preserve">G01↔G07</w:t>
      </w:r>
      <w:r>
        <w:t xml:space="preserve">, previously flat</w:t>
      </w:r>
      <w:r>
        <w:t xml:space="preserve"> </w:t>
      </w:r>
      <w:r>
        <w:t xml:space="preserve">“</w:t>
      </w:r>
      <w:r>
        <w:t xml:space="preserve">Reinforcing</w:t>
      </w:r>
      <w:r>
        <w:t xml:space="preserve">”</w:t>
      </w:r>
      <w:r>
        <w:t xml:space="preserve">: G07’s own Forces test states the connection to G01 rests on</w:t>
      </w:r>
      <w:r>
        <w:t xml:space="preserve"> </w:t>
      </w:r>
      <w:r>
        <w:t xml:space="preserve">“</w:t>
      </w:r>
      <w:r>
        <w:t xml:space="preserve">Ignatius’s bishop-presided eucharist</w:t>
      </w:r>
      <w:r>
        <w:t xml:space="preserve">”</w:t>
      </w:r>
      <w:r>
        <w:t xml:space="preserve"> </w:t>
      </w:r>
      <w:r>
        <w:t xml:space="preserve">— again, a single-source (Ignatius) textual anchor. Corrected to inferential.</w:t>
      </w:r>
    </w:p>
    <w:p>
      <w:pPr>
        <w:numPr>
          <w:ilvl w:val="0"/>
          <w:numId w:val="1009"/>
        </w:numPr>
        <w:pStyle w:val="Compact"/>
      </w:pPr>
      <w:r>
        <w:rPr>
          <w:bCs/>
          <w:b/>
        </w:rPr>
        <w:t xml:space="preserve">G02↔G03</w:t>
      </w:r>
      <w:r>
        <w:t xml:space="preserve">, previously flat</w:t>
      </w:r>
      <w:r>
        <w:t xml:space="preserve"> </w:t>
      </w:r>
      <w:r>
        <w:t xml:space="preserve">“</w:t>
      </w:r>
      <w:r>
        <w:t xml:space="preserve">Reshaping</w:t>
      </w:r>
      <w:r>
        <w:t xml:space="preserve">”</w:t>
      </w:r>
      <w:r>
        <w:t xml:space="preserve">: grounded only in G02’s Forces-test note that</w:t>
      </w:r>
      <w:r>
        <w:t xml:space="preserve"> </w:t>
      </w:r>
      <w:r>
        <w:t xml:space="preserve">“</w:t>
      </w:r>
      <w:r>
        <w:t xml:space="preserve">Ignatius relies on the network precisely because he is under guard</w:t>
      </w:r>
      <w:r>
        <w:t xml:space="preserve">”</w:t>
      </w:r>
      <w:r>
        <w:t xml:space="preserve"> </w:t>
      </w:r>
      <w:r>
        <w:t xml:space="preserve">— a single-episode anchor (Ignatius’s own guarded journey). Corrected to inferential.</w:t>
      </w:r>
    </w:p>
    <w:p>
      <w:pPr>
        <w:numPr>
          <w:ilvl w:val="0"/>
          <w:numId w:val="1009"/>
        </w:numPr>
        <w:pStyle w:val="Compact"/>
      </w:pPr>
      <w:r>
        <w:rPr>
          <w:bCs/>
          <w:b/>
        </w:rPr>
        <w:t xml:space="preserve">G02↔G07</w:t>
      </w:r>
      <w:r>
        <w:t xml:space="preserve">, previously flat</w:t>
      </w:r>
      <w:r>
        <w:t xml:space="preserve"> </w:t>
      </w:r>
      <w:r>
        <w:t xml:space="preserve">“</w:t>
      </w:r>
      <w:r>
        <w:t xml:space="preserve">Reinforcing</w:t>
      </w:r>
      <w:r>
        <w:t xml:space="preserve">”</w:t>
      </w:r>
      <w:r>
        <w:t xml:space="preserve">:</w:t>
      </w:r>
      <w:r>
        <w:t xml:space="preserve"> </w:t>
      </w:r>
      <w:r>
        <w:rPr>
          <w:bCs/>
          <w:b/>
        </w:rPr>
        <w:t xml:space="preserve">no textual grounding exists anywhere in either G02’s or G07’s own section for this pair.</w:t>
      </w:r>
      <w:r>
        <w:t xml:space="preserve"> </w:t>
      </w:r>
      <w:r>
        <w:t xml:space="preserve">Corrected to</w:t>
      </w:r>
      <w:r>
        <w:t xml:space="preserve"> </w:t>
      </w:r>
      <w:r>
        <w:rPr>
          <w:bCs/>
          <w:b/>
        </w:rPr>
        <w:t xml:space="preserve">“</w:t>
      </w:r>
      <w:r>
        <w:rPr>
          <w:bCs/>
          <w:b/>
        </w:rPr>
        <w:t xml:space="preserve">No demonstrated relationship</w:t>
      </w:r>
      <w:r>
        <w:rPr>
          <w:bCs/>
          <w:b/>
        </w:rPr>
        <w:t xml:space="preserve">”</w:t>
      </w:r>
      <w:r>
        <w:t xml:space="preserve"> </w:t>
      </w:r>
      <w:r>
        <w:t xml:space="preserve">rather than left as an ungrounded assertion.</w:t>
      </w:r>
    </w:p>
    <w:p>
      <w:pPr>
        <w:numPr>
          <w:ilvl w:val="0"/>
          <w:numId w:val="1009"/>
        </w:numPr>
        <w:pStyle w:val="Compact"/>
      </w:pPr>
      <w:r>
        <w:rPr>
          <w:bCs/>
          <w:b/>
        </w:rPr>
        <w:t xml:space="preserve">G03↔G04</w:t>
      </w:r>
      <w:r>
        <w:t xml:space="preserve">, previously flat</w:t>
      </w:r>
      <w:r>
        <w:t xml:space="preserve"> </w:t>
      </w:r>
      <w:r>
        <w:t xml:space="preserve">“</w:t>
      </w:r>
      <w:r>
        <w:t xml:space="preserve">Reinforcing</w:t>
      </w:r>
      <w:r>
        <w:t xml:space="preserve">”</w:t>
      </w:r>
      <w:r>
        <w:t xml:space="preserve">: grounded consistently in both candidates’ own Dependency/Forces-test language (</w:t>
      </w:r>
      <w:r>
        <w:t xml:space="preserve">“</w:t>
      </w:r>
      <w:r>
        <w:t xml:space="preserve">G04… is essentially the internal response to this force</w:t>
      </w:r>
      <w:r>
        <w:t xml:space="preserve">”</w:t>
      </w:r>
      <w:r>
        <w:t xml:space="preserve"> </w:t>
      </w:r>
      <w:r>
        <w:t xml:space="preserve">/</w:t>
      </w:r>
      <w:r>
        <w:t xml:space="preserve"> </w:t>
      </w:r>
      <w:r>
        <w:t xml:space="preserve">“</w:t>
      </w:r>
      <w:r>
        <w:t xml:space="preserve">This gravity is itself the meaning-making response to G03</w:t>
      </w:r>
      <w:r>
        <w:t xml:space="preserve">”</w:t>
      </w:r>
      <w:r>
        <w:t xml:space="preserve">), which traces to the same Ignatius-imprisonment-and-martyrdom material anchoring several other inferential cells. Corrected to inferential.</w:t>
      </w:r>
    </w:p>
    <w:p>
      <w:pPr>
        <w:numPr>
          <w:ilvl w:val="0"/>
          <w:numId w:val="1009"/>
        </w:numPr>
        <w:pStyle w:val="Compact"/>
      </w:pPr>
      <w:r>
        <w:rPr>
          <w:bCs/>
          <w:b/>
        </w:rPr>
        <w:t xml:space="preserve">G05↔G07</w:t>
      </w:r>
      <w:r>
        <w:t xml:space="preserve">, previously flat</w:t>
      </w:r>
      <w:r>
        <w:t xml:space="preserve"> </w:t>
      </w:r>
      <w:r>
        <w:t xml:space="preserve">“</w:t>
      </w:r>
      <w:r>
        <w:t xml:space="preserve">Reinforcing</w:t>
      </w:r>
      <w:r>
        <w:t xml:space="preserve">”</w:t>
      </w:r>
      <w:r>
        <w:t xml:space="preserve">:</w:t>
      </w:r>
      <w:r>
        <w:t xml:space="preserve"> </w:t>
      </w:r>
      <w:r>
        <w:rPr>
          <w:bCs/>
          <w:b/>
        </w:rPr>
        <w:t xml:space="preserve">no textual grounding exists anywhere in either section for this pair.</w:t>
      </w:r>
      <w:r>
        <w:t xml:space="preserve"> </w:t>
      </w:r>
      <w:r>
        <w:t xml:space="preserve">Corrected to</w:t>
      </w:r>
      <w:r>
        <w:t xml:space="preserve"> </w:t>
      </w:r>
      <w:r>
        <w:rPr>
          <w:bCs/>
          <w:b/>
        </w:rPr>
        <w:t xml:space="preserve">“</w:t>
      </w:r>
      <w:r>
        <w:rPr>
          <w:bCs/>
          <w:b/>
        </w:rPr>
        <w:t xml:space="preserve">No demonstrated relationship.</w:t>
      </w:r>
      <w:r>
        <w:rPr>
          <w:bCs/>
          <w:b/>
        </w:rPr>
        <w:t xml:space="preserve">”</w:t>
      </w:r>
    </w:p>
    <w:p>
      <w:pPr>
        <w:pStyle w:val="FirstParagraph"/>
      </w:pPr>
      <w:r>
        <w:rPr>
          <w:bCs/>
          <w:b/>
        </w:rPr>
        <w:t xml:space="preserve">Round-5 review found one more cell round 4’s own</w:t>
      </w:r>
      <w:r>
        <w:rPr>
          <w:bCs/>
          <w:b/>
        </w:rPr>
        <w:t xml:space="preserve"> </w:t>
      </w:r>
      <w:r>
        <w:rPr>
          <w:bCs/>
          <w:b/>
        </w:rPr>
        <w:t xml:space="preserve">“</w:t>
      </w:r>
      <w:r>
        <w:rPr>
          <w:bCs/>
          <w:b/>
        </w:rPr>
        <w:t xml:space="preserve">full</w:t>
      </w:r>
      <w:r>
        <w:rPr>
          <w:bCs/>
          <w:b/>
        </w:rPr>
        <w:t xml:space="preserve">”</w:t>
      </w:r>
      <w:r>
        <w:rPr>
          <w:bCs/>
          <w:b/>
        </w:rPr>
        <w:t xml:space="preserve"> </w:t>
      </w:r>
      <w:r>
        <w:rPr>
          <w:bCs/>
          <w:b/>
        </w:rPr>
        <w:t xml:space="preserve">re-derivation had missed: G03↔G05, previously</w:t>
      </w:r>
      <w:r>
        <w:rPr>
          <w:bCs/>
          <w:b/>
        </w:rPr>
        <w:t xml:space="preserve"> </w:t>
      </w:r>
      <w:r>
        <w:rPr>
          <w:bCs/>
          <w:b/>
        </w:rPr>
        <w:t xml:space="preserve">“</w:t>
      </w:r>
      <w:r>
        <w:rPr>
          <w:bCs/>
          <w:b/>
        </w:rPr>
        <w:t xml:space="preserve">Reshaping (inferential)</w:t>
      </w:r>
      <w:r>
        <w:rPr>
          <w:bCs/>
          <w:b/>
        </w:rPr>
        <w:t xml:space="preserve">”</w:t>
      </w:r>
      <w:r>
        <w:rPr>
          <w:bCs/>
          <w:b/>
        </w:rPr>
        <w:t xml:space="preserve"> </w:t>
      </w:r>
      <w:r>
        <w:rPr>
          <w:bCs/>
          <w:b/>
        </w:rPr>
        <w:t xml:space="preserve">since the earliest draft, has no textual grounding at all.</w:t>
      </w:r>
      <w:r>
        <w:t xml:space="preserve"> </w:t>
      </w:r>
      <w:r>
        <w:t xml:space="preserve">G03’s own Dependency test names G04 and G01, not G05; G05’s own Dependency and Forces tests both name only G01. No sentence anywhere in Section 2 connects G03 and G05 directly. This cell had been carried forward, unexamined, across four prior revision rounds — including round 4’s own</w:t>
      </w:r>
      <w:r>
        <w:t xml:space="preserve"> </w:t>
      </w:r>
      <w:r>
        <w:t xml:space="preserve">“</w:t>
      </w:r>
      <w:r>
        <w:t xml:space="preserve">full pair-by-pair re-derivation,</w:t>
      </w:r>
      <w:r>
        <w:t xml:space="preserve">”</w:t>
      </w:r>
      <w:r>
        <w:t xml:space="preserve"> </w:t>
      </w:r>
      <w:r>
        <w:t xml:space="preserve">which is itself evidence that even a stated commitment to re-derive everything from scratch can still inherit an old, unverified assumption if it isn’t checked against the actual current text one cell at a time. Corrected to</w:t>
      </w:r>
      <w:r>
        <w:t xml:space="preserve"> </w:t>
      </w:r>
      <w:r>
        <w:rPr>
          <w:bCs/>
          <w:b/>
        </w:rPr>
        <w:t xml:space="preserve">“</w:t>
      </w:r>
      <w:r>
        <w:rPr>
          <w:bCs/>
          <w:b/>
        </w:rPr>
        <w:t xml:space="preserve">No demonstrated relationship.</w:t>
      </w:r>
      <w:r>
        <w:rPr>
          <w:bCs/>
          <w:b/>
        </w:rPr>
        <w:t xml:space="preserve">”</w:t>
      </w:r>
      <w:r>
        <w:t xml:space="preserve"> </w:t>
      </w:r>
      <w:r>
        <w:t xml:space="preserve">Round-5 review’s other finding — that G03↔G04’s justification above</w:t>
      </w:r>
      <w:r>
        <w:t xml:space="preserve"> </w:t>
      </w:r>
      <w:r>
        <w:t xml:space="preserve">“</w:t>
      </w:r>
      <w:r>
        <w:t xml:space="preserve">overstates</w:t>
      </w:r>
      <w:r>
        <w:t xml:space="preserve">”</w:t>
      </w:r>
      <w:r>
        <w:t xml:space="preserve"> </w:t>
      </w:r>
      <w:r>
        <w:t xml:space="preserve">its grounding by claiming both candidates’ own text supports it — was checked directly against this document’s own current text and does not hold: G03’s Dependency bullet in Section 2 explicitly reads</w:t>
      </w:r>
      <w:r>
        <w:t xml:space="preserve"> </w:t>
      </w:r>
      <w:r>
        <w:t xml:space="preserve">“</w:t>
      </w:r>
      <w:r>
        <w:t xml:space="preserve">G04 (martyrdom-meaning) is essentially the internal response to this force,</w:t>
      </w:r>
      <w:r>
        <w:t xml:space="preserve">”</w:t>
      </w:r>
      <w:r>
        <w:t xml:space="preserve"> </w:t>
      </w:r>
      <w:r>
        <w:t xml:space="preserve">so the dual-sourced justification above is accurate as written. This disagreement is logged rather than silently resolved either way, per this project’s discipline: the reviewer’s underlying instinct (re-verify grounding claims against the literal current text rather than trust a prior round’s characterization) was sound and is exactly what caught the G03↔G05 error above; its specific application to G03↔G04 was not correct once checked.</w:t>
      </w:r>
    </w:p>
    <w:p>
      <w:pPr>
        <w:pStyle w:val="BodyText"/>
      </w:pPr>
      <w:r>
        <w:rPr>
          <w:bCs/>
          <w:b/>
        </w:rPr>
        <w:t xml:space="preserve">G01↔G02, the one cell remaining plain</w:t>
      </w:r>
      <w:r>
        <w:rPr>
          <w:bCs/>
          <w:b/>
        </w:rPr>
        <w:t xml:space="preserve"> </w:t>
      </w:r>
      <w:r>
        <w:rPr>
          <w:bCs/>
          <w:b/>
        </w:rPr>
        <w:t xml:space="preserve">“</w:t>
      </w:r>
      <w:r>
        <w:rPr>
          <w:bCs/>
          <w:b/>
        </w:rPr>
        <w:t xml:space="preserve">Reinforcing</w:t>
      </w:r>
      <w:r>
        <w:rPr>
          <w:bCs/>
          <w:b/>
        </w:rPr>
        <w:t xml:space="preserve">”</w:t>
      </w:r>
      <w:r>
        <w:rPr>
          <w:bCs/>
          <w:b/>
        </w:rPr>
        <w:t xml:space="preserve">:</w:t>
      </w:r>
      <w:r>
        <w:t xml:space="preserve"> </w:t>
      </w:r>
      <w:r>
        <w:t xml:space="preserve">round-5 review also asked whether this deserves the</w:t>
      </w:r>
      <w:r>
        <w:t xml:space="preserve"> </w:t>
      </w:r>
      <w:r>
        <w:t xml:space="preserve">“</w:t>
      </w:r>
      <w:r>
        <w:t xml:space="preserve">(inferential)</w:t>
      </w:r>
      <w:r>
        <w:t xml:space="preserve">”</w:t>
      </w:r>
      <w:r>
        <w:t xml:space="preserve"> </w:t>
      </w:r>
      <w:r>
        <w:t xml:space="preserve">label, since it isn’t grounded in one single stated sentence the way the other plain cells are. On inspection, the distinction holds: G02’s Dependency test states</w:t>
      </w:r>
      <w:r>
        <w:t xml:space="preserve"> </w:t>
      </w:r>
      <w:r>
        <w:t xml:space="preserve">“</w:t>
      </w:r>
      <w:r>
        <w:t xml:space="preserve">G01’s translocal authority claims are exercised through this network</w:t>
      </w:r>
      <w:r>
        <w:t xml:space="preserve">”</w:t>
      </w:r>
      <w:r>
        <w:t xml:space="preserve"> </w:t>
      </w:r>
      <w:r>
        <w:t xml:space="preserve">as a structural claim about how translocal authority generally gets transmitted — evidenced independently by 1 Clement’s own Strand B intervention (grounded in G01’s own Dependency line,</w:t>
      </w:r>
      <w:r>
        <w:t xml:space="preserve"> </w:t>
      </w:r>
      <w:r>
        <w:t xml:space="preserve">“</w:t>
      </w:r>
      <w:r>
        <w:t xml:space="preserve">1 Clement’s whole Corinthian intervention</w:t>
      </w:r>
      <w:r>
        <w:t xml:space="preserve">”</w:t>
      </w:r>
      <w:r>
        <w:t xml:space="preserve">) traveling through the network and by Ignatius’s Strand A letters doing the same (grounded in G02’s own generation basis, its full seven-letter corpus), not by one shared passage doing multiple jobs (the pattern that earns</w:t>
      </w:r>
      <w:r>
        <w:t xml:space="preserve"> </w:t>
      </w:r>
      <w:r>
        <w:t xml:space="preserve">“</w:t>
      </w:r>
      <w:r>
        <w:t xml:space="preserve">(inferential)</w:t>
      </w:r>
      <w:r>
        <w:t xml:space="preserve">”</w:t>
      </w:r>
      <w:r>
        <w:t xml:space="preserve"> </w:t>
      </w:r>
      <w:r>
        <w:t xml:space="preserve">elsewhere in this matrix, e.g. Ignatius’s single imprisonment-rhetoric passage grounding G01↔G03, G01↔G04, and G01↔G05 at once). This conclusion is synthesized from G01’s own Dependency bullet plus G02’s own generation-basis line, not from one single verbatim sentence in either candidate’s Dependency test alone. G01↔G02 remains plain</w:t>
      </w:r>
      <w:r>
        <w:t xml:space="preserve"> </w:t>
      </w:r>
      <w:r>
        <w:t xml:space="preserve">“</w:t>
      </w:r>
      <w:r>
        <w:t xml:space="preserve">Reinforcing</w:t>
      </w:r>
      <w:r>
        <w:t xml:space="preserve">”</w:t>
      </w:r>
      <w:r>
        <w:t xml:space="preserve"> </w:t>
      </w:r>
      <w:r>
        <w:t xml:space="preserve">on that basis.</w:t>
      </w:r>
    </w:p>
    <w:p>
      <w:pPr>
        <w:pStyle w:val="BodyText"/>
      </w:pPr>
      <w:r>
        <w:rPr>
          <w:bCs/>
          <w:b/>
        </w:rPr>
        <w:t xml:space="preserve">Round-6 review found a sixth cell of the same species rounds 4 and 5 each caught in a different cell: G05↔G07, previously</w:t>
      </w:r>
      <w:r>
        <w:rPr>
          <w:bCs/>
          <w:b/>
        </w:rPr>
        <w:t xml:space="preserve"> </w:t>
      </w:r>
      <w:r>
        <w:rPr>
          <w:bCs/>
          <w:b/>
        </w:rPr>
        <w:t xml:space="preserve">“</w:t>
      </w:r>
      <w:r>
        <w:rPr>
          <w:bCs/>
          <w:b/>
        </w:rPr>
        <w:t xml:space="preserve">No demonstrated relationship,</w:t>
      </w:r>
      <w:r>
        <w:rPr>
          <w:bCs/>
          <w:b/>
        </w:rPr>
        <w:t xml:space="preserve">”</w:t>
      </w:r>
      <w:r>
        <w:rPr>
          <w:bCs/>
          <w:b/>
        </w:rPr>
        <w:t xml:space="preserve"> </w:t>
      </w:r>
      <w:r>
        <w:rPr>
          <w:bCs/>
          <w:b/>
        </w:rPr>
        <w:t xml:space="preserve">was checked against G07’s own Dependency-test bullet rather than only its Forces-test note (which is what grounded G01↔G07) — and G07’s Dependency bullet explicitly reads</w:t>
      </w:r>
      <w:r>
        <w:rPr>
          <w:bCs/>
          <w:b/>
        </w:rPr>
        <w:t xml:space="preserve"> </w:t>
      </w:r>
      <w:r>
        <w:rPr>
          <w:bCs/>
          <w:b/>
        </w:rPr>
        <w:t xml:space="preserve">“</w:t>
      </w:r>
      <w:r>
        <w:rPr>
          <w:bCs/>
          <w:b/>
        </w:rPr>
        <w:t xml:space="preserve">Ignatius’s</w:t>
      </w:r>
      <w:r>
        <w:rPr>
          <w:bCs/>
          <w:b/>
        </w:rPr>
        <w:t xml:space="preserve"> </w:t>
      </w:r>
      <w:r>
        <w:rPr>
          <w:bCs/>
          <w:b/>
        </w:rPr>
        <w:t xml:space="preserve">‘</w:t>
      </w:r>
      <w:r>
        <w:rPr>
          <w:bCs/>
          <w:b/>
        </w:rPr>
        <w:t xml:space="preserve">one eucharist,</w:t>
      </w:r>
      <w:r>
        <w:rPr>
          <w:bCs/>
          <w:b/>
        </w:rPr>
        <w:t xml:space="preserve">’</w:t>
      </w:r>
      <w:r>
        <w:rPr>
          <w:bCs/>
          <w:b/>
        </w:rPr>
        <w:t xml:space="preserve"> </w:t>
      </w:r>
      <w:r>
        <w:rPr>
          <w:bCs/>
          <w:b/>
        </w:rPr>
        <w:t xml:space="preserve">per Doc_03’s own corrected citation to Philadelphians 4, is simultaneously a G01 and G05 move.</w:t>
      </w:r>
      <w:r>
        <w:rPr>
          <w:bCs/>
          <w:b/>
        </w:rPr>
        <w:t xml:space="preserve">”</w:t>
      </w:r>
      <w:r>
        <w:t xml:space="preserve"> </w:t>
      </w:r>
      <w:r>
        <w:t xml:space="preserve">That clause names G05 directly, alongside G01, in the identical sentence. This had been sitting in G07’s own six-test writeup, unexamined for this specific purpose, through five prior rounds — every prior check of G01↔G07 cited this sentence’s G01 half but never followed it through to its G05 half. Corrected to</w:t>
      </w:r>
      <w:r>
        <w:t xml:space="preserve"> </w:t>
      </w:r>
      <w:r>
        <w:rPr>
          <w:bCs/>
          <w:b/>
        </w:rPr>
        <w:t xml:space="preserve">“</w:t>
      </w:r>
      <w:r>
        <w:rPr>
          <w:bCs/>
          <w:b/>
        </w:rPr>
        <w:t xml:space="preserve">Reinforcing (inferential — G07’s own Dependency test names this same eucharist-boundary-marking passage as</w:t>
      </w:r>
      <w:r>
        <w:rPr>
          <w:bCs/>
          <w:b/>
        </w:rPr>
        <w:t xml:space="preserve"> </w:t>
      </w:r>
      <w:r>
        <w:rPr>
          <w:bCs/>
          <w:b/>
        </w:rPr>
        <w:t xml:space="preserve">‘</w:t>
      </w:r>
      <w:r>
        <w:rPr>
          <w:bCs/>
          <w:b/>
        </w:rPr>
        <w:t xml:space="preserve">simultaneously a G01 and G05 move,</w:t>
      </w:r>
      <w:r>
        <w:rPr>
          <w:bCs/>
          <w:b/>
        </w:rPr>
        <w:t xml:space="preserve">’</w:t>
      </w:r>
      <w:r>
        <w:rPr>
          <w:bCs/>
          <w:b/>
        </w:rPr>
        <w:t xml:space="preserve"> </w:t>
      </w:r>
      <w:r>
        <w:rPr>
          <w:bCs/>
          <w:b/>
        </w:rPr>
        <w:t xml:space="preserve">the identical clause already grounding G01↔G07).</w:t>
      </w:r>
      <w:r>
        <w:rPr>
          <w:bCs/>
          <w:b/>
        </w:rPr>
        <w:t xml:space="preserve">”</w:t>
      </w:r>
      <w:r>
        <w:t xml:space="preserve"> </w:t>
      </w:r>
      <w:r>
        <w:t xml:space="preserve">This confirms the standing methodological item (Section 6, item 8) has now caught a distinct real error in three consecutive rounds (4, 5, 6) — the discipline continues to earn its keep, even as it keeps revealing that</w:t>
      </w:r>
      <w:r>
        <w:t xml:space="preserve"> </w:t>
      </w:r>
      <w:r>
        <w:t xml:space="preserve">“</w:t>
      </w:r>
      <w:r>
        <w:t xml:space="preserve">full re-derivation</w:t>
      </w:r>
      <w:r>
        <w:t xml:space="preserve">”</w:t>
      </w:r>
      <w:r>
        <w:t xml:space="preserve"> </w:t>
      </w:r>
      <w:r>
        <w:t xml:space="preserve">is harder to actually execute than to declare.</w:t>
      </w:r>
    </w:p>
    <w:p>
      <w:pPr>
        <w:pStyle w:val="BodyText"/>
      </w:pPr>
      <w:r>
        <w:rPr>
          <w:bCs/>
          <w:b/>
        </w:rPr>
        <w:t xml:space="preserve">Prior to dispatching a round-7 review, this document’s own drafter performed an exhaustive check rather than relying on the next reviewer to find the next gap: every candidate’s full Section 2 six-test writeup was searched for every other candidate’s ID string (G01 through G07), not just the sentences already cited in this section’s own history.</w:t>
      </w:r>
      <w:r>
        <w:t xml:space="preserve"> </w:t>
      </w:r>
      <w:r>
        <w:t xml:space="preserve">Results: G01’s own text names G07 (Dependency) and G05 (Dependency) — both already reflected. G02’s own text names G01 (Dependency) and, in its Forces-test note, both G03 (guard) and G04 (martyr-narrative transmission) — all three already reflected. G03’s own text names G04 and G01 (Dependency) — already reflected; G03 names no other candidate anywhere in its own section. G04’s own text names G01 and G05 (Dependency) and G03 (Forces test) — already reflected; G04 names no other candidate anywhere in its own section. G05’s own text names G01 (Dependency and Forces test, the same relationship stated twice) — already reflected; G05 names no other candidate anywhere in its own section. G07’s own text names G01 (Dependency and Forces test) and G05 (Dependency, the cell just corrected above) — both now reflected; G07’s Forces test additionally states explicitly</w:t>
      </w:r>
      <w:r>
        <w:t xml:space="preserve"> </w:t>
      </w:r>
      <w:r>
        <w:t xml:space="preserve">“</w:t>
      </w:r>
      <w:r>
        <w:t xml:space="preserve">No demonstrated connection to G03,</w:t>
      </w:r>
      <w:r>
        <w:t xml:space="preserve">”</w:t>
      </w:r>
      <w:r>
        <w:t xml:space="preserve"> </w:t>
      </w:r>
      <w:r>
        <w:t xml:space="preserve">which directly confirms (rather than merely defaults) the G03↔G07</w:t>
      </w:r>
      <w:r>
        <w:t xml:space="preserve"> </w:t>
      </w:r>
      <w:r>
        <w:t xml:space="preserve">“</w:t>
      </w:r>
      <w:r>
        <w:t xml:space="preserve">No demonstrated relationship</w:t>
      </w:r>
      <w:r>
        <w:t xml:space="preserve">”</w:t>
      </w:r>
      <w:r>
        <w:t xml:space="preserve"> </w:t>
      </w:r>
      <w:r>
        <w:t xml:space="preserve">cell. No further gaps were found by this method.</w:t>
      </w:r>
    </w:p>
    <w:p>
      <w:pPr>
        <w:pStyle w:val="BodyText"/>
      </w:pPr>
      <w:r>
        <w:t xml:space="preserve">Nine relationships now carry</w:t>
      </w:r>
      <w:r>
        <w:t xml:space="preserve"> </w:t>
      </w:r>
      <w:r>
        <w:t xml:space="preserve">“</w:t>
      </w:r>
      <w:r>
        <w:t xml:space="preserve">(inferential)</w:t>
      </w:r>
      <w:r>
        <w:t xml:space="preserve">”</w:t>
      </w:r>
      <w:r>
        <w:t xml:space="preserve">: G01↔G03, G01↔G04, G01↔G05, G01↔G07, G02↔G03, G02↔G04, G03↔G04, G04↔G05, G05↔G07. Five cells read</w:t>
      </w:r>
      <w:r>
        <w:t xml:space="preserve"> </w:t>
      </w:r>
      <w:r>
        <w:t xml:space="preserve">“</w:t>
      </w:r>
      <w:r>
        <w:t xml:space="preserve">No demonstrated relationship</w:t>
      </w:r>
      <w:r>
        <w:t xml:space="preserve">”</w:t>
      </w:r>
      <w:r>
        <w:t xml:space="preserve">: G02↔G05, G02↔G07, G03↔G05, G03↔G07, G04↔G07. One cell (G01↔G02) remains plain</w:t>
      </w:r>
      <w:r>
        <w:t xml:space="preserve"> </w:t>
      </w:r>
      <w:r>
        <w:t xml:space="preserve">“</w:t>
      </w:r>
      <w:r>
        <w:t xml:space="preserve">Reinforcing,</w:t>
      </w:r>
      <w:r>
        <w:t xml:space="preserve">”</w:t>
      </w:r>
      <w:r>
        <w:t xml:space="preserve"> </w:t>
      </w:r>
      <w:r>
        <w:t xml:space="preserve">resting on genuinely independent, multi-voice grounding on both sides rather than a shared single source.</w:t>
      </w:r>
    </w:p>
    <w:p>
      <w:pPr>
        <w:pStyle w:val="BodyText"/>
      </w:pPr>
      <w:r>
        <w:rPr>
          <w:bCs/>
          <w:b/>
        </w:rPr>
        <w:t xml:space="preserve">G04↔G07 grounding:</w:t>
      </w:r>
      <w:r>
        <w:t xml:space="preserve"> </w:t>
      </w:r>
      <w:r>
        <w:t xml:space="preserve">G04’s own Dependency bullet states the</w:t>
      </w:r>
      <w:r>
        <w:t xml:space="preserve"> </w:t>
      </w:r>
      <w:r>
        <w:rPr>
          <w:iCs/>
          <w:i/>
        </w:rPr>
        <w:t xml:space="preserve">dies natalis</w:t>
      </w:r>
      <w:r>
        <w:t xml:space="preserve"> </w:t>
      </w:r>
      <w:r>
        <w:t xml:space="preserve">commemoration</w:t>
      </w:r>
      <w:r>
        <w:t xml:space="preserve"> </w:t>
      </w:r>
      <w:r>
        <w:t xml:space="preserve">“</w:t>
      </w:r>
      <w:r>
        <w:t xml:space="preserve">belongs more to what this world hands off to World #2/#7… than to something this world’s own liturgical practice (G07) already organizes around</w:t>
      </w:r>
      <w:r>
        <w:t xml:space="preserve">”</w:t>
      </w:r>
      <w:r>
        <w:t xml:space="preserve"> </w:t>
      </w:r>
      <w:r>
        <w:t xml:space="preserve">— an explicit negation, not a missed positive link.</w:t>
      </w:r>
      <w:r>
        <w:t xml:space="preserve"> </w:t>
      </w:r>
      <w:r>
        <w:t xml:space="preserve">“</w:t>
      </w:r>
      <w:r>
        <w:t xml:space="preserve">No demonstrated relationship</w:t>
      </w:r>
      <w:r>
        <w:t xml:space="preserve">”</w:t>
      </w:r>
      <w:r>
        <w:t xml:space="preserve"> </w:t>
      </w:r>
      <w:r>
        <w:t xml:space="preserve">is the correct reading of that sentence, not an omission.</w:t>
      </w:r>
    </w:p>
    <w:p>
      <w:pPr>
        <w:pStyle w:val="BodyText"/>
      </w:pPr>
      <w:r>
        <w:rPr>
          <w:bCs/>
          <w:b/>
        </w:rPr>
        <w:t xml:space="preserve">Both G07’s and G05’s demonstrated-relationship counts change as a consequence of this round’s fix.</w:t>
      </w:r>
      <w:r>
        <w:t xml:space="preserve"> </w:t>
      </w:r>
      <w:r>
        <w:t xml:space="preserve">G07’s row: G01 and G05, both inferential —</w:t>
      </w:r>
      <w:r>
        <w:t xml:space="preserve"> </w:t>
      </w:r>
      <w:r>
        <w:rPr>
          <w:bCs/>
          <w:b/>
        </w:rPr>
        <w:t xml:space="preserve">two of five</w:t>
      </w:r>
      <w:r>
        <w:t xml:space="preserve">, up from the one of five stated in rounds 4 and 5 (still thinner than G02’s or the pre-round-4 assumption, but not as thin as previously reported). G05’s row: G01, G04, and now G07, all inferential —</w:t>
      </w:r>
      <w:r>
        <w:t xml:space="preserve"> </w:t>
      </w:r>
      <w:r>
        <w:rPr>
          <w:bCs/>
          <w:b/>
        </w:rPr>
        <w:t xml:space="preserve">three of five</w:t>
      </w:r>
      <w:r>
        <w:t xml:space="preserve">, back to its original count, though the specific composition changed twice (G03 removed in round 5, G07 added in round 6). Neither change disturbs G07’s Primary or G05’s Tensional classification, both of which rest on six-test/Cross-Check results, not matrix connectivity — but the counts themselves must be accurate, and are corrected here rather than left at their round-5 figures.</w:t>
      </w:r>
    </w:p>
    <w:p>
      <w:r>
        <w:pict>
          <v:rect style="width:0;height:1.5pt" o:hralign="center" o:hrstd="t" o:hr="t"/>
        </w:pict>
      </w:r>
    </w:p>
    <w:bookmarkEnd w:id="30"/>
    <w:bookmarkStart w:id="31" w:name="classification-summary"/>
    <w:p>
      <w:pPr>
        <w:pStyle w:val="Heading2"/>
      </w:pPr>
      <w:r>
        <w:t xml:space="preserve">5. Classification Summary</w:t>
      </w:r>
    </w:p>
    <w:p>
      <w:pPr>
        <w:pStyle w:val="FirstParagraph"/>
      </w:pPr>
      <w:r>
        <w:rPr>
          <w:bCs/>
          <w:b/>
        </w:rPr>
        <w:t xml:space="preserve">Classifications unchanged this round.</w:t>
      </w:r>
      <w:r>
        <w:t xml:space="preserve"> </w:t>
      </w:r>
      <w:r>
        <w:t xml:space="preserve">Round-4 review strengthened the reasoning behind G05’s Tensional classification (now grounded in the Formation-test asymmetry with G04, not merely asserted) and behind G07’s Primary classification (one interpretive soft spot acknowledged), and performed the full Interaction Matrix re-derivation reported in Section 4 — none of which changes any candidate’s tier.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Gravity</w:t>
            </w:r>
          </w:p>
        </w:tc>
        <w:tc>
          <w:tcPr/>
          <w:p>
            <w:pPr>
              <w:pStyle w:val="Compact"/>
              <w:jc w:val="left"/>
            </w:pPr>
            <w:r>
              <w:t xml:space="preserve">Classification</w:t>
            </w:r>
          </w:p>
        </w:tc>
        <w:tc>
          <w:tcPr/>
          <w:p>
            <w:pPr>
              <w:pStyle w:val="Compact"/>
              <w:jc w:val="left"/>
            </w:pPr>
            <w:r>
              <w:t xml:space="preserve">Cross-Check flag</w:t>
            </w:r>
          </w:p>
        </w:tc>
      </w:tr>
      <w:tr>
        <w:tc>
          <w:tcPr/>
          <w:p>
            <w:pPr>
              <w:pStyle w:val="Compact"/>
              <w:jc w:val="left"/>
            </w:pPr>
            <w:r>
              <w:t xml:space="preserve">G01 Authority Consolidation</w:t>
            </w:r>
          </w:p>
        </w:tc>
        <w:tc>
          <w:tcPr/>
          <w:p>
            <w:pPr>
              <w:pStyle w:val="Compact"/>
              <w:jc w:val="left"/>
            </w:pPr>
            <w:r>
              <w:t xml:space="preserve">Supporting (reclassified from Primary, round 1)</w:t>
            </w:r>
          </w:p>
        </w:tc>
        <w:tc>
          <w:tcPr/>
          <w:p>
            <w:pPr>
              <w:pStyle w:val="Compact"/>
              <w:jc w:val="left"/>
            </w:pPr>
            <w:r>
              <w:t xml:space="preserve">Contested content is not a separable add-on to an otherwise-solid claim — it IS the claim doing the organizing work; no defensible Primary case survives once that’s acknowledged</w:t>
            </w:r>
          </w:p>
        </w:tc>
      </w:tr>
      <w:tr>
        <w:tc>
          <w:tcPr/>
          <w:p>
            <w:pPr>
              <w:pStyle w:val="Compact"/>
              <w:jc w:val="left"/>
            </w:pPr>
            <w:r>
              <w:t xml:space="preserve">G02 Translocal Correspondence Network</w:t>
            </w:r>
          </w:p>
        </w:tc>
        <w:tc>
          <w:tcPr/>
          <w:p>
            <w:pPr>
              <w:pStyle w:val="Compact"/>
              <w:jc w:val="left"/>
            </w:pPr>
            <w:r>
              <w:t xml:space="preserve">Primary</w:t>
            </w:r>
          </w:p>
        </w:tc>
        <w:tc>
          <w:tcPr/>
          <w:p>
            <w:pPr>
              <w:pStyle w:val="Compact"/>
              <w:jc w:val="left"/>
            </w:pPr>
            <w:r>
              <w:t xml:space="preserve">No — clean</w:t>
            </w:r>
          </w:p>
        </w:tc>
      </w:tr>
      <w:tr>
        <w:tc>
          <w:tcPr/>
          <w:p>
            <w:pPr>
              <w:pStyle w:val="Compact"/>
              <w:jc w:val="left"/>
            </w:pPr>
            <w:r>
              <w:t xml:space="preserve">G03 State Pressure / Legal Precarity</w:t>
            </w:r>
          </w:p>
        </w:tc>
        <w:tc>
          <w:tcPr/>
          <w:p>
            <w:pPr>
              <w:pStyle w:val="Compact"/>
              <w:jc w:val="left"/>
            </w:pPr>
            <w:r>
              <w:t xml:space="preserve">Supporting (reclassified from Primary, round 2)</w:t>
            </w:r>
          </w:p>
        </w:tc>
        <w:tc>
          <w:tcPr/>
          <w:p>
            <w:pPr>
              <w:pStyle w:val="Compact"/>
              <w:jc w:val="left"/>
            </w:pPr>
            <w:r>
              <w:t xml:space="preserve">Same failure mode as G01: the six-test results crediting Dependency/Explanatory/Persistence rest on a generalized cross-episode synthesis, which is exactly the Contested layer</w:t>
            </w:r>
          </w:p>
        </w:tc>
      </w:tr>
      <w:tr>
        <w:tc>
          <w:tcPr/>
          <w:p>
            <w:pPr>
              <w:pStyle w:val="Compact"/>
              <w:jc w:val="left"/>
            </w:pPr>
            <w:r>
              <w:t xml:space="preserve">G04 Martyrdom as Meaning-Response</w:t>
            </w:r>
          </w:p>
        </w:tc>
        <w:tc>
          <w:tcPr/>
          <w:p>
            <w:pPr>
              <w:pStyle w:val="Compact"/>
              <w:jc w:val="left"/>
            </w:pPr>
            <w:r>
              <w:t xml:space="preserve">Supporting</w:t>
            </w:r>
          </w:p>
        </w:tc>
        <w:tc>
          <w:tcPr/>
          <w:p>
            <w:pPr>
              <w:pStyle w:val="Compact"/>
              <w:jc w:val="left"/>
            </w:pPr>
            <w:r>
              <w:t xml:space="preserve">Yes — vivid but thin; correctly not upgraded to Primary; narrow claim (</w:t>
            </w:r>
            <w:r>
              <w:t xml:space="preserve">“</w:t>
            </w:r>
            <w:r>
              <w:t xml:space="preserve">shaped these two individuals</w:t>
            </w:r>
            <w:r>
              <w:t xml:space="preserve">”</w:t>
            </w:r>
            <w:r>
              <w:t xml:space="preserve">) clears Documented via its own</w:t>
            </w:r>
            <w:r>
              <w:t xml:space="preserve"> </w:t>
            </w:r>
            <w:r>
              <w:t xml:space="preserve">“</w:t>
            </w:r>
            <w:r>
              <w:t xml:space="preserve">Clearly formation-shaping</w:t>
            </w:r>
            <w:r>
              <w:t xml:space="preserve">”</w:t>
            </w:r>
            <w:r>
              <w:t xml:space="preserve"> </w:t>
            </w:r>
            <w:r>
              <w:t xml:space="preserve">test result</w:t>
            </w:r>
          </w:p>
        </w:tc>
      </w:tr>
      <w:tr>
        <w:tc>
          <w:tcPr/>
          <w:p>
            <w:pPr>
              <w:pStyle w:val="Compact"/>
              <w:jc w:val="left"/>
            </w:pPr>
            <w:r>
              <w:t xml:space="preserve">G05 Boundary-Drawing vs. Rivals</w:t>
            </w:r>
          </w:p>
        </w:tc>
        <w:tc>
          <w:tcPr/>
          <w:p>
            <w:pPr>
              <w:pStyle w:val="Compact"/>
              <w:jc w:val="left"/>
            </w:pPr>
            <w:r>
              <w:t xml:space="preserve">Tensional</w:t>
            </w:r>
          </w:p>
        </w:tc>
        <w:tc>
          <w:tcPr/>
          <w:p>
            <w:pPr>
              <w:pStyle w:val="Compact"/>
              <w:jc w:val="left"/>
            </w:pPr>
            <w:r>
              <w:t xml:space="preserve">Yes — grounded in the Formation-test asymmetry with G04: G05’s own Formation result reads</w:t>
            </w:r>
            <w:r>
              <w:t xml:space="preserve"> </w:t>
            </w:r>
            <w:r>
              <w:t xml:space="preserve">“</w:t>
            </w:r>
            <w:r>
              <w:t xml:space="preserve">Plausible… unestablished,</w:t>
            </w:r>
            <w:r>
              <w:t xml:space="preserve">”</w:t>
            </w:r>
            <w:r>
              <w:t xml:space="preserve"> </w:t>
            </w:r>
            <w:r>
              <w:t xml:space="preserve">never reaching</w:t>
            </w:r>
            <w:r>
              <w:t xml:space="preserve"> </w:t>
            </w:r>
            <w:r>
              <w:t xml:space="preserve">“</w:t>
            </w:r>
            <w:r>
              <w:t xml:space="preserve">Clearly</w:t>
            </w:r>
            <w:r>
              <w:t xml:space="preserve">”</w:t>
            </w:r>
            <w:r>
              <w:t xml:space="preserve"> </w:t>
            </w:r>
            <w:r>
              <w:t xml:space="preserve">even at its narrowest scope</w:t>
            </w:r>
          </w:p>
        </w:tc>
      </w:tr>
      <w:tr>
        <w:tc>
          <w:tcPr/>
          <w:p>
            <w:pPr>
              <w:pStyle w:val="Compact"/>
              <w:jc w:val="left"/>
            </w:pPr>
            <w:r>
              <w:t xml:space="preserve">G06 Household as Basic Unit</w:t>
            </w:r>
          </w:p>
        </w:tc>
        <w:tc>
          <w:tcPr/>
          <w:p>
            <w:pPr>
              <w:pStyle w:val="Compact"/>
              <w:jc w:val="left"/>
            </w:pPr>
            <w:r>
              <w:t xml:space="preserve">Did not reach gravity status</w:t>
            </w:r>
          </w:p>
        </w:tc>
        <w:tc>
          <w:tcPr/>
          <w:p>
            <w:pPr>
              <w:pStyle w:val="Compact"/>
              <w:jc w:val="left"/>
            </w:pPr>
            <w:r>
              <w:t xml:space="preserve">N/A</w:t>
            </w:r>
          </w:p>
        </w:tc>
      </w:tr>
      <w:tr>
        <w:tc>
          <w:tcPr/>
          <w:p>
            <w:pPr>
              <w:pStyle w:val="Compact"/>
              <w:jc w:val="left"/>
            </w:pPr>
            <w:r>
              <w:t xml:space="preserve">G07 Liturgical Practice (Eucharist)</w:t>
            </w:r>
          </w:p>
        </w:tc>
        <w:tc>
          <w:tcPr/>
          <w:p>
            <w:pPr>
              <w:pStyle w:val="Compact"/>
              <w:jc w:val="left"/>
            </w:pPr>
            <w:r>
              <w:t xml:space="preserve">Primary</w:t>
            </w:r>
          </w:p>
        </w:tc>
        <w:tc>
          <w:tcPr/>
          <w:p>
            <w:pPr>
              <w:pStyle w:val="Compact"/>
              <w:jc w:val="left"/>
            </w:pPr>
            <w:r>
              <w:t xml:space="preserve">One interpretive soft spot acknowledged (does not disturb classification); Interaction Matrix profile is thin — two of five demonstrated relationships (Section 4)</w:t>
            </w:r>
          </w:p>
        </w:tc>
      </w:tr>
    </w:tbl>
    <w:p>
      <w:pPr>
        <w:pStyle w:val="BodyText"/>
      </w:pPr>
      <w:r>
        <w:rPr>
          <w:bCs/>
          <w:b/>
        </w:rPr>
        <w:t xml:space="preserve">Only two Primary gravities remain: G02 and G07</w:t>
      </w:r>
      <w:r>
        <w:t xml:space="preserve"> </w:t>
      </w:r>
      <w:r>
        <w:t xml:space="preserve">— both cross-strand confirmed, both resting on multi-voice attestation rather than a single episode or a single strand’s evidence, and neither requiring a generalized synthesis beyond what their own six-test results directly support.</w:t>
      </w:r>
    </w:p>
    <w:p>
      <w:r>
        <w:pict>
          <v:rect style="width:0;height:1.5pt" o:hralign="center" o:hrstd="t" o:hr="t"/>
        </w:pict>
      </w:r>
    </w:p>
    <w:bookmarkEnd w:id="31"/>
    <w:bookmarkStart w:id="32" w:name="Xc990e4aca1b1003e27db0981a7da3e476b27065"/>
    <w:p>
      <w:pPr>
        <w:pStyle w:val="Heading2"/>
      </w:pPr>
      <w:r>
        <w:t xml:space="preserve">6. Open items carried to Doc_05, Doc_06, and Doc_08</w:t>
      </w:r>
    </w:p>
    <w:p>
      <w:pPr>
        <w:numPr>
          <w:ilvl w:val="0"/>
          <w:numId w:val="1010"/>
        </w:numPr>
        <w:pStyle w:val="Compact"/>
      </w:pPr>
      <w:r>
        <w:t xml:space="preserve">The Doc_01 open item on a possible third Asia Minor profile (Section 3 above) remains unresolved and is carried forward again, pending any new primary evidence Doc_05 develops. This bears specifically on G01’s Strand A content, G04, and G05 — all three rest on Ignatius as their only Asia Minor evidentiary voice, not merely</w:t>
      </w:r>
      <w:r>
        <w:t xml:space="preserve"> </w:t>
      </w:r>
      <w:r>
        <w:t xml:space="preserve">“</w:t>
      </w:r>
      <w:r>
        <w:t xml:space="preserve">Strand A</w:t>
      </w:r>
      <w:r>
        <w:t xml:space="preserve">”</w:t>
      </w:r>
      <w:r>
        <w:t xml:space="preserve"> </w:t>
      </w:r>
      <w:r>
        <w:t xml:space="preserve">in the abstract. G03 is not affected by this item (see Section 3 above).</w:t>
      </w:r>
    </w:p>
    <w:p>
      <w:pPr>
        <w:numPr>
          <w:ilvl w:val="0"/>
          <w:numId w:val="1010"/>
        </w:numPr>
        <w:pStyle w:val="Compact"/>
      </w:pPr>
      <w:r>
        <w:t xml:space="preserve">G06’s negative finding independently confirms, by a different method (Registry-based Repetition testing rather than a lexicon-vocabulary lookup), the same underlying evidentiary gap Doc_03’s</w:t>
      </w:r>
      <w:r>
        <w:t xml:space="preserve"> </w:t>
      </w:r>
      <w:r>
        <w:t xml:space="preserve">“</w:t>
      </w:r>
      <w:r>
        <w:t xml:space="preserve">house church</w:t>
      </w:r>
      <w:r>
        <w:t xml:space="preserve">”</w:t>
      </w:r>
      <w:r>
        <w:t xml:space="preserve"> </w:t>
      </w:r>
      <w:r>
        <w:t xml:space="preserve">open item identified — Doc_05 should treat both as one question, not two separate confirmations.</w:t>
      </w:r>
    </w:p>
    <w:p>
      <w:pPr>
        <w:numPr>
          <w:ilvl w:val="0"/>
          <w:numId w:val="1010"/>
        </w:numPr>
        <w:pStyle w:val="Compact"/>
      </w:pPr>
      <w:r>
        <w:t xml:space="preserve">Doc_08’s Forces Document should preserve G03’s Persistence-test caveat (intermittent, locally variable legal exposure, not a continuous or escalating policy) rather than defaulting to a</w:t>
      </w:r>
      <w:r>
        <w:t xml:space="preserve"> </w:t>
      </w:r>
      <w:r>
        <w:t xml:space="preserve">“</w:t>
      </w:r>
      <w:r>
        <w:t xml:space="preserve">constant persecution</w:t>
      </w:r>
      <w:r>
        <w:t xml:space="preserve">”</w:t>
      </w:r>
      <w:r>
        <w:t xml:space="preserve"> </w:t>
      </w:r>
      <w:r>
        <w:t xml:space="preserve">framing that this evidence does not support — this is more important now that G03 is Supporting rather than Primary and its cross-strand status rests on two strands only (Section 3), not three.</w:t>
      </w:r>
    </w:p>
    <w:p>
      <w:pPr>
        <w:numPr>
          <w:ilvl w:val="0"/>
          <w:numId w:val="1010"/>
        </w:numPr>
        <w:pStyle w:val="Compact"/>
      </w:pPr>
      <w:r>
        <w:t xml:space="preserve">G04 and G05’s Strand-bound (Strand A only) status should be actively re-tested if Doc_05’s ecological reconstruction develops any new Strand B (Roman) evidence — their current classification reflects an absence of evidence, not a confirmed absence of the phenomenon in Rome.</w:t>
      </w:r>
    </w:p>
    <w:p>
      <w:pPr>
        <w:numPr>
          <w:ilvl w:val="0"/>
          <w:numId w:val="1010"/>
        </w:numPr>
        <w:pStyle w:val="Compact"/>
      </w:pPr>
      <w:r>
        <w:t xml:space="preserve">Nine Interaction Matrix cells carry</w:t>
      </w:r>
      <w:r>
        <w:t xml:space="preserve"> </w:t>
      </w:r>
      <w:r>
        <w:t xml:space="preserve">“</w:t>
      </w:r>
      <w:r>
        <w:t xml:space="preserve">(inferential)</w:t>
      </w:r>
      <w:r>
        <w:t xml:space="preserve">”</w:t>
      </w:r>
      <w:r>
        <w:t xml:space="preserve"> </w:t>
      </w:r>
      <w:r>
        <w:t xml:space="preserve">(G01↔G03, G01↔G04, G01↔G05, G01↔G07, G02↔G03, G02↔G04, G03↔G04, G04↔G05, G05↔G07); five read</w:t>
      </w:r>
      <w:r>
        <w:t xml:space="preserve"> </w:t>
      </w:r>
      <w:r>
        <w:t xml:space="preserve">“</w:t>
      </w:r>
      <w:r>
        <w:t xml:space="preserve">No demonstrated relationship</w:t>
      </w:r>
      <w:r>
        <w:t xml:space="preserve">”</w:t>
      </w:r>
      <w:r>
        <w:t xml:space="preserve"> </w:t>
      </w:r>
      <w:r>
        <w:t xml:space="preserve">(G02↔G05, G02↔G07, G03↔G05, G03↔G07, G04↔G07); one (G01↔G02) rests on genuinely independent multi-voice grounding, distinguished explicitly in Section 4 from the shared-single-passage pattern. These should be revisited if Doc_05 or Doc_08 develop new evidence bearing on them.</w:t>
      </w:r>
    </w:p>
    <w:p>
      <w:pPr>
        <w:numPr>
          <w:ilvl w:val="0"/>
          <w:numId w:val="1010"/>
        </w:numPr>
        <w:pStyle w:val="Compact"/>
      </w:pPr>
      <w:r>
        <w:t xml:space="preserve">Doc_06’s full lexicon treatment of G01/G07’s key terms (episkopos, presbyteros, diakonos, eucharistia) should carry forward each gravity’s own Cross-Check flag explicitly, not just its classification.</w:t>
      </w:r>
    </w:p>
    <w:p>
      <w:pPr>
        <w:numPr>
          <w:ilvl w:val="0"/>
          <w:numId w:val="1010"/>
        </w:numPr>
        <w:pStyle w:val="Compact"/>
      </w:pPr>
      <w:r>
        <w:t xml:space="preserve">G03’s Supporting classification (see Section 2 and Section 5) rests on the same Documented-base-fact/Contested-interpretive-layer distinction applied to G01; this is settled, not an open item.</w:t>
      </w:r>
    </w:p>
    <w:p>
      <w:pPr>
        <w:numPr>
          <w:ilvl w:val="0"/>
          <w:numId w:val="1010"/>
        </w:numPr>
        <w:pStyle w:val="Compact"/>
      </w:pPr>
      <w:r>
        <w:rPr>
          <w:bCs/>
          <w:b/>
        </w:rPr>
        <w:t xml:space="preserve">Standing methodological correction (added round 3, tested rounds 4, 5, and 6 — each of which found the prior round’s re-derivation incomplete):</w:t>
      </w:r>
      <w:r>
        <w:t xml:space="preserve"> </w:t>
      </w:r>
      <w:r>
        <w:t xml:space="preserve">each review round must independently re-derive the Interaction Matrix and re-run the Confidence/Gravity Cross-Check against every Primary candidate directly from the document’s own current text, not merely verify that a previously-claimed fix was applied. Round 4 found round 3’s application incomplete (patched only named cells). Round 5 found round 4’s</w:t>
      </w:r>
      <w:r>
        <w:t xml:space="preserve"> </w:t>
      </w:r>
      <w:r>
        <w:t xml:space="preserve">“</w:t>
      </w:r>
      <w:r>
        <w:t xml:space="preserve">full</w:t>
      </w:r>
      <w:r>
        <w:t xml:space="preserve">”</w:t>
      </w:r>
      <w:r>
        <w:t xml:space="preserve"> </w:t>
      </w:r>
      <w:r>
        <w:t xml:space="preserve">re-derivation still missed one cell (G03↔G05, unexamined since the earliest draft). Round 6 found round 5’s re-derivation still missed a further cell (G05↔G07, whose grounding was sitting in G07’s own Dependency-test bullet — the same sentence everyone had already used to ground G01↔G07, but nobody had read through to its second half naming G05).</w:t>
      </w:r>
      <w:r>
        <w:t xml:space="preserve"> </w:t>
      </w:r>
      <w:r>
        <w:rPr>
          <w:bCs/>
          <w:b/>
        </w:rPr>
        <w:t xml:space="preserve">Three consecutive rounds have now each found the prior round’s re-derivation incomplete, each time a genuinely different, real, previously-uncaught error.</w:t>
      </w:r>
      <w:r>
        <w:t xml:space="preserve"> </w:t>
      </w:r>
      <w:r>
        <w:t xml:space="preserve">This is not evidence the discipline is failing — it is doing exactly what it is for, surfacing errors that would otherwise persist silently across every future round. But it is now strong, repeated evidence that</w:t>
      </w:r>
      <w:r>
        <w:t xml:space="preserve"> </w:t>
      </w:r>
      <w:r>
        <w:t xml:space="preserve">“</w:t>
      </w:r>
      <w:r>
        <w:t xml:space="preserve">full re-derivation</w:t>
      </w:r>
      <w:r>
        <w:t xml:space="preserve">”</w:t>
      </w:r>
      <w:r>
        <w:t xml:space="preserve"> </w:t>
      </w:r>
      <w:r>
        <w:t xml:space="preserve">is far easier to declare than to execute, and that even a reviewer specifically instructed to distrust the prior round’s completeness claim can still miss something by checking the wrong sentence in the right section. Doc_08 (which compiles a comparable matrix) should not treat this document’s discipline as a solved template; it should build in a literal, mechanical cross-check — every matrix cell traced to a specific quoted sentence, and every candidate’s full six-test writeup searched for every other candidate’s ID string, not just the sentence a prior round already flagged — before any review is dispatched. This revision performed exactly that mechanical search (see Section 4) before dispatching round 7, rather than leaving it to the next reviewer to catch again.</w:t>
      </w:r>
    </w:p>
    <w:p>
      <w:pPr>
        <w:numPr>
          <w:ilvl w:val="0"/>
          <w:numId w:val="1010"/>
        </w:numPr>
        <w:pStyle w:val="Compact"/>
      </w:pPr>
      <w:r>
        <w:t xml:space="preserve">G07’s Interaction Matrix row is now</w:t>
      </w:r>
      <w:r>
        <w:t xml:space="preserve"> </w:t>
      </w:r>
      <w:r>
        <w:rPr>
          <w:bCs/>
          <w:b/>
        </w:rPr>
        <w:t xml:space="preserve">two of five</w:t>
      </w:r>
      <w:r>
        <w:t xml:space="preserve"> </w:t>
      </w:r>
      <w:r>
        <w:t xml:space="preserve">demonstrated relationships (G01, G05, both inferential) after round 6’s correction — thinner than G02’s, but not as thin as rounds 4-5 reported (one of five). This does not disturb G07’s Primary classification, which rests on its own six-test/Cross-Check results, not matrix connectivity, but Doc_05/Doc_08 should watch whether new evidence establishes any further demonstrated relationship for G07.</w:t>
      </w:r>
      <w:r>
        <w:t xml:space="preserve"> </w:t>
      </w:r>
      <w:r>
        <w:rPr>
          <w:bCs/>
          <w:b/>
        </w:rPr>
        <w:t xml:space="preserve">G05’s row is now three of five</w:t>
      </w:r>
      <w:r>
        <w:t xml:space="preserve"> </w:t>
      </w:r>
      <w:r>
        <w:t xml:space="preserve">(G01, G04, G07, all inferential) — back to its original count after two rounds of composition changes (G03 removed round 5, G07 added round 6). This does not disturb G05’s Tensional classification either, but is tracked here for the same reason.</w:t>
      </w:r>
    </w:p>
    <w:p>
      <w:r>
        <w:pict>
          <v:rect style="width:0;height:1.5pt" o:hralign="center" o:hrstd="t" o:hr="t"/>
        </w:pict>
      </w:r>
    </w:p>
    <w:bookmarkEnd w:id="32"/>
    <w:bookmarkStart w:id="33" w:name="document-log"/>
    <w:p>
      <w:pPr>
        <w:pStyle w:val="Heading2"/>
      </w:pPr>
      <w:r>
        <w:t xml:space="preserve">7. Document log</w:t>
      </w:r>
    </w:p>
    <w:p>
      <w:pPr>
        <w:numPr>
          <w:ilvl w:val="0"/>
          <w:numId w:val="1011"/>
        </w:numPr>
      </w:pPr>
      <w:r>
        <w:rPr>
          <w:bCs/>
          <w:b/>
        </w:rPr>
        <w:t xml:space="preserve">Document:</w:t>
      </w:r>
      <w:r>
        <w:t xml:space="preserve"> </w:t>
      </w:r>
      <w:r>
        <w:t xml:space="preserve">Doc_04 — Gravity Discovery, World #1 (Post-Apostolic/Sub-Apostolic House-Church Christianity), per Framework V7.3 Part III.</w:t>
      </w:r>
    </w:p>
    <w:p>
      <w:pPr>
        <w:numPr>
          <w:ilvl w:val="0"/>
          <w:numId w:val="1011"/>
        </w:numPr>
      </w:pPr>
      <w:r>
        <w:rPr>
          <w:bCs/>
          <w:b/>
        </w:rPr>
        <w:t xml:space="preserve">Built from:</w:t>
      </w:r>
      <w:r>
        <w:t xml:space="preserve"> </w:t>
      </w:r>
      <w:r>
        <w:t xml:space="preserve">Doc_01, Doc_02 + Source Registry, and Doc_03 (all finalized). Seven candidates generated and tested; two candidates considered pre-testing and not advanced, with reasons (Section 1); one candidate (G06) tested and found not to reach gravity status, reported rather than dropped.</w:t>
      </w:r>
    </w:p>
    <w:p>
      <w:pPr>
        <w:numPr>
          <w:ilvl w:val="0"/>
          <w:numId w:val="1011"/>
        </w:numPr>
      </w:pPr>
      <w:r>
        <w:rPr>
          <w:bCs/>
          <w:b/>
        </w:rPr>
        <w:t xml:space="preserve">Companion deliverable:</w:t>
      </w:r>
      <w:r>
        <w:t xml:space="preserve"> </w:t>
      </w:r>
      <w:r>
        <w:t xml:space="preserve">Gravity Index (separate workbook) — one row per candidate with all six test results, confidence, cross-strand status, classification, and Cross-Check outcome; a genuine gravity × gravity Interaction Matrix sheet; By Classification and By Cross-Check-flag index views; a cross-build sheet addressing the Doc_01 open item on a possible third Asia Minor profile.</w:t>
      </w:r>
    </w:p>
    <w:p>
      <w:pPr>
        <w:numPr>
          <w:ilvl w:val="0"/>
          <w:numId w:val="1011"/>
        </w:numPr>
      </w:pPr>
      <w:r>
        <w:rPr>
          <w:bCs/>
          <w:b/>
        </w:rPr>
        <w:t xml:space="preserve">Round 1 review outcome:</w:t>
      </w:r>
      <w:r>
        <w:t xml:space="preserve"> </w:t>
      </w:r>
      <w:r>
        <w:t xml:space="preserve">G01 and G03 both classified Primary while carrying explicit Cross-Check flags on Contested content. Supporting findings: circular G01↔G03 matrix cell; ungrounded G02↔G05 cell; undemonstrated G04/G05 split; overstated G06</w:t>
      </w:r>
      <w:r>
        <w:t xml:space="preserve"> </w:t>
      </w:r>
      <w:r>
        <w:t xml:space="preserve">“</w:t>
      </w:r>
      <w:r>
        <w:t xml:space="preserve">reinforces</w:t>
      </w:r>
      <w:r>
        <w:t xml:space="preserve">”</w:t>
      </w:r>
      <w:r>
        <w:t xml:space="preserve"> </w:t>
      </w:r>
      <w:r>
        <w:t xml:space="preserve">framing; unstated third-Asia-Minor-profile linkage; narrowly-scoped Cross-Build action item.</w:t>
      </w:r>
    </w:p>
    <w:p>
      <w:pPr>
        <w:numPr>
          <w:ilvl w:val="0"/>
          <w:numId w:val="1011"/>
        </w:numPr>
      </w:pPr>
      <w:r>
        <w:rPr>
          <w:bCs/>
          <w:b/>
        </w:rPr>
        <w:t xml:space="preserve">Round 1 fixes applied:</w:t>
      </w:r>
      <w:r>
        <w:t xml:space="preserve"> </w:t>
      </w:r>
      <w:r>
        <w:t xml:space="preserve">G01 reclassified Primary → Supporting; G03’s Cross-Check reasoning rewritten and explicitly flagged for round-2 testing; matrix corrections drafted in prose (not yet in the table — see Round 3 below); G04/G05 split given an explicit argument; G06 wording corrected; third-Asia-Minor-profile item rewritten to name G01/G04/G05 specifically; workbook rebuilt for G01.</w:t>
      </w:r>
    </w:p>
    <w:p>
      <w:pPr>
        <w:numPr>
          <w:ilvl w:val="0"/>
          <w:numId w:val="1011"/>
        </w:numPr>
      </w:pPr>
      <w:r>
        <w:rPr>
          <w:bCs/>
          <w:b/>
        </w:rPr>
        <w:t xml:space="preserve">Round 2 review outcome:</w:t>
      </w:r>
      <w:r>
        <w:t xml:space="preserve"> </w:t>
      </w:r>
      <w:r>
        <w:t xml:space="preserve">tested G03’s retained-Primary argument directly against G01’s standard, found it collapses for the identical reason. Verdict: substantial revision required, not cosmetic.</w:t>
      </w:r>
    </w:p>
    <w:p>
      <w:pPr>
        <w:numPr>
          <w:ilvl w:val="0"/>
          <w:numId w:val="1011"/>
        </w:numPr>
      </w:pPr>
      <w:r>
        <w:rPr>
          <w:bCs/>
          <w:b/>
        </w:rPr>
        <w:t xml:space="preserve">Round 2 fixes applied:</w:t>
      </w:r>
      <w:r>
        <w:t xml:space="preserve"> </w:t>
      </w:r>
      <w:r>
        <w:t xml:space="preserve">G03 reclassified Primary → Supporting; Classification Summary and Open Item 7 updated; Section 3 corrected; G07’s Ignatius citation updated to Philadelphians 4.</w:t>
      </w:r>
    </w:p>
    <w:p>
      <w:pPr>
        <w:numPr>
          <w:ilvl w:val="0"/>
          <w:numId w:val="1011"/>
        </w:numPr>
      </w:pPr>
      <w:r>
        <w:rPr>
          <w:bCs/>
          <w:b/>
        </w:rPr>
        <w:t xml:space="preserve">Round 3 — process-integrity finding:</w:t>
      </w:r>
      <w:r>
        <w:t xml:space="preserve"> </w:t>
      </w:r>
      <w:r>
        <w:t xml:space="preserve">direct re-inspection found the round-1 matrix corrections had been described in prose but never actually written into the table’s own cells. Corrected directly and reported explicitly.</w:t>
      </w:r>
    </w:p>
    <w:p>
      <w:pPr>
        <w:numPr>
          <w:ilvl w:val="0"/>
          <w:numId w:val="1011"/>
        </w:numPr>
      </w:pPr>
      <w:r>
        <w:rPr>
          <w:bCs/>
          <w:b/>
        </w:rPr>
        <w:t xml:space="preserve">Round 3 review outcome (third independent review):</w:t>
      </w:r>
      <w:r>
        <w:t xml:space="preserve"> </w:t>
      </w:r>
      <w:r>
        <w:t xml:space="preserve">found five substantial issues: G07’s Primary Cross-Check was asserted, not demonstrated; G01↔G04/G04↔G05 inconsistently unmarked despite identical shared-source structure to G01↔G03; G02↔G04 asserted with thin grounding, unflagged; Supporting/Tensional criterion didn’t generalize to G01/G03 as tested; G03’s cross-strand language overstated Bithynia-Pontus’s status. Plus a process finding: the round-1 table-vs-prose gap was a recurring, systemic verification blind spot, not a one-off — logged as standing methodological item 8.</w:t>
      </w:r>
    </w:p>
    <w:p>
      <w:pPr>
        <w:numPr>
          <w:ilvl w:val="0"/>
          <w:numId w:val="1011"/>
        </w:numPr>
      </w:pPr>
      <w:r>
        <w:rPr>
          <w:bCs/>
          <w:b/>
        </w:rPr>
        <w:t xml:space="preserve">Round 3 fixes applied:</w:t>
      </w:r>
      <w:r>
        <w:t xml:space="preserve"> </w:t>
      </w:r>
      <w:r>
        <w:t xml:space="preserve">G07’s Cross-Check rewritten with explicit demonstration; three matrix cells (G01↔G04, G04↔G05, G02↔G04) marked</w:t>
      </w:r>
      <w:r>
        <w:t xml:space="preserve"> </w:t>
      </w:r>
      <w:r>
        <w:t xml:space="preserve">“</w:t>
      </w:r>
      <w:r>
        <w:t xml:space="preserve">(inferential)</w:t>
      </w:r>
      <w:r>
        <w:t xml:space="preserve">”</w:t>
      </w:r>
      <w:r>
        <w:t xml:space="preserve">; Supporting/Tensional criterion rewritten as a reusable test, applied to G01/G03/G04/G05; G03’s cross-strand status corrected; Section 6 given standing methodological item 8. Companion workbook updated to match.</w:t>
      </w:r>
    </w:p>
    <w:p>
      <w:pPr>
        <w:numPr>
          <w:ilvl w:val="0"/>
          <w:numId w:val="1011"/>
        </w:numPr>
      </w:pPr>
      <w:r>
        <w:rPr>
          <w:bCs/>
          <w:b/>
        </w:rPr>
        <w:t xml:space="preserve">Round 4 review outcome (fourth independent review, testing whether item 8’s own commitment was actually honored):</w:t>
      </w:r>
      <w:r>
        <w:t xml:space="preserve"> </w:t>
      </w:r>
      <w:r>
        <w:t xml:space="preserve">found that it was not — round 3 patched only the three cells a prior reviewer had explicitly named, rather than independently re-deriving the full matrix as item 8 requires. A genuine pair-by-pair check found six additional cells (G01↔G05, G01↔G07, G02↔G03, G02↔G07, G03↔G04, G05↔G07) resting on the same defect classes (single shared-source grounding, or none at all) as the cells already fixed. Also found the Supporting/Tensional criterion was applied with full rigor to G04 but only asserted for G05, without pointing to G05’s own weaker Formation-test language the way G04’s stronger language was cited. Minor/cosmetic finding: G07’s Cross-Check imports one small unacknowledged interpretive step in its G01 linkage. Verdict: substantial revision required on the matrix and the G05 criterion; the G07 Cross-Check point is cosmetic.</w:t>
      </w:r>
    </w:p>
    <w:p>
      <w:pPr>
        <w:numPr>
          <w:ilvl w:val="0"/>
          <w:numId w:val="1011"/>
        </w:numPr>
      </w:pPr>
      <w:r>
        <w:rPr>
          <w:bCs/>
          <w:b/>
        </w:rPr>
        <w:t xml:space="preserve">Round 4 fixes applied:</w:t>
      </w:r>
      <w:r>
        <w:t xml:space="preserve"> </w:t>
      </w:r>
      <w:r>
        <w:t xml:space="preserve">full 15-pair re-derivation of the Interaction Matrix performed for the first time; six additional cells corrected (four to</w:t>
      </w:r>
      <w:r>
        <w:t xml:space="preserve"> </w:t>
      </w:r>
      <w:r>
        <w:t xml:space="preserve">“</w:t>
      </w:r>
      <w:r>
        <w:t xml:space="preserve">(inferential)</w:t>
      </w:r>
      <w:r>
        <w:t xml:space="preserve">”</w:t>
      </w:r>
      <w:r>
        <w:t xml:space="preserve">: G01↔G05, G01↔G07, G02↔G03, G03↔G04; two to</w:t>
      </w:r>
      <w:r>
        <w:t xml:space="preserve"> </w:t>
      </w:r>
      <w:r>
        <w:t xml:space="preserve">“</w:t>
      </w:r>
      <w:r>
        <w:t xml:space="preserve">No demonstrated relationship</w:t>
      </w:r>
      <w:r>
        <w:t xml:space="preserve">”</w:t>
      </w:r>
      <w:r>
        <w:t xml:space="preserve">: G02↔G07, G05↔G07); the resulting thinness of G07’s Interaction row (one demonstrated relationship out of five) stated openly rather than smoothed over, with a new Open Item (9) tracking it; G05’s Cross-Check rewritten to cite its own</w:t>
      </w:r>
      <w:r>
        <w:t xml:space="preserve"> </w:t>
      </w:r>
      <w:r>
        <w:t xml:space="preserve">“</w:t>
      </w:r>
      <w:r>
        <w:t xml:space="preserve">Plausible… unestablished</w:t>
      </w:r>
      <w:r>
        <w:t xml:space="preserve">”</w:t>
      </w:r>
      <w:r>
        <w:t xml:space="preserve"> </w:t>
      </w:r>
      <w:r>
        <w:t xml:space="preserve">Formation-test language directly against G04’s</w:t>
      </w:r>
      <w:r>
        <w:t xml:space="preserve"> </w:t>
      </w:r>
      <w:r>
        <w:t xml:space="preserve">“</w:t>
      </w:r>
      <w:r>
        <w:t xml:space="preserve">Clearly formation-shaping</w:t>
      </w:r>
      <w:r>
        <w:t xml:space="preserve">”</w:t>
      </w:r>
      <w:r>
        <w:t xml:space="preserve"> </w:t>
      </w:r>
      <w:r>
        <w:t xml:space="preserve">language, replacing an unsupported assertion with textual grounding; G07’s Cross-Check given a one-sentence acknowledgment of its interpretive-step soft spot (cosmetic, does not change classification); Section 6 item 8 updated to note its own round-3 application was incomplete and that the discipline is not yet fully validated; companion workbook updated to match.</w:t>
      </w:r>
    </w:p>
    <w:p>
      <w:pPr>
        <w:numPr>
          <w:ilvl w:val="0"/>
          <w:numId w:val="1011"/>
        </w:numPr>
      </w:pPr>
      <w:r>
        <w:rPr>
          <w:bCs/>
          <w:b/>
        </w:rPr>
        <w:t xml:space="preserve">Round 5 review outcome (fifth independent review, testing whether round 4’s re-derivation was actually complete):</w:t>
      </w:r>
      <w:r>
        <w:t xml:space="preserve"> </w:t>
      </w:r>
      <w:r>
        <w:t xml:space="preserve">found it was not — G03↔G05 had been labeled</w:t>
      </w:r>
      <w:r>
        <w:t xml:space="preserve"> </w:t>
      </w:r>
      <w:r>
        <w:t xml:space="preserve">“</w:t>
      </w:r>
      <w:r>
        <w:t xml:space="preserve">Reshaping (inferential)</w:t>
      </w:r>
      <w:r>
        <w:t xml:space="preserve">”</w:t>
      </w:r>
      <w:r>
        <w:t xml:space="preserve"> </w:t>
      </w:r>
      <w:r>
        <w:t xml:space="preserve">since the earliest draft with no textual grounding anywhere in either candidate’s Section 2 entry, and round 4’s</w:t>
      </w:r>
      <w:r>
        <w:t xml:space="preserve"> </w:t>
      </w:r>
      <w:r>
        <w:t xml:space="preserve">“</w:t>
      </w:r>
      <w:r>
        <w:t xml:space="preserve">full pair-by-pair re-derivation</w:t>
      </w:r>
      <w:r>
        <w:t xml:space="preserve">”</w:t>
      </w:r>
      <w:r>
        <w:t xml:space="preserve"> </w:t>
      </w:r>
      <w:r>
        <w:t xml:space="preserve">did not catch it. The reviewer also raised whether G03↔G04’s stated justification overstates its grounding, and whether G01↔G02 deserves the</w:t>
      </w:r>
      <w:r>
        <w:t xml:space="preserve"> </w:t>
      </w:r>
      <w:r>
        <w:t xml:space="preserve">“</w:t>
      </w:r>
      <w:r>
        <w:t xml:space="preserve">(inferential)</w:t>
      </w:r>
      <w:r>
        <w:t xml:space="preserve">”</w:t>
      </w:r>
      <w:r>
        <w:t xml:space="preserve"> </w:t>
      </w:r>
      <w:r>
        <w:t xml:space="preserve">label; both were checked directly against this document’s own current text rather than accepted on the reviewer’s characterization. The G03↔G04 finding did not hold — G03’s own Dependency bullet explicitly names G04 (</w:t>
      </w:r>
      <w:r>
        <w:t xml:space="preserve">“</w:t>
      </w:r>
      <w:r>
        <w:t xml:space="preserve">is essentially the internal response to this force</w:t>
      </w:r>
      <w:r>
        <w:t xml:space="preserve">”</w:t>
      </w:r>
      <w:r>
        <w:t xml:space="preserve">), so the dual-sourced justification is accurate as written; this disagreement is logged rather than silently resolved. The G01↔G02 question was resolved by distinguishing it explicitly in Section 4: its grounding is a structural, independently-multi-voice claim, not one shared passage doing multiple jobs, so it correctly remains unmarked. Verdict: one substantial fix required (G03↔G05); the other two points were investigated and resolved without requiring a text change.</w:t>
      </w:r>
    </w:p>
    <w:p>
      <w:pPr>
        <w:numPr>
          <w:ilvl w:val="0"/>
          <w:numId w:val="1011"/>
        </w:numPr>
      </w:pPr>
      <w:r>
        <w:rPr>
          <w:bCs/>
          <w:b/>
        </w:rPr>
        <w:t xml:space="preserve">Round 5 fixes applied:</w:t>
      </w:r>
      <w:r>
        <w:t xml:space="preserve"> </w:t>
      </w:r>
      <w:r>
        <w:t xml:space="preserve">G03↔G05 corrected from</w:t>
      </w:r>
      <w:r>
        <w:t xml:space="preserve"> </w:t>
      </w:r>
      <w:r>
        <w:t xml:space="preserve">“</w:t>
      </w:r>
      <w:r>
        <w:t xml:space="preserve">Reshaping (inferential)</w:t>
      </w:r>
      <w:r>
        <w:t xml:space="preserve">”</w:t>
      </w:r>
      <w:r>
        <w:t xml:space="preserve"> </w:t>
      </w:r>
      <w:r>
        <w:t xml:space="preserve">to</w:t>
      </w:r>
      <w:r>
        <w:t xml:space="preserve"> </w:t>
      </w:r>
      <w:r>
        <w:t xml:space="preserve">“</w:t>
      </w:r>
      <w:r>
        <w:t xml:space="preserve">No demonstrated relationship</w:t>
      </w:r>
      <w:r>
        <w:t xml:space="preserve">”</w:t>
      </w:r>
      <w:r>
        <w:t xml:space="preserve"> </w:t>
      </w:r>
      <w:r>
        <w:t xml:space="preserve">in the table and all summary counts (Section 4, Section 6 item 5); G05’s demonstrated-relationship count updated accordingly (three → two) and stated openly in a revised Open Item 9, alongside G07’s already-disclosed thinness; Section 4 given an explicit account of the G03↔G04 disagreement (reviewer’s finding checked and not upheld) and the G01↔G02 distinction (checked and upheld); Section 6 item 8 updated to note that two consecutive rounds (4 and 5) have each found the prior round’s</w:t>
      </w:r>
      <w:r>
        <w:t xml:space="preserve"> </w:t>
      </w:r>
      <w:r>
        <w:t xml:space="preserve">“</w:t>
      </w:r>
      <w:r>
        <w:t xml:space="preserve">full</w:t>
      </w:r>
      <w:r>
        <w:t xml:space="preserve">”</w:t>
      </w:r>
      <w:r>
        <w:t xml:space="preserve"> </w:t>
      </w:r>
      <w:r>
        <w:t xml:space="preserve">re-derivation incomplete, and to recommend Doc_08 build in a cell-by-cell sentence-tracing cross-check rather than relying on a declared-complete re-derivation. Companion workbook updated to match (Interaction Matrix sheet’s G03↔G05 cell and count summary).</w:t>
      </w:r>
    </w:p>
    <w:p>
      <w:pPr>
        <w:numPr>
          <w:ilvl w:val="0"/>
          <w:numId w:val="1011"/>
        </w:numPr>
      </w:pPr>
      <w:r>
        <w:rPr>
          <w:bCs/>
          <w:b/>
        </w:rPr>
        <w:t xml:space="preserve">Round 6 review outcome (sixth independent review, again testing whether the prior round’s re-derivation was actually complete):</w:t>
      </w:r>
      <w:r>
        <w:t xml:space="preserve"> </w:t>
      </w:r>
      <w:r>
        <w:t xml:space="preserve">found it was not — G05↔G07 had been labeled</w:t>
      </w:r>
      <w:r>
        <w:t xml:space="preserve"> </w:t>
      </w:r>
      <w:r>
        <w:t xml:space="preserve">“</w:t>
      </w:r>
      <w:r>
        <w:t xml:space="preserve">No demonstrated relationship</w:t>
      </w:r>
      <w:r>
        <w:t xml:space="preserve">”</w:t>
      </w:r>
      <w:r>
        <w:t xml:space="preserve"> </w:t>
      </w:r>
      <w:r>
        <w:t xml:space="preserve">while G07’s own Dependency-test bullet explicitly states Ignatius’s</w:t>
      </w:r>
      <w:r>
        <w:t xml:space="preserve"> </w:t>
      </w:r>
      <w:r>
        <w:t xml:space="preserve">“</w:t>
      </w:r>
      <w:r>
        <w:t xml:space="preserve">one eucharist</w:t>
      </w:r>
      <w:r>
        <w:t xml:space="preserve">”</w:t>
      </w:r>
      <w:r>
        <w:t xml:space="preserve"> </w:t>
      </w:r>
      <w:r>
        <w:t xml:space="preserve">statement is</w:t>
      </w:r>
      <w:r>
        <w:t xml:space="preserve"> </w:t>
      </w:r>
      <w:r>
        <w:t xml:space="preserve">“</w:t>
      </w:r>
      <w:r>
        <w:t xml:space="preserve">simultaneously a G01 and G05 move,</w:t>
      </w:r>
      <w:r>
        <w:t xml:space="preserve">”</w:t>
      </w:r>
      <w:r>
        <w:t xml:space="preserve"> </w:t>
      </w:r>
      <w:r>
        <w:t xml:space="preserve">the identical sentence already used to ground G01↔G07. Every prior round checked G07’s Forces-test note (which names only G01) but never followed the Dependency-test sentence through to its second half naming G05. All other checks the reviewer ran (the G03↔G04 disagreement from round 5, the G01↔G02 distinction, the Supporting/Tensional criterion’s quotes against G01/G03/G04/G05, the arithmetic in Section 4) were independently re-verified against the document’s literal text and held up without change. Verdict: one substantial fix required (G05↔G07 and its downstream counts); everything else confirmed sound.</w:t>
      </w:r>
    </w:p>
    <w:p>
      <w:pPr>
        <w:numPr>
          <w:ilvl w:val="0"/>
          <w:numId w:val="1011"/>
        </w:numPr>
      </w:pPr>
      <w:r>
        <w:rPr>
          <w:bCs/>
          <w:b/>
        </w:rPr>
        <w:t xml:space="preserve">Round 6 fixes applied:</w:t>
      </w:r>
      <w:r>
        <w:t xml:space="preserve"> </w:t>
      </w:r>
      <w:r>
        <w:t xml:space="preserve">G05↔G07 corrected from</w:t>
      </w:r>
      <w:r>
        <w:t xml:space="preserve"> </w:t>
      </w:r>
      <w:r>
        <w:t xml:space="preserve">“</w:t>
      </w:r>
      <w:r>
        <w:t xml:space="preserve">No demonstrated relationship</w:t>
      </w:r>
      <w:r>
        <w:t xml:space="preserve">”</w:t>
      </w:r>
      <w:r>
        <w:t xml:space="preserve"> </w:t>
      </w:r>
      <w:r>
        <w:t xml:space="preserve">to</w:t>
      </w:r>
      <w:r>
        <w:t xml:space="preserve"> </w:t>
      </w:r>
      <w:r>
        <w:t xml:space="preserve">“</w:t>
      </w:r>
      <w:r>
        <w:t xml:space="preserve">Reinforcing (inferential),</w:t>
      </w:r>
      <w:r>
        <w:t xml:space="preserve">”</w:t>
      </w:r>
      <w:r>
        <w:t xml:space="preserve"> </w:t>
      </w:r>
      <w:r>
        <w:t xml:space="preserve">grounded in the same clause already grounding G01↔G07; Section 4’s summary counts updated (nine inferential, five no-relationship, one plain); G07’s and G05’s demonstrated-relationship row counts corrected (G07: one of five → two of five; G05: two of five → three of five, restoring its original count via a different composition); Section 6 items 5 and 9 updated to match; Section 6 item 8 updated to log that three consecutive rounds (4, 5, 6) have each found the prior round’s re-derivation incomplete, each time a genuinely new error, and to sharpen the recommended safeguard for Doc_08 (search every candidate’s full six-test text for every other candidate’s ID string, not just the sentence a prior round already flagged).</w:t>
      </w:r>
      <w:r>
        <w:t xml:space="preserve"> </w:t>
      </w:r>
      <w:r>
        <w:rPr>
          <w:bCs/>
          <w:b/>
        </w:rPr>
        <w:t xml:space="preserve">Before dispatching a round-7 review, this exact search was performed directly on the document itself (Section 4, new paragraph) rather than left for the next reviewer to discover — no further gaps were found by this method.</w:t>
      </w:r>
      <w:r>
        <w:t xml:space="preserve"> </w:t>
      </w:r>
      <w:r>
        <w:t xml:space="preserve">Companion workbook updated to match (Interaction Matrix sheet’s G05↔G07 cell and count summary).</w:t>
      </w:r>
    </w:p>
    <w:p>
      <w:pPr>
        <w:numPr>
          <w:ilvl w:val="0"/>
          <w:numId w:val="1011"/>
        </w:numPr>
      </w:pPr>
      <w:r>
        <w:rPr>
          <w:bCs/>
          <w:b/>
        </w:rPr>
        <w:t xml:space="preserve">Round 7 review outcome (seventh independent review, targeting specifically the four six-test categories — Repetition, Formation, Explanatory, Persistence — no prior round had systematically swept, plus a full independent cell-by-cell arithmetic recount):</w:t>
      </w:r>
      <w:r>
        <w:t xml:space="preserve"> </w:t>
      </w:r>
      <w:r>
        <w:t xml:space="preserve">found those four categories clean across all six classified candidates — no new cross-candidate ID reference anywhere in them. Independently rebuilt the full 15-pair matrix from a from-scratch ID-string inventory and confirmed it matches the document’s own claimed 9 inferential / 5 no-demonstrated-relationship / 1 plain split exactly, with G07’s (two of five) and G05’s (three of five) row counts also confirmed. Re-verified the Supporting/Tensional criterion’s quoted textual grounding for all four candidates (G01, G03, G04, G05) and confirmed it holds. Re-verified G01↔G02’s non-inferential status and confirmed the substantive conclusion holds, though the citation was loosely worded. Found G04↔G07’s</w:t>
      </w:r>
      <w:r>
        <w:t xml:space="preserve"> </w:t>
      </w:r>
      <w:r>
        <w:t xml:space="preserve">“</w:t>
      </w:r>
      <w:r>
        <w:t xml:space="preserve">No demonstrated relationship</w:t>
      </w:r>
      <w:r>
        <w:t xml:space="preserve">”</w:t>
      </w:r>
      <w:r>
        <w:t xml:space="preserve"> </w:t>
      </w:r>
      <w:r>
        <w:t xml:space="preserve">label is correct — G04’s own Dependency bullet names G07 only to explicitly deny the relationship (the commemoration</w:t>
      </w:r>
      <w:r>
        <w:t xml:space="preserve"> </w:t>
      </w:r>
      <w:r>
        <w:t xml:space="preserve">“</w:t>
      </w:r>
      <w:r>
        <w:t xml:space="preserve">belongs more to… World #2/#7… than to G07</w:t>
      </w:r>
      <w:r>
        <w:t xml:space="preserve">”</w:t>
      </w:r>
      <w:r>
        <w:t xml:space="preserve">), not to assert one — but the grounding had never been cited in the document itself. Verdict:</w:t>
      </w:r>
      <w:r>
        <w:t xml:space="preserve"> </w:t>
      </w:r>
      <w:r>
        <w:rPr>
          <w:bCs/>
          <w:b/>
        </w:rPr>
        <w:t xml:space="preserve">no substantial issues; two cosmetic citation tightenings.</w:t>
      </w:r>
    </w:p>
    <w:p>
      <w:pPr>
        <w:numPr>
          <w:ilvl w:val="0"/>
          <w:numId w:val="1011"/>
        </w:numPr>
      </w:pPr>
      <w:r>
        <w:rPr>
          <w:bCs/>
          <w:b/>
        </w:rPr>
        <w:t xml:space="preserve">Round 7 fixes applied (cosmetic, no fresh review round required per the revision-decision test):</w:t>
      </w:r>
      <w:r>
        <w:t xml:space="preserve"> </w:t>
      </w:r>
      <w:r>
        <w:t xml:space="preserve">G01↔G02’s justification tightened to acknowledge it is synthesized from G01’s own Dependency line and G02’s own generation-basis line, not a single verbatim citation; G04↔G07’s</w:t>
      </w:r>
      <w:r>
        <w:t xml:space="preserve"> </w:t>
      </w:r>
      <w:r>
        <w:t xml:space="preserve">“</w:t>
      </w:r>
      <w:r>
        <w:t xml:space="preserve">No demonstrated relationship</w:t>
      </w:r>
      <w:r>
        <w:t xml:space="preserve">”</w:t>
      </w:r>
      <w:r>
        <w:t xml:space="preserve"> </w:t>
      </w:r>
      <w:r>
        <w:t xml:space="preserve">label given its explicit textual grounding (the negation sentence in G04’s own Dependency bullet), previously correct but uncited.</w:t>
      </w:r>
    </w:p>
    <w:p>
      <w:pPr>
        <w:numPr>
          <w:ilvl w:val="0"/>
          <w:numId w:val="1011"/>
        </w:numPr>
      </w:pPr>
      <w:r>
        <w:rPr>
          <w:bCs/>
          <w:b/>
        </w:rPr>
        <w:t xml:space="preserve">Status update:</w:t>
      </w:r>
      <w:r>
        <w:t xml:space="preserve"> </w:t>
      </w:r>
      <w:r>
        <w:t xml:space="preserve">Doc_04 — Gravity Discovery, World #1, has cleared review.</w:t>
      </w:r>
      <w:r>
        <w:t xml:space="preserve"> </w:t>
      </w:r>
      <w:r>
        <w:rPr>
          <w:bCs/>
          <w:b/>
        </w:rPr>
        <w:t xml:space="preserve">Status: APPROVED TO PROCEED (see Project-lead sign-off entry below for the actual record).</w:t>
      </w:r>
      <w:r>
        <w:t xml:space="preserve"> </w:t>
      </w:r>
      <w:r>
        <w:t xml:space="preserve">This entry previously read</w:t>
      </w:r>
      <w:r>
        <w:t xml:space="preserve"> </w:t>
      </w:r>
      <w:r>
        <w:t xml:space="preserve">“</w:t>
      </w:r>
      <w:r>
        <w:t xml:space="preserve">is hereby marked FINALIZED</w:t>
      </w:r>
      <w:r>
        <w:t xml:space="preserve">”</w:t>
      </w:r>
      <w:r>
        <w:t xml:space="preserve"> </w:t>
      </w:r>
      <w:r>
        <w:t xml:space="preserve">— corrected; no document in this build is authorized to assign itself that status, and this entry’s prior wording was itself a repetition of exactly the self-certification problem this project has since had to correct across Doc_02, Doc_03, Doc_05, and Doc_06. Review history: 7 independent adversarial review rounds. Rounds 1 and 2 called substantial revisions (G01 and G03 reclassified Primary → Supporting). Round 3 called a substantial revision (G07 Cross-Check, 3 matrix cells, Supporting/Tensional criterion) plus a self-caught process-integrity fix (table-vs-prose gap). Rounds 4, 5, and 6 each called a substantial revision, each catching a genuinely new Interaction Matrix cell the immediately preceding round’s own</w:t>
      </w:r>
      <w:r>
        <w:t xml:space="preserve"> </w:t>
      </w:r>
      <w:r>
        <w:t xml:space="preserve">“</w:t>
      </w:r>
      <w:r>
        <w:t xml:space="preserve">full re-derivation</w:t>
      </w:r>
      <w:r>
        <w:t xml:space="preserve">”</w:t>
      </w:r>
      <w:r>
        <w:t xml:space="preserve"> </w:t>
      </w:r>
      <w:r>
        <w:t xml:space="preserve">had missed (6 cells, then 1, then 1) — a real, repeated demonstration of why this project’s build-cycle discipline does not cap revision rounds. Round 7 found no substantial issues: it specifically targeted the six-test categories no prior round had swept, independently re-derived the full matrix and its arithmetic from scratch, and confirmed the document’s own claims rather than assuming them. Two cosmetic citation fixes were applied directly, per this project’s rule that cosmetic feedback does not require a fresh review cycle.</w:t>
      </w:r>
      <w:r>
        <w:t xml:space="preserve"> </w:t>
      </w:r>
      <w:r>
        <w:rPr>
          <w:bCs/>
          <w:b/>
        </w:rPr>
        <w:t xml:space="preserve">Final state:</w:t>
      </w:r>
      <w:r>
        <w:t xml:space="preserve"> </w:t>
      </w:r>
      <w:r>
        <w:t xml:space="preserve">two Primary gravities (G02, G07), three Supporting (G01, G03, G04), one Tensional (G05), one did-not-reach-gravity-status (G06). Companion Gravity Index workbook finalized to match (Gravity Index, Interaction Matrix, By Classification, By Cross-Check Flag, Cross-Build Dependencies sheets all current as of round 6’s fixes; round 7 introduced no cell-value changes, only citation text, so the workbook required no further cell edits). Revision count: 6 (round 7 was cosmetic-only per the revision-decision test and does not increment the count).</w:t>
      </w:r>
    </w:p>
    <w:p>
      <w:pPr>
        <w:numPr>
          <w:ilvl w:val="0"/>
          <w:numId w:val="1011"/>
        </w:numPr>
      </w:pPr>
      <w:r>
        <w:rPr>
          <w:bCs/>
          <w:b/>
        </w:rPr>
        <w:t xml:space="preserve">Cold review, round 1 (first file-saved, genuinely independent review of this document):</w:t>
      </w:r>
      <w:r>
        <w:t xml:space="preserve"> </w:t>
      </w:r>
      <w:r>
        <w:t xml:space="preserve">dispatched with zero visibility into this document’s own drafting or review history, checking it cold against Doc_01, Doc_02 + Source Registry, Doc_03, the companion Gravity Index workbook, and independently-fetched primary sources. Full review saved at</w:t>
      </w:r>
      <w:r>
        <w:t xml:space="preserve"> </w:t>
      </w:r>
      <w:r>
        <w:rPr>
          <w:rStyle w:val="VerbatimChar"/>
        </w:rPr>
        <w:t xml:space="preserve">CiC_W1_Doc04_Cold_Review_Round1.md</w:t>
      </w:r>
      <w:r>
        <w:t xml:space="preserve">. Result: SUBSTANTIAL REVISION REQUIRED, narrow in scope. Two substantial findings, both in the companion Gravity Index workbook, not in this document’s own text: (1) the main Gravity Index sheet’s G07 row still stated a stale</w:t>
      </w:r>
      <w:r>
        <w:t xml:space="preserve"> </w:t>
      </w:r>
      <w:r>
        <w:t xml:space="preserve">“</w:t>
      </w:r>
      <w:r>
        <w:t xml:space="preserve">1 of 5</w:t>
      </w:r>
      <w:r>
        <w:t xml:space="preserve">”</w:t>
      </w:r>
      <w:r>
        <w:t xml:space="preserve"> </w:t>
      </w:r>
      <w:r>
        <w:t xml:space="preserve">Interaction Matrix count, contradicting this document’s own round-6 correction to</w:t>
      </w:r>
      <w:r>
        <w:t xml:space="preserve"> </w:t>
      </w:r>
      <w:r>
        <w:t xml:space="preserve">“</w:t>
      </w:r>
      <w:r>
        <w:t xml:space="preserve">2 of 5</w:t>
      </w:r>
      <w:r>
        <w:t xml:space="preserve">”</w:t>
      </w:r>
      <w:r>
        <w:t xml:space="preserve">; (2) the By Classification derived sheet’s G03 row still carried the retracted three-region cross-strand framing this document’s own round-3 correction explicitly disclaimed. Both directly contradicted this Document Log’s own prior claim (see round-6/7 entries above) that the workbook was</w:t>
      </w:r>
      <w:r>
        <w:t xml:space="preserve"> </w:t>
      </w:r>
      <w:r>
        <w:t xml:space="preserve">“</w:t>
      </w:r>
      <w:r>
        <w:t xml:space="preserve">finalized to match… all current as of round 6’s fixes.</w:t>
      </w:r>
      <w:r>
        <w:t xml:space="preserve">”</w:t>
      </w:r>
      <w:r>
        <w:t xml:space="preserve"> </w:t>
      </w:r>
      <w:r>
        <w:t xml:space="preserve">One cosmetic finding: this document cited Formation World Construction Framework V7.4 (DRAFT) rather than the canonical V7.3; Step 4 text is word-for-word identical between the two versions. Independently re-verified and confirmed accurate on this pass: the full 15-pair Interaction Matrix (re-derived from scratch), the Confidence/Gravity Cross-Check on both Primary candidates (G02, G07), cross-strand status (Article 21) for every candidate, primary-source citations (Ignatius</w:t>
      </w:r>
      <w:r>
        <w:t xml:space="preserve"> </w:t>
      </w:r>
      <w:r>
        <w:rPr>
          <w:iCs/>
          <w:i/>
        </w:rPr>
        <w:t xml:space="preserve">Romans</w:t>
      </w:r>
      <w:r>
        <w:t xml:space="preserve"> </w:t>
      </w:r>
      <w:r>
        <w:t xml:space="preserve">4,</w:t>
      </w:r>
      <w:r>
        <w:t xml:space="preserve"> </w:t>
      </w:r>
      <w:r>
        <w:rPr>
          <w:iCs/>
          <w:i/>
        </w:rPr>
        <w:t xml:space="preserve">Philadelphians</w:t>
      </w:r>
      <w:r>
        <w:t xml:space="preserve"> </w:t>
      </w:r>
      <w:r>
        <w:t xml:space="preserve">4, Polycarp ch. 13,</w:t>
      </w:r>
      <w:r>
        <w:t xml:space="preserve"> </w:t>
      </w:r>
      <w:r>
        <w:rPr>
          <w:iCs/>
          <w:i/>
        </w:rPr>
        <w:t xml:space="preserve">Martyrdom of Polycarp</w:t>
      </w:r>
      <w:r>
        <w:t xml:space="preserve"> </w:t>
      </w:r>
      <w:r>
        <w:t xml:space="preserve">ch. 18), cross-document citations against Doc_01/02/03, the</w:t>
      </w:r>
      <w:r>
        <w:t xml:space="preserve"> </w:t>
      </w:r>
      <w:r>
        <w:t xml:space="preserve">“</w:t>
      </w:r>
      <w:r>
        <w:t xml:space="preserve">no L4 template</w:t>
      </w:r>
      <w:r>
        <w:t xml:space="preserve">”</w:t>
      </w:r>
      <w:r>
        <w:t xml:space="preserve"> </w:t>
      </w:r>
      <w:r>
        <w:t xml:space="preserve">claim, and file completeness (not truncated, confirmed by three independent methods).</w:t>
      </w:r>
    </w:p>
    <w:p>
      <w:pPr>
        <w:numPr>
          <w:ilvl w:val="0"/>
          <w:numId w:val="1011"/>
        </w:numPr>
      </w:pPr>
      <w:r>
        <w:rPr>
          <w:bCs/>
          <w:b/>
        </w:rPr>
        <w:t xml:space="preserve">Cold review fixes applied:</w:t>
      </w:r>
      <w:r>
        <w:t xml:space="preserve"> </w:t>
      </w:r>
      <w:r>
        <w:t xml:space="preserve">the Gravity Index sheet’s G07 row corrected from</w:t>
      </w:r>
      <w:r>
        <w:t xml:space="preserve"> </w:t>
      </w:r>
      <w:r>
        <w:t xml:space="preserve">“</w:t>
      </w:r>
      <w:r>
        <w:t xml:space="preserve">1 of 5</w:t>
      </w:r>
      <w:r>
        <w:t xml:space="preserve">”</w:t>
      </w:r>
      <w:r>
        <w:t xml:space="preserve"> </w:t>
      </w:r>
      <w:r>
        <w:t xml:space="preserve">to</w:t>
      </w:r>
      <w:r>
        <w:t xml:space="preserve"> </w:t>
      </w:r>
      <w:r>
        <w:t xml:space="preserve">“</w:t>
      </w:r>
      <w:r>
        <w:t xml:space="preserve">2 of 5</w:t>
      </w:r>
      <w:r>
        <w:t xml:space="preserve">”</w:t>
      </w:r>
      <w:r>
        <w:t xml:space="preserve"> </w:t>
      </w:r>
      <w:r>
        <w:t xml:space="preserve">demonstrated relationships, matching this document’s own round-6 correction. The By Classification sheet’s G03 row corrected to match the main sheet’s and this document’s own round-3-corrected cross-strand framing (Rome and Antioch/Asia Minor as the two confirmed strands; Bithynia-Pontus corroborating but not itself a strand, per Article 21). All other derived sheets (Interaction Matrix, By Cross-Check Flag, Cross-Build Dependencies) checked for the same staleness pattern and confirmed already current. Governance citation corrected from V7.4 (DRAFT) to V7.3 (no substantive change; Step 4 text is identical). Doc_05 may now begin.</w:t>
      </w:r>
    </w:p>
    <w:p>
      <w:pPr>
        <w:numPr>
          <w:ilvl w:val="0"/>
          <w:numId w:val="1011"/>
        </w:numPr>
      </w:pPr>
      <w:r>
        <w:rPr>
          <w:bCs/>
          <w:b/>
        </w:rPr>
        <w:t xml:space="preserve">Project-lead sign-off:</w:t>
      </w:r>
      <w:r>
        <w:t xml:space="preserve"> </w:t>
      </w:r>
      <w:r>
        <w:t xml:space="preserve">the project lead (Mark) explicitly reviewed the status of this document, together with Doc_01 through Doc_06 as a complete set, and confirmed sign-off on 2026-07-07 in this build’s own conversation record. This is a real decision made by the project lead himself — not a status this build thread assigned on his behalf, and not inferred from an ambiguous instruction.</w:t>
      </w:r>
      <w:r>
        <w:t xml:space="preserve"> </w:t>
      </w:r>
      <w:r>
        <w:rPr>
          <w:bCs/>
          <w:b/>
        </w:rPr>
        <w:t xml:space="preserve">Status: APPROVED TO PROCEED.</w:t>
      </w:r>
    </w:p>
    <w:p>
      <w:pPr>
        <w:numPr>
          <w:ilvl w:val="0"/>
          <w:numId w:val="1011"/>
        </w:numPr>
      </w:pPr>
      <w:r>
        <w:rPr>
          <w:bCs/>
          <w:b/>
        </w:rPr>
        <w:t xml:space="preserve">Sign-off terminology update (2026-07-08):</w:t>
      </w:r>
      <w:r>
        <w:t xml:space="preserve"> </w:t>
      </w:r>
      <w:r>
        <w:t xml:space="preserve">Per project-wide policy change, this document’s status is relabeled from FINALIZED to APPROVED TO PROCEED. This is a terminology correction, not a reopening — no content changed. Per Construction Framework V7.3, no document in this world’s build is considered frozen until the full Step 9 Validation Layer (Part VI: Validation &amp; Testing, including Living Tradition Status Confirmation and External Scholarly Review) is documented as executed for the world as a whole. Individual document approval means the project lead has authorized building on this document going forward, not that it is permanently closed to revision.</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2026-09-01T23:58:28Z</dcterms:created>
  <dcterms:modified xsi:type="dcterms:W3CDTF">2026-09-01T23:58:28Z</dcterms:modified>
</cp:coreProperties>
</file>

<file path=docProps/custom.xml><?xml version="1.0" encoding="utf-8"?>
<Properties xmlns="http://schemas.openxmlformats.org/officeDocument/2006/custom-properties" xmlns:vt="http://schemas.openxmlformats.org/officeDocument/2006/docPropsVTypes"/>
</file>