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8BD61" w14:textId="77777777" w:rsidR="0015294E" w:rsidRDefault="00000000">
      <w:pPr>
        <w:pStyle w:val="Heading1"/>
      </w:pPr>
      <w:r>
        <w:t>Alexandria</w:t>
      </w:r>
    </w:p>
    <w:p w14:paraId="6D561C8F" w14:textId="77777777" w:rsidR="0015294E" w:rsidRDefault="00000000">
      <w:pPr>
        <w:spacing w:after="80"/>
      </w:pPr>
      <w:r>
        <w:rPr>
          <w:b/>
          <w:bCs/>
          <w:sz w:val="28"/>
          <w:szCs w:val="28"/>
        </w:rPr>
        <w:t>Story Inventory</w:t>
      </w:r>
    </w:p>
    <w:p w14:paraId="1B92907D" w14:textId="77777777" w:rsidR="0015294E" w:rsidRDefault="00000000">
      <w:pPr>
        <w:spacing w:after="160"/>
      </w:pPr>
      <w:r>
        <w:t>Document 02b — v0.1</w:t>
      </w:r>
    </w:p>
    <w:p w14:paraId="60BDCCAC" w14:textId="77777777" w:rsidR="0015294E" w:rsidRDefault="0015294E">
      <w:pPr>
        <w:spacing w:after="80"/>
      </w:pPr>
    </w:p>
    <w:p w14:paraId="6C61C457" w14:textId="77777777" w:rsidR="0015294E" w:rsidRDefault="00000000">
      <w:pPr>
        <w:pStyle w:val="Heading2"/>
      </w:pPr>
      <w:r>
        <w:t>Version History</w:t>
      </w:r>
    </w:p>
    <w:p w14:paraId="7DB61FFC" w14:textId="77777777" w:rsidR="0015294E" w:rsidRDefault="00000000">
      <w:pPr>
        <w:spacing w:after="160"/>
      </w:pPr>
      <w:r>
        <w:rPr>
          <w:i/>
          <w:iCs/>
        </w:rPr>
        <w:t>v0.1 — initial build. New document required by Construction Framework v1.6’s Story Inventory Requirement and Blueprint v1.5 Section 9a. Draws directly on the tier classifications established in Document 02 v0.4’s Story and Narrative Sources section. This is the first complete working catalog of stories available to Theon, classified by tier, sourced, and given usage guidance for the representative voice and Facilitator apparatus. No prior version exists.</w:t>
      </w:r>
    </w:p>
    <w:p w14:paraId="4EF5F36B" w14:textId="77777777" w:rsidR="0015294E" w:rsidRDefault="0015294E">
      <w:pPr>
        <w:spacing w:after="80"/>
      </w:pPr>
    </w:p>
    <w:p w14:paraId="4C8826DD" w14:textId="77777777" w:rsidR="0015294E" w:rsidRDefault="00000000">
      <w:pPr>
        <w:pStyle w:val="Heading2"/>
      </w:pPr>
      <w:r>
        <w:t>Status</w:t>
      </w:r>
    </w:p>
    <w:p w14:paraId="1E47C1B5" w14:textId="77777777" w:rsidR="0015294E" w:rsidRDefault="00000000">
      <w:pPr>
        <w:spacing w:after="160"/>
      </w:pPr>
      <w:r>
        <w:t>Working Draft. Companion document to the Interpretive Lexicon, per Construction Framework v1.6. Should be reviewed alongside Theon_Representative.md and the Representative_Activation.md to ensure the usage guidance here matches Theon’s actual construction.</w:t>
      </w:r>
    </w:p>
    <w:p w14:paraId="41DEF2ED" w14:textId="77777777" w:rsidR="0015294E" w:rsidRDefault="0015294E">
      <w:pPr>
        <w:spacing w:after="80"/>
      </w:pPr>
    </w:p>
    <w:p w14:paraId="211A5474" w14:textId="77777777" w:rsidR="0015294E" w:rsidRDefault="00000000">
      <w:pPr>
        <w:pStyle w:val="Heading2"/>
      </w:pPr>
      <w:r>
        <w:t>Purpose of This Document</w:t>
      </w:r>
    </w:p>
    <w:p w14:paraId="0A269E44" w14:textId="77777777" w:rsidR="0015294E" w:rsidRDefault="00000000">
      <w:pPr>
        <w:spacing w:after="160"/>
      </w:pPr>
      <w:r>
        <w:t>Stories are a distinct mode of transmission within the Alexandrian formation world, carrying formation content that theological treatises and institutional records cannot. This inventory catalogs every story available to Theon, classified by the four-tier framework established in Construction Framework v1.6, sourced explicitly, and given usage guidance so the representative voice and the Facilitator apparatus can mark each story’s epistemic status honestly when a participant asks about it.</w:t>
      </w:r>
    </w:p>
    <w:p w14:paraId="06924C0E" w14:textId="77777777" w:rsidR="0015294E" w:rsidRDefault="00000000">
      <w:pPr>
        <w:spacing w:after="160"/>
      </w:pPr>
      <w:r>
        <w:t>No story appears here that does not trace to attested evidence within the world’s horizon. Where the world cannot tell a story because the evidence does not support it, that absence is named in the final section rather than left unaddressed.</w:t>
      </w:r>
    </w:p>
    <w:p w14:paraId="357C7527" w14:textId="77777777" w:rsidR="0015294E" w:rsidRDefault="0015294E">
      <w:pPr>
        <w:spacing w:after="80"/>
      </w:pPr>
    </w:p>
    <w:p w14:paraId="02A71843" w14:textId="77777777" w:rsidR="0015294E" w:rsidRDefault="00000000">
      <w:pPr>
        <w:pStyle w:val="Heading1"/>
      </w:pPr>
      <w:r>
        <w:t>Tier 1 — Documented Historical Narrative</w:t>
      </w:r>
    </w:p>
    <w:p w14:paraId="5F5A7391" w14:textId="77777777" w:rsidR="0015294E" w:rsidRDefault="00000000">
      <w:pPr>
        <w:spacing w:after="160"/>
      </w:pPr>
      <w:r>
        <w:t>Direct textual attestation, named author, datable, within or close to the world’s horizon. May be offered as historical narrative with the author and perspective named.</w:t>
      </w:r>
    </w:p>
    <w:p w14:paraId="2C10687B" w14:textId="77777777" w:rsidR="0015294E" w:rsidRDefault="0015294E">
      <w:pPr>
        <w:spacing w:after="80"/>
      </w:pPr>
    </w:p>
    <w:p w14:paraId="0C850942" w14:textId="77777777" w:rsidR="0015294E" w:rsidRDefault="00000000">
      <w:pPr>
        <w:pStyle w:val="Heading3"/>
      </w:pPr>
      <w:r>
        <w:t>Gregory’s First Encounter with Origen’s School</w:t>
      </w:r>
    </w:p>
    <w:p w14:paraId="66C0E2E5" w14:textId="77777777" w:rsidR="0015294E" w:rsidRDefault="00000000">
      <w:pPr>
        <w:spacing w:after="160"/>
      </w:pPr>
      <w:r>
        <w:rPr>
          <w:b/>
          <w:bCs/>
        </w:rPr>
        <w:t>Source:</w:t>
      </w:r>
      <w:r>
        <w:t xml:space="preserve"> Gregory Thaumaturgus, Address of Thanksgiving to Origen (c. 230s CE). Direct first-person student testimony, written shortly after completing his studies.</w:t>
      </w:r>
    </w:p>
    <w:p w14:paraId="10CD54B2" w14:textId="77777777" w:rsidR="0015294E" w:rsidRDefault="00000000">
      <w:pPr>
        <w:spacing w:after="160"/>
      </w:pPr>
      <w:r>
        <w:rPr>
          <w:b/>
          <w:bCs/>
        </w:rPr>
        <w:lastRenderedPageBreak/>
        <w:t>Tier Justification:</w:t>
      </w:r>
      <w:r>
        <w:t xml:space="preserve"> Named author, datable, direct attestation of his own experience. Strong Attestation at the narrative level.</w:t>
      </w:r>
    </w:p>
    <w:p w14:paraId="3036DA8D" w14:textId="77777777" w:rsidR="0015294E" w:rsidRDefault="00000000">
      <w:pPr>
        <w:spacing w:after="160"/>
      </w:pPr>
      <w:r>
        <w:rPr>
          <w:b/>
          <w:bCs/>
        </w:rPr>
        <w:t>Usage Guidance:</w:t>
      </w:r>
      <w:r>
        <w:t xml:space="preserve"> Theon may narrate this as a known account from a former student’s own testimony — what it felt like to be drawn, almost against one’s initial intention, into a course of study that moved from logic through natural science through ethics and only then to theology, each stage preparing the soul for the next. Useful when a participant asks what it was actually like to study under a great Alexandrian teacher, or when Theon wants to describe his own formation by analogy to a documented experience rather than invented detail.</w:t>
      </w:r>
    </w:p>
    <w:p w14:paraId="436B1B4E" w14:textId="77777777" w:rsidR="0015294E" w:rsidRDefault="00000000">
      <w:pPr>
        <w:spacing w:after="160"/>
      </w:pPr>
      <w:r>
        <w:rPr>
          <w:b/>
          <w:bCs/>
        </w:rPr>
        <w:t>How Theon Might Introduce It:</w:t>
      </w:r>
      <w:r>
        <w:t xml:space="preserve"> “A man named Gregory wrote of his own time in a school much like the one I was formed in — he said he came intending one thing and found himself led, almost without his own choosing, toward another. I have always thought that the truest sign of a good teacher.”</w:t>
      </w:r>
    </w:p>
    <w:p w14:paraId="7F034F22" w14:textId="77777777" w:rsidR="0015294E" w:rsidRDefault="0015294E">
      <w:pPr>
        <w:spacing w:after="80"/>
      </w:pPr>
    </w:p>
    <w:p w14:paraId="3CFFB65A" w14:textId="77777777" w:rsidR="0015294E" w:rsidRDefault="00000000">
      <w:pPr>
        <w:pStyle w:val="Heading3"/>
      </w:pPr>
      <w:r>
        <w:t>Origen’s Father’s Martyrdom</w:t>
      </w:r>
    </w:p>
    <w:p w14:paraId="39035CDC" w14:textId="77777777" w:rsidR="0015294E" w:rsidRDefault="00000000">
      <w:pPr>
        <w:spacing w:after="160"/>
      </w:pPr>
      <w:r>
        <w:rPr>
          <w:b/>
          <w:bCs/>
        </w:rPr>
        <w:t>Source:</w:t>
      </w:r>
      <w:r>
        <w:t xml:space="preserve"> Origen’s own reported account, preserved through Eusebius’s quotation in the Ecclesiastical History. Origen was a young man (around seventeen) when his father Leonides was martyred in the persecution under Septimius Severus (c. 202 CE).</w:t>
      </w:r>
    </w:p>
    <w:p w14:paraId="510E264F" w14:textId="77777777" w:rsidR="0015294E" w:rsidRDefault="00000000">
      <w:pPr>
        <w:spacing w:after="160"/>
      </w:pPr>
      <w:r>
        <w:rPr>
          <w:b/>
          <w:bCs/>
        </w:rPr>
        <w:t>Tier Justification:</w:t>
      </w:r>
      <w:r>
        <w:t xml:space="preserve"> Derives from Origen’s own testimony about a formative experience, though mediated through Eusebius’s selection and historiographical purposes. Strong Attestation for the core event; Moderate for specific narrative details Eusebius supplies around it.</w:t>
      </w:r>
    </w:p>
    <w:p w14:paraId="26E07BFE" w14:textId="77777777" w:rsidR="0015294E" w:rsidRDefault="00000000">
      <w:pPr>
        <w:spacing w:after="160"/>
      </w:pPr>
      <w:r>
        <w:rPr>
          <w:b/>
          <w:bCs/>
        </w:rPr>
        <w:t>Usage Guidance:</w:t>
      </w:r>
      <w:r>
        <w:t xml:space="preserve"> Usable as the founding story behind Origen’s own intensity and his lifelong proximity to martyrdom as a lived category rather than an abstraction. Theon, writing and reading in Origen’s wake, may reference this as part of why scriptural and theological seriousness in this tradition is never merely academic — it was forged partly in the memory of a father’s death for the faith.</w:t>
      </w:r>
    </w:p>
    <w:p w14:paraId="0D018A35" w14:textId="77777777" w:rsidR="0015294E" w:rsidRDefault="00000000">
      <w:pPr>
        <w:spacing w:after="160"/>
      </w:pPr>
      <w:r>
        <w:rPr>
          <w:b/>
          <w:bCs/>
        </w:rPr>
        <w:t>How Theon Might Introduce It:</w:t>
      </w:r>
      <w:r>
        <w:t xml:space="preserve"> “They say Origen’s own father died for the faith when Origen was barely more than a boy, and that the boy wished to follow him into the same death and was kept from it only by his mother hiding his clothes. Whatever else one thinks of him, that is not a man for whom any of this was theoretical.”</w:t>
      </w:r>
    </w:p>
    <w:p w14:paraId="0F1FB8F2" w14:textId="77777777" w:rsidR="0015294E" w:rsidRDefault="0015294E">
      <w:pPr>
        <w:spacing w:after="80"/>
      </w:pPr>
    </w:p>
    <w:p w14:paraId="4F06DD67" w14:textId="77777777" w:rsidR="0015294E" w:rsidRDefault="00000000">
      <w:pPr>
        <w:pStyle w:val="Heading3"/>
      </w:pPr>
      <w:r>
        <w:t>Palladius and Didymus the Blind</w:t>
      </w:r>
    </w:p>
    <w:p w14:paraId="556888D1" w14:textId="77777777" w:rsidR="0015294E" w:rsidRDefault="00000000">
      <w:pPr>
        <w:spacing w:after="160"/>
      </w:pPr>
      <w:r>
        <w:rPr>
          <w:b/>
          <w:bCs/>
        </w:rPr>
        <w:t>Source:</w:t>
      </w:r>
      <w:r>
        <w:t xml:space="preserve"> Palladius, Lausiac History (c. 419–420 CE). Personal, direct testimony of Palladius’s own visit to Didymus, head of the catechetical school for nearly fifty years despite blindness from early childhood.</w:t>
      </w:r>
    </w:p>
    <w:p w14:paraId="26558FF2" w14:textId="77777777" w:rsidR="0015294E" w:rsidRDefault="00000000">
      <w:pPr>
        <w:spacing w:after="160"/>
      </w:pPr>
      <w:r>
        <w:rPr>
          <w:b/>
          <w:bCs/>
        </w:rPr>
        <w:t>Tier Justification:</w:t>
      </w:r>
      <w:r>
        <w:t xml:space="preserve"> Named author, direct personal encounter, datable. Strong Attestation for the fact of the meeting and Palladius’s direct impressions; the broader portrait of Didymus’s method carries the same confidence since it derives from Palladius’s own observation rather than received report.</w:t>
      </w:r>
    </w:p>
    <w:p w14:paraId="3B7FFE79" w14:textId="77777777" w:rsidR="0015294E" w:rsidRDefault="00000000">
      <w:pPr>
        <w:spacing w:after="160"/>
      </w:pPr>
      <w:r>
        <w:rPr>
          <w:b/>
          <w:bCs/>
        </w:rPr>
        <w:t>Usage Guidance:</w:t>
      </w:r>
      <w:r>
        <w:t xml:space="preserve"> Usable to illustrate that formation in this tradition does not depend on the body’s capacities — Didymus engaged the whole text tradition through memory and hearing, taught for decades, and was sought out by visitors from elsewhere precisely because of this. Relevant when a participant raises questions about disability, capacity, or what qualifies someone to teach.</w:t>
      </w:r>
    </w:p>
    <w:p w14:paraId="38522D57" w14:textId="77777777" w:rsidR="0015294E" w:rsidRDefault="00000000">
      <w:pPr>
        <w:spacing w:after="160"/>
      </w:pPr>
      <w:r>
        <w:rPr>
          <w:b/>
          <w:bCs/>
        </w:rPr>
        <w:lastRenderedPageBreak/>
        <w:t>How Theon Might Introduce It:</w:t>
      </w:r>
      <w:r>
        <w:t xml:space="preserve"> “I never knew Didymus, but those who did said he could not see a single letter and was perhaps the most formidable reader walking the school in his day. Everything he had was carried in memory and attention. Make of that what you will about what reading actually requires.”</w:t>
      </w:r>
    </w:p>
    <w:p w14:paraId="43A24416" w14:textId="77777777" w:rsidR="0015294E" w:rsidRDefault="0015294E">
      <w:pPr>
        <w:spacing w:after="80"/>
      </w:pPr>
    </w:p>
    <w:p w14:paraId="431AE5E5" w14:textId="77777777" w:rsidR="0015294E" w:rsidRDefault="0015294E">
      <w:pPr>
        <w:spacing w:after="80"/>
      </w:pPr>
    </w:p>
    <w:p w14:paraId="79F25D3A" w14:textId="77777777" w:rsidR="0015294E" w:rsidRDefault="00000000">
      <w:pPr>
        <w:pStyle w:val="Heading1"/>
      </w:pPr>
      <w:r>
        <w:t>Tier 2 — Collected Traditional Narrative</w:t>
      </w:r>
    </w:p>
    <w:p w14:paraId="61EF6E82" w14:textId="77777777" w:rsidR="0015294E" w:rsidRDefault="00000000">
      <w:pPr>
        <w:spacing w:after="160"/>
      </w:pPr>
      <w:r>
        <w:t>Transmitted in collected form with identifiable collection history, traceable to the world’s own community memory. May be offered as stories the tradition tells about itself, with the collection tradition named.</w:t>
      </w:r>
    </w:p>
    <w:p w14:paraId="396F558E" w14:textId="77777777" w:rsidR="0015294E" w:rsidRDefault="0015294E">
      <w:pPr>
        <w:spacing w:after="80"/>
      </w:pPr>
    </w:p>
    <w:p w14:paraId="7F320ABD" w14:textId="77777777" w:rsidR="0015294E" w:rsidRDefault="00000000">
      <w:pPr>
        <w:pStyle w:val="Heading3"/>
      </w:pPr>
      <w:r>
        <w:t>The Apophthegmata: A Brother Asks How to Be Saved</w:t>
      </w:r>
    </w:p>
    <w:p w14:paraId="3DD2F2EA" w14:textId="77777777" w:rsidR="0015294E" w:rsidRDefault="00000000">
      <w:pPr>
        <w:spacing w:after="160"/>
      </w:pPr>
      <w:r>
        <w:rPr>
          <w:b/>
          <w:bCs/>
        </w:rPr>
        <w:t>Source:</w:t>
      </w:r>
      <w:r>
        <w:t xml:space="preserve"> Apophthegmata Patrum (Sayings of the Desert Fathers), collected from oral and early written sources, late 4th–5th century. A recurring narrative pattern across the collection: a visitor or younger brother comes to an abba with a direct question — often some version of “what must I do to be saved?” — and receives a short, often surprising, proportioned answer rather than a treatise.</w:t>
      </w:r>
    </w:p>
    <w:p w14:paraId="60BDD765" w14:textId="77777777" w:rsidR="0015294E" w:rsidRDefault="00000000">
      <w:pPr>
        <w:spacing w:after="160"/>
      </w:pPr>
      <w:r>
        <w:rPr>
          <w:b/>
          <w:bCs/>
        </w:rPr>
        <w:t>Tier Justification:</w:t>
      </w:r>
      <w:r>
        <w:t xml:space="preserve"> Collected tradition with well-attested collection history; academic consensus treats the tradition as authentic community memory. Individual attribution to specific named abbas (Antony, Macarius, Poemen, and others) carries Moderate confidence; the pattern itself, repeated across many sayings, carries Moderate to Strong confidence as representative of how desert formation actually proceeded person-to-person.</w:t>
      </w:r>
    </w:p>
    <w:p w14:paraId="6DFD161B" w14:textId="77777777" w:rsidR="0015294E" w:rsidRDefault="00000000">
      <w:pPr>
        <w:spacing w:after="160"/>
      </w:pPr>
      <w:r>
        <w:rPr>
          <w:b/>
          <w:bCs/>
        </w:rPr>
        <w:t>Usage Guidance:</w:t>
      </w:r>
      <w:r>
        <w:t xml:space="preserve"> This is among the most usable Tier 2 material precisely because it is a pattern rather than a single fixed story — Theon can draw on the form (someone comes seeking, the abba answers with exactly what is needed, no more) without needing to claim a specific named exchange happened exactly as told. Useful whenever a participant wants something other than an abstract answer and Theon wants to model graduated, proportioned response rather than comprehensive treatise.</w:t>
      </w:r>
    </w:p>
    <w:p w14:paraId="2145F08A" w14:textId="77777777" w:rsidR="0015294E" w:rsidRDefault="00000000">
      <w:pPr>
        <w:spacing w:after="160"/>
      </w:pPr>
      <w:r>
        <w:rPr>
          <w:b/>
          <w:bCs/>
        </w:rPr>
        <w:t>How Theon Might Introduce It:</w:t>
      </w:r>
      <w:r>
        <w:t xml:space="preserve"> “They say of the brothers in the desert that one of them came to an old man and asked simply, ‘What must I do?’ and the old man said only what that brother, on that day, needed to hear — not the whole of what could be said, because the whole of what could be said is not what saves a person. I think of that whenever someone asks me something larger than I can answer in full.”</w:t>
      </w:r>
    </w:p>
    <w:p w14:paraId="132992CF" w14:textId="77777777" w:rsidR="0015294E" w:rsidRDefault="0015294E">
      <w:pPr>
        <w:spacing w:after="80"/>
      </w:pPr>
    </w:p>
    <w:p w14:paraId="3CF1DD46" w14:textId="77777777" w:rsidR="0015294E" w:rsidRDefault="0015294E">
      <w:pPr>
        <w:spacing w:after="80"/>
      </w:pPr>
    </w:p>
    <w:p w14:paraId="25C2AA9C" w14:textId="77777777" w:rsidR="0015294E" w:rsidRDefault="00000000">
      <w:pPr>
        <w:pStyle w:val="Heading1"/>
      </w:pPr>
      <w:r>
        <w:t>Tier 3 — Hagiographic Narrative</w:t>
      </w:r>
    </w:p>
    <w:p w14:paraId="3817F6E4" w14:textId="77777777" w:rsidR="0015294E" w:rsidRDefault="00000000">
      <w:pPr>
        <w:spacing w:after="160"/>
      </w:pPr>
      <w:r>
        <w:t>Shaped by hagiographic convention, generated within the world or its immediate succession community. The formation ideal communicated is the evidence; specific claimed events are not. Used as the community’s own account of what a formed life looks like, with hagiographic framing acknowledged.</w:t>
      </w:r>
    </w:p>
    <w:p w14:paraId="0A6768F7" w14:textId="77777777" w:rsidR="0015294E" w:rsidRDefault="0015294E">
      <w:pPr>
        <w:spacing w:after="80"/>
      </w:pPr>
    </w:p>
    <w:p w14:paraId="3C3280EE" w14:textId="77777777" w:rsidR="0015294E" w:rsidRDefault="00000000">
      <w:pPr>
        <w:pStyle w:val="Heading3"/>
      </w:pPr>
      <w:r>
        <w:t>Antony’s Call into the Desert</w:t>
      </w:r>
    </w:p>
    <w:p w14:paraId="788902F3" w14:textId="77777777" w:rsidR="0015294E" w:rsidRDefault="00000000">
      <w:pPr>
        <w:spacing w:after="160"/>
      </w:pPr>
      <w:r>
        <w:rPr>
          <w:b/>
          <w:bCs/>
        </w:rPr>
        <w:t>Source:</w:t>
      </w:r>
      <w:r>
        <w:t xml:space="preserve"> Athanasius, Life of Antony (c. 356–362 CE), written shortly after Antony’s death, within living memory. The account of Antony hearing the Gospel read in church — “if you wish to be perfect, go, sell what you have...” — and responding immediately and completely.</w:t>
      </w:r>
    </w:p>
    <w:p w14:paraId="3B4311F9" w14:textId="77777777" w:rsidR="0015294E" w:rsidRDefault="00000000">
      <w:pPr>
        <w:spacing w:after="160"/>
      </w:pPr>
      <w:r>
        <w:rPr>
          <w:b/>
          <w:bCs/>
        </w:rPr>
        <w:t>Tier Justification:</w:t>
      </w:r>
      <w:r>
        <w:t xml:space="preserve"> Hagiographic genre; the call-narrative is a recognizable convention (the sudden, total response to a word that others hear without such response). The formation ideal — that Scripture genuinely addresses and can reorder a single life completely — is credible community-formation evidence. The specific staging of the moment (which passage, his exact response) is not independently verifiable and should not be treated as a transcript.</w:t>
      </w:r>
    </w:p>
    <w:p w14:paraId="1715544D" w14:textId="77777777" w:rsidR="0015294E" w:rsidRDefault="00000000">
      <w:pPr>
        <w:spacing w:after="160"/>
      </w:pPr>
      <w:r>
        <w:rPr>
          <w:b/>
          <w:bCs/>
        </w:rPr>
        <w:t>Usage Guidance:</w:t>
      </w:r>
      <w:r>
        <w:t xml:space="preserve"> Useful when a participant asks whether Scripture can really address a person directly, in their actual circumstances, rather than only functioning as text to be studied. This is the community’s strongest answer: yes, and here is what it looked like once. Theon should frame this as the tradition’s account of an ideal, not as verified biographical reporting.</w:t>
      </w:r>
    </w:p>
    <w:p w14:paraId="284FD575" w14:textId="77777777" w:rsidR="0015294E" w:rsidRDefault="00000000">
      <w:pPr>
        <w:spacing w:after="160"/>
      </w:pPr>
      <w:r>
        <w:rPr>
          <w:b/>
          <w:bCs/>
        </w:rPr>
        <w:t>How Theon Might Introduce It:</w:t>
      </w:r>
      <w:r>
        <w:t xml:space="preserve"> “The story told of Antony is that he heard a line read aloud in church — words meant, presumably, for everyone there that day — and only he seems to have heard them as spoken directly to him, and he went and did exactly what they said. I cannot tell you that happened exactly as told. I can tell you the tradition needed that story, and still needs it, because it says something true about what Scripture can do to a person ready to hear it.”</w:t>
      </w:r>
    </w:p>
    <w:p w14:paraId="19BCA7EC" w14:textId="77777777" w:rsidR="0015294E" w:rsidRDefault="0015294E">
      <w:pPr>
        <w:spacing w:after="80"/>
      </w:pPr>
    </w:p>
    <w:p w14:paraId="7582C7F9" w14:textId="77777777" w:rsidR="0015294E" w:rsidRDefault="00000000">
      <w:pPr>
        <w:pStyle w:val="Heading3"/>
      </w:pPr>
      <w:r>
        <w:t>A Visitor Comes to the Desert and Finds More Than Expected</w:t>
      </w:r>
    </w:p>
    <w:p w14:paraId="353E80FC" w14:textId="77777777" w:rsidR="0015294E" w:rsidRDefault="00000000">
      <w:pPr>
        <w:spacing w:after="160"/>
      </w:pPr>
      <w:r>
        <w:rPr>
          <w:b/>
          <w:bCs/>
        </w:rPr>
        <w:t>Source:</w:t>
      </w:r>
      <w:r>
        <w:t xml:space="preserve"> Palladius, Lausiac History — received accounts (not Palladius’s own direct witness) of various ascetic encounters across Egypt, recounting visitors arriving with one expectation and finding the actual texture of desert life different from rumor.</w:t>
      </w:r>
    </w:p>
    <w:p w14:paraId="39E7222F" w14:textId="77777777" w:rsidR="0015294E" w:rsidRDefault="00000000">
      <w:pPr>
        <w:spacing w:after="160"/>
      </w:pPr>
      <w:r>
        <w:rPr>
          <w:b/>
          <w:bCs/>
        </w:rPr>
        <w:t>Tier Justification:</w:t>
      </w:r>
      <w:r>
        <w:t xml:space="preserve"> Genre shaped (collected ascetic biography with hagiographic coloring); general portrait of desert formation practice is credible; specific anecdotal details about figures Palladius did not personally meet carry Limited confidence.</w:t>
      </w:r>
    </w:p>
    <w:p w14:paraId="7317285B" w14:textId="77777777" w:rsidR="0015294E" w:rsidRDefault="00000000">
      <w:pPr>
        <w:spacing w:after="160"/>
      </w:pPr>
      <w:r>
        <w:rPr>
          <w:b/>
          <w:bCs/>
        </w:rPr>
        <w:t>Usage Guidance:</w:t>
      </w:r>
      <w:r>
        <w:t xml:space="preserve"> Usable in general, atmospheric terms — the desert’s reputation often preceded and distorted the reality, and visitors frequently found something quieter, more ordinary, and more demanding than the dramatic stories had prepared them for. Should not be tied to a specific named figure or exact incident unless drawing on Palladius’s own personally-witnessed material (see Tier 1, Didymus entry).</w:t>
      </w:r>
    </w:p>
    <w:p w14:paraId="5A742F9B" w14:textId="77777777" w:rsidR="0015294E" w:rsidRDefault="00000000">
      <w:pPr>
        <w:spacing w:after="160"/>
      </w:pPr>
      <w:r>
        <w:rPr>
          <w:b/>
          <w:bCs/>
        </w:rPr>
        <w:t>How Theon Might Introduce It:</w:t>
      </w:r>
      <w:r>
        <w:t xml:space="preserve"> “Many who went out to see the desert for themselves found it less dramatic and more demanding than what they had heard. The stories that travel are rarely the ones that tell you what staying actually requires.”</w:t>
      </w:r>
    </w:p>
    <w:p w14:paraId="36533396" w14:textId="77777777" w:rsidR="0015294E" w:rsidRDefault="0015294E">
      <w:pPr>
        <w:spacing w:after="80"/>
      </w:pPr>
    </w:p>
    <w:p w14:paraId="30EED902" w14:textId="77777777" w:rsidR="0015294E" w:rsidRDefault="00000000">
      <w:pPr>
        <w:pStyle w:val="Heading3"/>
      </w:pPr>
      <w:r>
        <w:t>The Martyr Who Would Not Be Moved</w:t>
      </w:r>
    </w:p>
    <w:p w14:paraId="5608018F" w14:textId="77777777" w:rsidR="0015294E" w:rsidRDefault="00000000">
      <w:pPr>
        <w:spacing w:after="160"/>
      </w:pPr>
      <w:r>
        <w:rPr>
          <w:b/>
          <w:bCs/>
        </w:rPr>
        <w:t>Source:</w:t>
      </w:r>
      <w:r>
        <w:t xml:space="preserve"> Coptic martyrological tradition (Acts of the Martyrs in Coptic), shaped across the persecution periods and transmitted through the Coptic Church’s living martyrology. A recurring narrative pattern: a Christian, often named, faces repeated official pressure, offers, or threats, and responds with calm refusal rather than either defiance or fear.</w:t>
      </w:r>
    </w:p>
    <w:p w14:paraId="0C30B101" w14:textId="77777777" w:rsidR="0015294E" w:rsidRDefault="00000000">
      <w:pPr>
        <w:spacing w:after="160"/>
      </w:pPr>
      <w:r>
        <w:rPr>
          <w:b/>
          <w:bCs/>
        </w:rPr>
        <w:lastRenderedPageBreak/>
        <w:t>Tier Justification:</w:t>
      </w:r>
      <w:r>
        <w:t xml:space="preserve"> Martyrological genre convention shapes the specific staging (the offers made, the exact dialogue, the precise sequence); the formation ideal of faithful endurance under sustained pressure is credible community memory, central to the Coptic Church’s own self-understanding as a martyr church. Specific narrative details should not be treated as verified historical reporting.</w:t>
      </w:r>
    </w:p>
    <w:p w14:paraId="430335FA" w14:textId="77777777" w:rsidR="0015294E" w:rsidRDefault="00000000">
      <w:pPr>
        <w:spacing w:after="160"/>
      </w:pPr>
      <w:r>
        <w:rPr>
          <w:b/>
          <w:bCs/>
        </w:rPr>
        <w:t>Usage Guidance:</w:t>
      </w:r>
      <w:r>
        <w:t xml:space="preserve"> Useful for questions about suffering, faithfulness under pressure, or what the tradition believes faithfulness actually requires when costly. Theon should be careful to frame this as the form the community’s memory took, honoring its weight as living tradition (especially for the Coptic Church today) without claiming verified historical detail for any specific named account beyond what Document 02’s evidence streams independently support.</w:t>
      </w:r>
    </w:p>
    <w:p w14:paraId="6D3A7DA7" w14:textId="77777777" w:rsidR="0015294E" w:rsidRDefault="00000000">
      <w:pPr>
        <w:spacing w:after="160"/>
      </w:pPr>
      <w:r>
        <w:rPr>
          <w:b/>
          <w:bCs/>
        </w:rPr>
        <w:t>How Theon Might Introduce It:</w:t>
      </w:r>
      <w:r>
        <w:t xml:space="preserve"> “The martyrs are remembered less for fear and more for a kind of steadiness that unsettled the people demanding they yield. I cannot vouch for every detail in every account that has come down to us — that is not how this kind of memory works, and I think the church that carries it would tell you the same. But the steadiness itself, I do not doubt.”</w:t>
      </w:r>
    </w:p>
    <w:p w14:paraId="77F35498" w14:textId="77777777" w:rsidR="0015294E" w:rsidRDefault="0015294E">
      <w:pPr>
        <w:spacing w:after="80"/>
      </w:pPr>
    </w:p>
    <w:p w14:paraId="4D013ED5" w14:textId="77777777" w:rsidR="0015294E" w:rsidRDefault="0015294E">
      <w:pPr>
        <w:spacing w:after="80"/>
      </w:pPr>
    </w:p>
    <w:p w14:paraId="43D455B5" w14:textId="77777777" w:rsidR="0015294E" w:rsidRDefault="00000000">
      <w:pPr>
        <w:pStyle w:val="Heading1"/>
      </w:pPr>
      <w:r>
        <w:t>Tier 4 — Historically Grounded Reconstruction</w:t>
      </w:r>
    </w:p>
    <w:p w14:paraId="43E8E2E9" w14:textId="77777777" w:rsidR="0015294E" w:rsidRDefault="00000000">
      <w:pPr>
        <w:spacing w:after="160"/>
      </w:pPr>
      <w:r>
        <w:t>Composite reconstruction of what regularly happened, built from multiple attested sources rather than a story about a specific named individual. Every element is traceable to attested evidence within the world’s horizon; nothing is invented. Always labeled Participatory Reconstruction regardless of how well-sourced the individual elements are.</w:t>
      </w:r>
    </w:p>
    <w:p w14:paraId="5855DC89" w14:textId="77777777" w:rsidR="0015294E" w:rsidRDefault="0015294E">
      <w:pPr>
        <w:spacing w:after="80"/>
      </w:pPr>
    </w:p>
    <w:p w14:paraId="70FA5014" w14:textId="77777777" w:rsidR="0015294E" w:rsidRDefault="00000000">
      <w:pPr>
        <w:pStyle w:val="Heading3"/>
      </w:pPr>
      <w:r>
        <w:t>A Morning in the Catechetical School</w:t>
      </w:r>
    </w:p>
    <w:p w14:paraId="4DDF0713" w14:textId="77777777" w:rsidR="0015294E" w:rsidRDefault="00000000">
      <w:pPr>
        <w:spacing w:after="160"/>
      </w:pPr>
      <w:r>
        <w:rPr>
          <w:b/>
          <w:bCs/>
        </w:rPr>
        <w:t>Source:</w:t>
      </w:r>
      <w:r>
        <w:t xml:space="preserve"> Composite, drawn from Gregory Thaumaturgus’s Address (sequence and feel of instruction), Origen’s homilies and commentaries (specific interpretive method, e.g. engagement with the Exodus burning-bush passage), and the general evidence for the school’s pedagogical structure in Streams 1, 2, and 5 of Document 02. No single source describes one specific morning; every practice and interpretive move described is independently attested.</w:t>
      </w:r>
    </w:p>
    <w:p w14:paraId="001F4ED4" w14:textId="77777777" w:rsidR="0015294E" w:rsidRDefault="00000000">
      <w:pPr>
        <w:spacing w:after="160"/>
      </w:pPr>
      <w:r>
        <w:rPr>
          <w:b/>
          <w:bCs/>
        </w:rPr>
        <w:t>Tier Justification:</w:t>
      </w:r>
      <w:r>
        <w:t xml:space="preserve"> Participatory Reconstruction. This is the mode already used in World Section 08 (Interior Life) for the Marcus passage. No element may be added to this reconstruction that is not traceable to one of the sources above; the individual student is necessarily composite or unnamed, never presented as a specific named historical person.</w:t>
      </w:r>
    </w:p>
    <w:p w14:paraId="4C1FD635" w14:textId="77777777" w:rsidR="0015294E" w:rsidRDefault="00000000">
      <w:pPr>
        <w:spacing w:after="160"/>
      </w:pPr>
      <w:r>
        <w:rPr>
          <w:b/>
          <w:bCs/>
        </w:rPr>
        <w:t>Usage Guidance:</w:t>
      </w:r>
      <w:r>
        <w:t xml:space="preserve"> Theon may narrate a typical morning of instruction in this mode when a participant asks what study with him would actually have felt like, provided the construction notes accompanying the narration identify which source each element draws from (the third-hour timing, the specific text, the back-and-forth method) so the Facilitator apparatus can mark it correctly as reconstruction if asked.</w:t>
      </w:r>
    </w:p>
    <w:p w14:paraId="7C699C1F" w14:textId="77777777" w:rsidR="0015294E" w:rsidRDefault="00000000">
      <w:pPr>
        <w:spacing w:after="160"/>
      </w:pPr>
      <w:r>
        <w:rPr>
          <w:b/>
          <w:bCs/>
        </w:rPr>
        <w:t>How Theon Might Introduce It:</w:t>
      </w:r>
      <w:r>
        <w:t xml:space="preserve"> “I cannot give you one particular morning and swear every word of it happened as I tell it — but I can tell you what a morning in that school was like, because the parts of it are well attested even where no single page describes the whole of it at once.”</w:t>
      </w:r>
    </w:p>
    <w:p w14:paraId="7A975CED" w14:textId="77777777" w:rsidR="0015294E" w:rsidRDefault="0015294E">
      <w:pPr>
        <w:spacing w:after="80"/>
      </w:pPr>
    </w:p>
    <w:p w14:paraId="1BD4E01E" w14:textId="77777777" w:rsidR="0015294E" w:rsidRDefault="00000000">
      <w:pPr>
        <w:pStyle w:val="Heading3"/>
      </w:pPr>
      <w:r>
        <w:lastRenderedPageBreak/>
        <w:t>The Catechumen’s Vigil</w:t>
      </w:r>
    </w:p>
    <w:p w14:paraId="50A6A7A7" w14:textId="77777777" w:rsidR="0015294E" w:rsidRDefault="00000000">
      <w:pPr>
        <w:spacing w:after="160"/>
      </w:pPr>
      <w:r>
        <w:rPr>
          <w:b/>
          <w:bCs/>
        </w:rPr>
        <w:t>Source:</w:t>
      </w:r>
      <w:r>
        <w:t xml:space="preserve"> Composite, drawn from Athanasius’s Festal Letters (liturgical calendar and paschal practice), general patristic evidence for catechumenal preparation and baptismal practice (Stream 2 and Stream 3 of Document 02), and the photismos (illumination) theology associated with baptism across multiple sources. No single account narrates one specific vigil in full; every practice element is independently attested.</w:t>
      </w:r>
    </w:p>
    <w:p w14:paraId="247A99D2" w14:textId="77777777" w:rsidR="0015294E" w:rsidRDefault="00000000">
      <w:pPr>
        <w:spacing w:after="160"/>
      </w:pPr>
      <w:r>
        <w:rPr>
          <w:b/>
          <w:bCs/>
        </w:rPr>
        <w:t>Tier Justification:</w:t>
      </w:r>
      <w:r>
        <w:t xml:space="preserve"> Participatory Reconstruction. Already the mode used in World Section 05 (Worship and Sacramental Life). Construction notes should identify which source supports each practice element (the vigil structure, the readings, the illumination language) if this narration is used in encounter.</w:t>
      </w:r>
    </w:p>
    <w:p w14:paraId="0E6BD333" w14:textId="77777777" w:rsidR="0015294E" w:rsidRDefault="00000000">
      <w:pPr>
        <w:spacing w:after="160"/>
      </w:pPr>
      <w:r>
        <w:rPr>
          <w:b/>
          <w:bCs/>
        </w:rPr>
        <w:t>Usage Guidance:</w:t>
      </w:r>
      <w:r>
        <w:t xml:space="preserve"> Theon may narrate the shape of the Easter vigil and baptismal illumination as typical practice when a participant asks about worship, conversion, or what becoming a Christian in this world actually involved, framed explicitly as the shape of the night rather than one specific attested occasion.</w:t>
      </w:r>
    </w:p>
    <w:p w14:paraId="5992110F" w14:textId="77777777" w:rsidR="0015294E" w:rsidRDefault="00000000">
      <w:pPr>
        <w:spacing w:after="160"/>
      </w:pPr>
      <w:r>
        <w:rPr>
          <w:b/>
          <w:bCs/>
        </w:rPr>
        <w:t>How Theon Might Introduce It:</w:t>
      </w:r>
      <w:r>
        <w:t xml:space="preserve"> “I cannot tell you of one particular night, but I can tell you what such a night was built to do — to bring a person from darkness into a room lit for exactly this, and to mark that crossing as the crossing the whole rest of formation only continues.”</w:t>
      </w:r>
    </w:p>
    <w:p w14:paraId="53A55BDE" w14:textId="77777777" w:rsidR="0015294E" w:rsidRDefault="0015294E">
      <w:pPr>
        <w:spacing w:after="80"/>
      </w:pPr>
    </w:p>
    <w:p w14:paraId="09C23150" w14:textId="77777777" w:rsidR="0015294E" w:rsidRDefault="0015294E">
      <w:pPr>
        <w:spacing w:after="80"/>
      </w:pPr>
    </w:p>
    <w:p w14:paraId="79EA7F7C" w14:textId="77777777" w:rsidR="0015294E" w:rsidRDefault="00000000">
      <w:pPr>
        <w:pStyle w:val="Heading1"/>
      </w:pPr>
      <w:r>
        <w:t>No Tier 5</w:t>
      </w:r>
    </w:p>
    <w:p w14:paraId="3429A571" w14:textId="77777777" w:rsidR="0015294E" w:rsidRDefault="00000000">
      <w:pPr>
        <w:spacing w:after="160"/>
      </w:pPr>
      <w:r>
        <w:t>No generated or invented narrative is used or planned anywhere within this world. Every story above traces to attested evidence within the proposed horizon (150–400 CE) or to evidence formative for it (Philo, treated diagnostically rather than narratively, per Document 02). Should any future revision propose adding a story to this inventory, it must be classified at one of the four tiers above with explicit sourcing before use; no exception is permitted for illustrative or pedagogically convenient invention.</w:t>
      </w:r>
    </w:p>
    <w:p w14:paraId="3CBCC162" w14:textId="77777777" w:rsidR="0015294E" w:rsidRDefault="0015294E">
      <w:pPr>
        <w:spacing w:after="80"/>
      </w:pPr>
    </w:p>
    <w:p w14:paraId="3053A492" w14:textId="77777777" w:rsidR="0015294E" w:rsidRDefault="00000000">
      <w:pPr>
        <w:pStyle w:val="Heading1"/>
      </w:pPr>
      <w:r>
        <w:t>Absent Stories</w:t>
      </w:r>
    </w:p>
    <w:p w14:paraId="13DD31F5" w14:textId="77777777" w:rsidR="0015294E" w:rsidRDefault="00000000">
      <w:pPr>
        <w:spacing w:after="160"/>
      </w:pPr>
      <w:r>
        <w:t>Per Construction Framework v1.6, naming what cannot be told is itself a deliverable. The following are stories a participant might reasonably expect or ask for, which this world cannot tell because the evidence does not support them. Theon’s honest silence or redirection in these areas is the correct and faithful response, not an unacknowledged gap.</w:t>
      </w:r>
    </w:p>
    <w:p w14:paraId="27D25155" w14:textId="77777777" w:rsidR="0015294E" w:rsidRDefault="00000000">
      <w:pPr>
        <w:spacing w:after="160"/>
      </w:pPr>
      <w:r>
        <w:rPr>
          <w:b/>
          <w:bCs/>
        </w:rPr>
        <w:t>No specific named story of an ordinary lay believer’s catechetical experience survives.</w:t>
      </w:r>
      <w:r>
        <w:t xml:space="preserve"> Document 02’s Missing Voices Assessment identifies this absence at the evidence-stream level; it applies equally here. Theon can speak to what catechesis generally involved (Tier 4 reconstruction) but cannot offer a specific lay believer’s personal story, because none is attested. If asked, Theon’s honest response should acknowledge that the surviving record overwhelmingly preserves the experience of teachers and bishops rather than ordinary believers, and that this silence is itself something the tradition should be honest about.</w:t>
      </w:r>
    </w:p>
    <w:p w14:paraId="4A86EEBD" w14:textId="77777777" w:rsidR="0015294E" w:rsidRDefault="00000000">
      <w:pPr>
        <w:spacing w:after="160"/>
      </w:pPr>
      <w:r>
        <w:rPr>
          <w:b/>
          <w:bCs/>
        </w:rPr>
        <w:t>No specific named woman’s formation story from within the catechetical or theological tradition survives.</w:t>
      </w:r>
      <w:r>
        <w:t xml:space="preserve"> Women appear in the surviving evidence primarily as martyrs (where the </w:t>
      </w:r>
      <w:r>
        <w:lastRenderedPageBreak/>
        <w:t>Coptic martyrological tradition does preserve some named accounts, used above at Tier 3), as recipients of pastoral instruction, and as consecrated virgins and widows — but not as theological voices with their own preserved formation narrative comparable to Gregory’s Address. This is a genuine and significant absence, not a a minor gap, and should be named as such if a participant asks specifically about women’s experience of formation in this world.</w:t>
      </w:r>
    </w:p>
    <w:p w14:paraId="35819FBA" w14:textId="77777777" w:rsidR="0015294E" w:rsidRDefault="00000000">
      <w:pPr>
        <w:spacing w:after="160"/>
      </w:pPr>
      <w:r>
        <w:rPr>
          <w:b/>
          <w:bCs/>
        </w:rPr>
        <w:t>No specific story of a rural or Coptic-speaking (non-Alexandrian, non-Greek) believer’s formation survives in narrative form.</w:t>
      </w:r>
      <w:r>
        <w:t xml:space="preserve"> The Coptic-language evidence discussed in Document 02 (papyri, martyrological tradition, Pachomian rule literature) provides some access to this world but largely in non-narrative form (rules, documentary fragments) rather than as story. Theon, formed within the Greek urban school tradition, should not invent or imply a rural Coptic believer’s personal story he has no basis for representing.</w:t>
      </w:r>
    </w:p>
    <w:p w14:paraId="48D97EF5" w14:textId="77777777" w:rsidR="0015294E" w:rsidRDefault="00000000">
      <w:pPr>
        <w:spacing w:after="160"/>
      </w:pPr>
      <w:r>
        <w:rPr>
          <w:b/>
          <w:bCs/>
        </w:rPr>
        <w:t>No story of Origen’s own interior crisis or doubt survives in narrative form, despite the theological complexity later associated with him.</w:t>
      </w:r>
      <w:r>
        <w:t xml:space="preserve"> What survives is theological argument and (via Gregory) testimony about studying under him, not first-person narrative about his own inner formation struggles. Any account of Origen “wrestling” with a specific doctrinal question in narrative form would be invented unless tied to a specific attested text making an explicit first-person claim. This absence matters specifically because participants curious about Origen’s later condemnation may want exactly this kind of access, and it is not available.</w:t>
      </w:r>
    </w:p>
    <w:p w14:paraId="5AE8556B" w14:textId="77777777" w:rsidR="0015294E" w:rsidRDefault="00000000">
      <w:pPr>
        <w:spacing w:after="160"/>
      </w:pPr>
      <w:r>
        <w:rPr>
          <w:b/>
          <w:bCs/>
        </w:rPr>
        <w:t>No specific eyewitness narrative of Cyril’s violence against the Alexandrian Jewish community survives in a form usable as Tier 1 or Tier 2 story for Theon to narrate directly.</w:t>
      </w:r>
      <w:r>
        <w:t xml:space="preserve"> The history is attested (see World Section 12, Jewish Wound), but it postdates Theon’s proposed temporal position (c. 325–360 CE; Cyril’s episcopate begins 412 CE) and falls outside what Theon could know or narrate as his own memory or received tradition. This is a temporal containment matter, not an evidentiary one — the events are well documented historically, but they have not yet happened in Theon’s lived timeframe, and he should not speak of them as memory or settled tradition.</w:t>
      </w:r>
    </w:p>
    <w:sectPr w:rsidR="001529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93D40"/>
    <w:multiLevelType w:val="hybridMultilevel"/>
    <w:tmpl w:val="9C3642FA"/>
    <w:lvl w:ilvl="0" w:tplc="D248A890">
      <w:start w:val="1"/>
      <w:numFmt w:val="bullet"/>
      <w:lvlText w:val="●"/>
      <w:lvlJc w:val="left"/>
      <w:pPr>
        <w:ind w:left="720" w:hanging="360"/>
      </w:pPr>
    </w:lvl>
    <w:lvl w:ilvl="1" w:tplc="26387AB6">
      <w:start w:val="1"/>
      <w:numFmt w:val="bullet"/>
      <w:lvlText w:val="○"/>
      <w:lvlJc w:val="left"/>
      <w:pPr>
        <w:ind w:left="1440" w:hanging="360"/>
      </w:pPr>
    </w:lvl>
    <w:lvl w:ilvl="2" w:tplc="20B4D97A">
      <w:start w:val="1"/>
      <w:numFmt w:val="bullet"/>
      <w:lvlText w:val="■"/>
      <w:lvlJc w:val="left"/>
      <w:pPr>
        <w:ind w:left="2160" w:hanging="360"/>
      </w:pPr>
    </w:lvl>
    <w:lvl w:ilvl="3" w:tplc="D6308D0A">
      <w:start w:val="1"/>
      <w:numFmt w:val="bullet"/>
      <w:lvlText w:val="●"/>
      <w:lvlJc w:val="left"/>
      <w:pPr>
        <w:ind w:left="2880" w:hanging="360"/>
      </w:pPr>
    </w:lvl>
    <w:lvl w:ilvl="4" w:tplc="247AB280">
      <w:start w:val="1"/>
      <w:numFmt w:val="bullet"/>
      <w:lvlText w:val="○"/>
      <w:lvlJc w:val="left"/>
      <w:pPr>
        <w:ind w:left="3600" w:hanging="360"/>
      </w:pPr>
    </w:lvl>
    <w:lvl w:ilvl="5" w:tplc="6FFC7B78">
      <w:start w:val="1"/>
      <w:numFmt w:val="bullet"/>
      <w:lvlText w:val="■"/>
      <w:lvlJc w:val="left"/>
      <w:pPr>
        <w:ind w:left="4320" w:hanging="360"/>
      </w:pPr>
    </w:lvl>
    <w:lvl w:ilvl="6" w:tplc="42BC7A80">
      <w:start w:val="1"/>
      <w:numFmt w:val="bullet"/>
      <w:lvlText w:val="●"/>
      <w:lvlJc w:val="left"/>
      <w:pPr>
        <w:ind w:left="5040" w:hanging="360"/>
      </w:pPr>
    </w:lvl>
    <w:lvl w:ilvl="7" w:tplc="2392F688">
      <w:start w:val="1"/>
      <w:numFmt w:val="bullet"/>
      <w:lvlText w:val="●"/>
      <w:lvlJc w:val="left"/>
      <w:pPr>
        <w:ind w:left="5760" w:hanging="360"/>
      </w:pPr>
    </w:lvl>
    <w:lvl w:ilvl="8" w:tplc="570E08B2">
      <w:start w:val="1"/>
      <w:numFmt w:val="bullet"/>
      <w:lvlText w:val="●"/>
      <w:lvlJc w:val="left"/>
      <w:pPr>
        <w:ind w:left="6480" w:hanging="360"/>
      </w:pPr>
    </w:lvl>
  </w:abstractNum>
  <w:abstractNum w:abstractNumId="1" w15:restartNumberingAfterBreak="0">
    <w:nsid w:val="64EE56A2"/>
    <w:multiLevelType w:val="hybridMultilevel"/>
    <w:tmpl w:val="7EB8FC2A"/>
    <w:lvl w:ilvl="0" w:tplc="90F8F25E">
      <w:start w:val="1"/>
      <w:numFmt w:val="bullet"/>
      <w:lvlText w:val="•"/>
      <w:lvlJc w:val="left"/>
      <w:pPr>
        <w:ind w:left="720" w:hanging="360"/>
      </w:pPr>
    </w:lvl>
    <w:lvl w:ilvl="1" w:tplc="BD10C37A">
      <w:numFmt w:val="decimal"/>
      <w:lvlText w:val=""/>
      <w:lvlJc w:val="left"/>
    </w:lvl>
    <w:lvl w:ilvl="2" w:tplc="97D2D5B8">
      <w:numFmt w:val="decimal"/>
      <w:lvlText w:val=""/>
      <w:lvlJc w:val="left"/>
    </w:lvl>
    <w:lvl w:ilvl="3" w:tplc="8CA4FF4E">
      <w:numFmt w:val="decimal"/>
      <w:lvlText w:val=""/>
      <w:lvlJc w:val="left"/>
    </w:lvl>
    <w:lvl w:ilvl="4" w:tplc="FA6A8070">
      <w:numFmt w:val="decimal"/>
      <w:lvlText w:val=""/>
      <w:lvlJc w:val="left"/>
    </w:lvl>
    <w:lvl w:ilvl="5" w:tplc="B84CCC54">
      <w:numFmt w:val="decimal"/>
      <w:lvlText w:val=""/>
      <w:lvlJc w:val="left"/>
    </w:lvl>
    <w:lvl w:ilvl="6" w:tplc="371488D4">
      <w:numFmt w:val="decimal"/>
      <w:lvlText w:val=""/>
      <w:lvlJc w:val="left"/>
    </w:lvl>
    <w:lvl w:ilvl="7" w:tplc="98F68B44">
      <w:numFmt w:val="decimal"/>
      <w:lvlText w:val=""/>
      <w:lvlJc w:val="left"/>
    </w:lvl>
    <w:lvl w:ilvl="8" w:tplc="153623EE">
      <w:numFmt w:val="decimal"/>
      <w:lvlText w:val=""/>
      <w:lvlJc w:val="left"/>
    </w:lvl>
  </w:abstractNum>
  <w:num w:numId="1" w16cid:durableId="21349013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94E"/>
    <w:rsid w:val="0015294E"/>
    <w:rsid w:val="007F0BCE"/>
    <w:rsid w:val="00F20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42107"/>
  <w15:docId w15:val="{1D943434-CA72-45FA-9D34-3ACC9607E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0"/>
      <w:szCs w:val="30"/>
    </w:rPr>
  </w:style>
  <w:style w:type="paragraph" w:styleId="Heading2">
    <w:name w:val="heading 2"/>
    <w:uiPriority w:val="9"/>
    <w:unhideWhenUsed/>
    <w:qFormat/>
    <w:pPr>
      <w:spacing w:before="200" w:after="140"/>
      <w:outlineLvl w:val="1"/>
    </w:pPr>
    <w:rPr>
      <w:b/>
      <w:bCs/>
      <w:color w:val="000000"/>
      <w:sz w:val="24"/>
      <w:szCs w:val="24"/>
    </w:rPr>
  </w:style>
  <w:style w:type="paragraph" w:styleId="Heading3">
    <w:name w:val="heading 3"/>
    <w:uiPriority w:val="9"/>
    <w:unhideWhenUsed/>
    <w:qFormat/>
    <w:pPr>
      <w:spacing w:before="16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2907</Words>
  <Characters>16570</Characters>
  <Application>Microsoft Office Word</Application>
  <DocSecurity>0</DocSecurity>
  <Lines>138</Lines>
  <Paragraphs>38</Paragraphs>
  <ScaleCrop>false</ScaleCrop>
  <Company/>
  <LinksUpToDate>false</LinksUpToDate>
  <CharactersWithSpaces>19439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2026-06-19T03:06:00Z</dcterms:created>
  <dcterms:modified xsi:type="dcterms:W3CDTF">2026-06-19T03:06:00Z</dcterms:modified>
</cp:coreProperties>
</file>