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7FCD" w14:textId="77777777" w:rsidR="00A673F9" w:rsidRDefault="00000000">
      <w:pPr>
        <w:pStyle w:val="Heading1"/>
      </w:pPr>
      <w:r>
        <w:t>Alexandrian Christianity</w:t>
      </w:r>
    </w:p>
    <w:p w14:paraId="27439A1D" w14:textId="77777777" w:rsidR="00A673F9" w:rsidRDefault="00000000">
      <w:pPr>
        <w:spacing w:after="80"/>
      </w:pPr>
      <w:r>
        <w:rPr>
          <w:b/>
          <w:bCs/>
          <w:sz w:val="28"/>
          <w:szCs w:val="28"/>
        </w:rPr>
        <w:t>World Identification &amp; Boundaries</w:t>
      </w:r>
    </w:p>
    <w:p w14:paraId="677C1EAD" w14:textId="77777777" w:rsidR="00A673F9" w:rsidRDefault="00000000">
      <w:pPr>
        <w:spacing w:after="160"/>
      </w:pPr>
      <w:r>
        <w:t>Document 1 of 2 — v0.4</w:t>
      </w:r>
    </w:p>
    <w:p w14:paraId="1FB1D261" w14:textId="77777777" w:rsidR="00A673F9" w:rsidRDefault="00A673F9">
      <w:pPr>
        <w:spacing w:after="80"/>
      </w:pPr>
    </w:p>
    <w:p w14:paraId="03E08C90" w14:textId="77777777" w:rsidR="00A673F9" w:rsidRDefault="00000000">
      <w:pPr>
        <w:pStyle w:val="Heading2"/>
      </w:pPr>
      <w:r>
        <w:t>Version History</w:t>
      </w:r>
    </w:p>
    <w:p w14:paraId="587D2210" w14:textId="77777777" w:rsidR="00A673F9" w:rsidRDefault="00000000">
      <w:pPr>
        <w:spacing w:after="160"/>
      </w:pPr>
      <w:r>
        <w:rPr>
          <w:i/>
          <w:iCs/>
        </w:rPr>
        <w:t>v0.1 — initial working draft; world identification and source ecology combined in one document.</w:t>
      </w:r>
    </w:p>
    <w:p w14:paraId="5390B107" w14:textId="77777777" w:rsidR="00A673F9" w:rsidRDefault="00000000">
      <w:pPr>
        <w:spacing w:after="160"/>
      </w:pPr>
      <w:r>
        <w:rPr>
          <w:i/>
          <w:iCs/>
        </w:rPr>
        <w:t>v0.2 — revised combined document retitled Phase 1–2 Source Ecology; temporal scope rationale expanded; source ecology developed to twelve evidence streams.</w:t>
      </w:r>
    </w:p>
    <w:p w14:paraId="70E444FD" w14:textId="77777777" w:rsidR="00A673F9" w:rsidRDefault="00000000">
      <w:pPr>
        <w:spacing w:after="160"/>
      </w:pPr>
      <w:r>
        <w:rPr>
          <w:i/>
          <w:iCs/>
        </w:rPr>
        <w:t>v0.3 — split into two separate documents. This document (Document 1) covers World Identification &amp; Boundaries only; Document 2 covers Source Ecology &amp; Evidence Assessment. Changes from v0.2: (1) geographic scope revised to distinguish primary centers from adjacent world relationships (Cappadocia, Antioch, Palestine reclassified as External World Analysis territory); (2) World Separation Criteria section added per Construction Framework Part I requirements; (3) World Continuity &amp; Distinction section added; (4) Living Tradition Status section added per Blueprint Section 1 and Constitution Article 21; (5) mission alignment note added; (6) note on temporal scope’s internal complexity added. No content removed from v0.2.</w:t>
      </w:r>
    </w:p>
    <w:p w14:paraId="003789E3" w14:textId="77777777" w:rsidR="00A673F9" w:rsidRDefault="00000000">
      <w:pPr>
        <w:spacing w:after="160"/>
      </w:pPr>
      <w:r>
        <w:rPr>
          <w:i/>
          <w:iCs/>
        </w:rPr>
        <w:t>v0.4 — small additions bringing this document into agreement with Construction Framework v1.6 and Blueprint v1.5. Two changes: (1) a Note on Storied Versus Documented Continuity added under World Continuity &amp; Distinction, acknowledging that some of what this world inherits and transmits travels as story rather than treatise, and pointing to the four-tier Story and Narrative Sources framework in Document 02 and the Alexandria Story Inventory for evaluation; (2) a note added to Living Tradition Status’s Differentiation Discipline acknowledging that the living tradition’s self-understanding is carried substantially through hagiographic and martyrological story, and that this material is tier-classified rather than treated as settled historical fact. No existing content removed.</w:t>
      </w:r>
    </w:p>
    <w:p w14:paraId="6DB17333" w14:textId="77777777" w:rsidR="00A673F9" w:rsidRDefault="00A673F9">
      <w:pPr>
        <w:spacing w:after="80"/>
      </w:pPr>
    </w:p>
    <w:p w14:paraId="4B9D4C09" w14:textId="77777777" w:rsidR="00A673F9" w:rsidRDefault="00000000">
      <w:pPr>
        <w:pStyle w:val="Heading2"/>
      </w:pPr>
      <w:r>
        <w:t>Status</w:t>
      </w:r>
    </w:p>
    <w:p w14:paraId="6C7ADBB2" w14:textId="77777777" w:rsidR="00A673F9" w:rsidRDefault="00000000">
      <w:pPr>
        <w:spacing w:after="160"/>
      </w:pPr>
      <w:r>
        <w:t>Working Draft. Phase 1 determination substantially complete. Subject to revision if Phase 3 gravity discovery reveals ecological discontinuities requiring reassessment of boundaries.</w:t>
      </w:r>
    </w:p>
    <w:p w14:paraId="404B211E" w14:textId="77777777" w:rsidR="00A673F9" w:rsidRDefault="00A673F9">
      <w:pPr>
        <w:spacing w:after="80"/>
      </w:pPr>
    </w:p>
    <w:p w14:paraId="1D4253A4" w14:textId="77777777" w:rsidR="00A673F9" w:rsidRDefault="00000000">
      <w:pPr>
        <w:pStyle w:val="Heading2"/>
      </w:pPr>
      <w:r>
        <w:t>Purpose of This Document</w:t>
      </w:r>
    </w:p>
    <w:p w14:paraId="148F88F5" w14:textId="77777777" w:rsidR="00A673F9" w:rsidRDefault="00000000">
      <w:pPr>
        <w:spacing w:after="160"/>
      </w:pPr>
      <w:r>
        <w:t>This document establishes the formal boundaries of the Alexandrian Christianity formation world: what it is, where it begins and ends in time and space, how it is distinguished from adjacent worlds, what it inherits and transmits, and its relationship to living traditions in the present day.</w:t>
      </w:r>
    </w:p>
    <w:p w14:paraId="6185D254" w14:textId="77777777" w:rsidR="00A673F9" w:rsidRDefault="00000000">
      <w:pPr>
        <w:spacing w:after="160"/>
      </w:pPr>
      <w:r>
        <w:t>It does not contain source ecology evidence, gravity discoveries, or ecological reconstruction. Those belong to subsequent documents. The purpose here is to determine the scope within which all subsequent work proceeds.</w:t>
      </w:r>
    </w:p>
    <w:p w14:paraId="65E2CA9D" w14:textId="77777777" w:rsidR="00A673F9" w:rsidRDefault="00A673F9">
      <w:pPr>
        <w:spacing w:after="80"/>
      </w:pPr>
    </w:p>
    <w:p w14:paraId="4883CAAB" w14:textId="77777777" w:rsidR="00A673F9" w:rsidRDefault="00000000">
      <w:pPr>
        <w:pStyle w:val="Heading1"/>
      </w:pPr>
      <w:r>
        <w:t>Candidate World Name</w:t>
      </w:r>
    </w:p>
    <w:p w14:paraId="0302CF9A" w14:textId="77777777" w:rsidR="00A673F9" w:rsidRDefault="00000000">
      <w:pPr>
        <w:spacing w:after="160"/>
      </w:pPr>
      <w:r>
        <w:t>Alexandrian Christianity</w:t>
      </w:r>
    </w:p>
    <w:p w14:paraId="1DE2F361" w14:textId="77777777" w:rsidR="00A673F9" w:rsidRDefault="00000000">
      <w:pPr>
        <w:spacing w:after="160"/>
      </w:pPr>
      <w:r>
        <w:t>This name designates a distinctive Christian formation ecology centered in Alexandria and the broader Egyptian Christian world during the second through fourth centuries CE. It is not a denomination, a theological school, or a historical movement — it is a formation world: an ecology of practices, relationships, institutions, and assumptions that shapes how persons inhabit theological reality within a specific time and place.</w:t>
      </w:r>
    </w:p>
    <w:p w14:paraId="269F9F11" w14:textId="77777777" w:rsidR="00A673F9" w:rsidRDefault="00A673F9">
      <w:pPr>
        <w:spacing w:after="80"/>
      </w:pPr>
    </w:p>
    <w:p w14:paraId="54A61CF3" w14:textId="77777777" w:rsidR="00A673F9" w:rsidRDefault="00000000">
      <w:pPr>
        <w:pStyle w:val="Heading1"/>
      </w:pPr>
      <w:r>
        <w:t>Temporal Scope</w:t>
      </w:r>
    </w:p>
    <w:p w14:paraId="03B184F3" w14:textId="77777777" w:rsidR="00A673F9" w:rsidRDefault="00000000">
      <w:pPr>
        <w:pStyle w:val="Heading2"/>
      </w:pPr>
      <w:r>
        <w:t>Candidate Horizon</w:t>
      </w:r>
    </w:p>
    <w:p w14:paraId="4C461C9E" w14:textId="77777777" w:rsidR="00A673F9" w:rsidRDefault="00000000">
      <w:pPr>
        <w:spacing w:after="160"/>
      </w:pPr>
      <w:r>
        <w:t>150–400 CE</w:t>
      </w:r>
    </w:p>
    <w:p w14:paraId="38C4B809" w14:textId="77777777" w:rsidR="00A673F9" w:rsidRDefault="00000000">
      <w:pPr>
        <w:pStyle w:val="Heading2"/>
      </w:pPr>
      <w:r>
        <w:t>Rationale</w:t>
      </w:r>
    </w:p>
    <w:p w14:paraId="6DD4F48D" w14:textId="77777777" w:rsidR="00A673F9" w:rsidRDefault="00000000">
      <w:pPr>
        <w:spacing w:after="160"/>
      </w:pPr>
      <w:r>
        <w:t>This period captures:</w:t>
      </w:r>
    </w:p>
    <w:p w14:paraId="1DB6C9C6" w14:textId="77777777" w:rsidR="00A673F9" w:rsidRDefault="00000000">
      <w:pPr>
        <w:pStyle w:val="ListParagraph"/>
        <w:numPr>
          <w:ilvl w:val="0"/>
          <w:numId w:val="2"/>
        </w:numPr>
        <w:spacing w:after="60"/>
      </w:pPr>
      <w:r>
        <w:t>the maturation of Alexandrian catechetical traditions</w:t>
      </w:r>
    </w:p>
    <w:p w14:paraId="086770D9" w14:textId="77777777" w:rsidR="00A673F9" w:rsidRDefault="00000000">
      <w:pPr>
        <w:pStyle w:val="ListParagraph"/>
        <w:numPr>
          <w:ilvl w:val="0"/>
          <w:numId w:val="2"/>
        </w:numPr>
        <w:spacing w:after="60"/>
      </w:pPr>
      <w:r>
        <w:t>Clement of Alexandria (c. 150–215 CE)</w:t>
      </w:r>
    </w:p>
    <w:p w14:paraId="0360E5FD" w14:textId="77777777" w:rsidR="00A673F9" w:rsidRDefault="00000000">
      <w:pPr>
        <w:pStyle w:val="ListParagraph"/>
        <w:numPr>
          <w:ilvl w:val="0"/>
          <w:numId w:val="2"/>
        </w:numPr>
        <w:spacing w:after="60"/>
      </w:pPr>
      <w:r>
        <w:t>Origen (c. 185–254 CE) and post-Origen developments</w:t>
      </w:r>
    </w:p>
    <w:p w14:paraId="3763D462" w14:textId="77777777" w:rsidR="00A673F9" w:rsidRDefault="00000000">
      <w:pPr>
        <w:pStyle w:val="ListParagraph"/>
        <w:numPr>
          <w:ilvl w:val="0"/>
          <w:numId w:val="2"/>
        </w:numPr>
        <w:spacing w:after="60"/>
      </w:pPr>
      <w:r>
        <w:t>Didymus the Blind (c. 313–398 CE)</w:t>
      </w:r>
    </w:p>
    <w:p w14:paraId="0BD7734B" w14:textId="77777777" w:rsidR="00A673F9" w:rsidRDefault="00000000">
      <w:pPr>
        <w:pStyle w:val="ListParagraph"/>
        <w:numPr>
          <w:ilvl w:val="0"/>
          <w:numId w:val="2"/>
        </w:numPr>
        <w:spacing w:after="60"/>
      </w:pPr>
      <w:r>
        <w:t>Athanasius (c. 296–373 CE) and the Nicene settlement</w:t>
      </w:r>
    </w:p>
    <w:p w14:paraId="636EC6DB" w14:textId="77777777" w:rsidR="00A673F9" w:rsidRDefault="00000000">
      <w:pPr>
        <w:pStyle w:val="ListParagraph"/>
        <w:numPr>
          <w:ilvl w:val="0"/>
          <w:numId w:val="2"/>
        </w:numPr>
        <w:spacing w:after="60"/>
      </w:pPr>
      <w:r>
        <w:t>major Trinitarian and Christological controversies</w:t>
      </w:r>
    </w:p>
    <w:p w14:paraId="2BCFABC2" w14:textId="77777777" w:rsidR="00A673F9" w:rsidRDefault="00000000">
      <w:pPr>
        <w:pStyle w:val="ListParagraph"/>
        <w:numPr>
          <w:ilvl w:val="0"/>
          <w:numId w:val="2"/>
        </w:numPr>
        <w:spacing w:after="60"/>
      </w:pPr>
      <w:r>
        <w:t>the emergence of Egyptian monasticism</w:t>
      </w:r>
    </w:p>
    <w:p w14:paraId="58FCF00A" w14:textId="77777777" w:rsidR="00A673F9" w:rsidRDefault="00A673F9">
      <w:pPr>
        <w:spacing w:after="80"/>
      </w:pPr>
    </w:p>
    <w:p w14:paraId="7A91A32B" w14:textId="77777777" w:rsidR="00A673F9" w:rsidRDefault="00000000">
      <w:pPr>
        <w:spacing w:after="160"/>
      </w:pPr>
      <w:r>
        <w:t>The boundary remains provisional and subject to revision if gravity discovery reveals significant ecological discontinuities.</w:t>
      </w:r>
    </w:p>
    <w:p w14:paraId="402DAC45" w14:textId="77777777" w:rsidR="00A673F9" w:rsidRDefault="00000000">
      <w:pPr>
        <w:pStyle w:val="Heading2"/>
      </w:pPr>
      <w:r>
        <w:t>Note on Internal Complexity</w:t>
      </w:r>
    </w:p>
    <w:p w14:paraId="3336B274" w14:textId="77777777" w:rsidR="00A673F9" w:rsidRDefault="00000000">
      <w:pPr>
        <w:spacing w:after="160"/>
      </w:pPr>
      <w:r>
        <w:t>The proposed horizon of 150–400 CE spans a significant internal transition: the Arian controversy and the Council of Nicaea (325 CE). This raises the world separation question: does Nicaea represent a boundary between two worlds, or an internal development within one world?</w:t>
      </w:r>
    </w:p>
    <w:p w14:paraId="5468C862" w14:textId="77777777" w:rsidR="00A673F9" w:rsidRDefault="00000000">
      <w:pPr>
        <w:spacing w:after="160"/>
      </w:pPr>
      <w:r>
        <w:t>Provisional determination: the Council of Nicaea and its aftermath represent an internal tensional development rather than a world boundary. The ecology’s organizing forces — scriptural interpretation, spiritual transformation, Christian learning, worship, and episcopal authority — persist across this transition. The controversy sharpens and reshapes how certain forces are expressed (particularly authority and boundary formation) without generating a new ecology with distinct organizing gravities. The world is one world across 150–400 CE, with the understanding that it undergoes substantial internal development rather than remaining static.</w:t>
      </w:r>
    </w:p>
    <w:p w14:paraId="52DC32F0" w14:textId="77777777" w:rsidR="00A673F9" w:rsidRDefault="00000000">
      <w:pPr>
        <w:spacing w:after="160"/>
      </w:pPr>
      <w:r>
        <w:lastRenderedPageBreak/>
        <w:t>A second internal question concerns the emergence of monasticism across the latter portion of the horizon. Provisional determination: monasticism is an expression of intensification within this world’s existing formation concerns — not a daughter world with distinct organizing gravities. This determination is addressed formally in Document 2 (Source Ecology, Evidence Stream 9) and is subject to revision pending Phase 3.</w:t>
      </w:r>
    </w:p>
    <w:p w14:paraId="649B0B22" w14:textId="77777777" w:rsidR="00A673F9" w:rsidRDefault="00000000">
      <w:pPr>
        <w:spacing w:after="160"/>
      </w:pPr>
      <w:r>
        <w:t>A genuine world boundary exists at 451 CE (Council of Chalcedon), which lies outside the proposed horizon. The Chalcedonian Definition generated a permanent communal fracture; the Coptic and Chalcedonian Greek streams of Alexandrian Christianity become distinct communities. The proposed horizon ends before this boundary intentionally.</w:t>
      </w:r>
    </w:p>
    <w:p w14:paraId="2B071169" w14:textId="77777777" w:rsidR="00A673F9" w:rsidRDefault="00A673F9">
      <w:pPr>
        <w:spacing w:after="80"/>
      </w:pPr>
    </w:p>
    <w:p w14:paraId="4933BEDD" w14:textId="77777777" w:rsidR="00A673F9" w:rsidRDefault="00000000">
      <w:pPr>
        <w:pStyle w:val="Heading1"/>
      </w:pPr>
      <w:r>
        <w:t>Geographic Scope</w:t>
      </w:r>
    </w:p>
    <w:p w14:paraId="612DF654" w14:textId="77777777" w:rsidR="00A673F9" w:rsidRDefault="00000000">
      <w:pPr>
        <w:pStyle w:val="Heading2"/>
      </w:pPr>
      <w:r>
        <w:t>Primary Centers</w:t>
      </w:r>
    </w:p>
    <w:p w14:paraId="3B4FF0BF" w14:textId="77777777" w:rsidR="00A673F9" w:rsidRDefault="00000000">
      <w:pPr>
        <w:pStyle w:val="ListParagraph"/>
        <w:numPr>
          <w:ilvl w:val="0"/>
          <w:numId w:val="2"/>
        </w:numPr>
        <w:spacing w:after="60"/>
      </w:pPr>
      <w:r>
        <w:t>Alexandria — the intellectual and institutional center</w:t>
      </w:r>
    </w:p>
    <w:p w14:paraId="04D3AF60" w14:textId="77777777" w:rsidR="00A673F9" w:rsidRDefault="00000000">
      <w:pPr>
        <w:pStyle w:val="ListParagraph"/>
        <w:numPr>
          <w:ilvl w:val="0"/>
          <w:numId w:val="2"/>
        </w:numPr>
        <w:spacing w:after="60"/>
      </w:pPr>
      <w:r>
        <w:t>Nile Delta — the broader urban Christian network</w:t>
      </w:r>
    </w:p>
    <w:p w14:paraId="47FB9D23" w14:textId="77777777" w:rsidR="00A673F9" w:rsidRDefault="00000000">
      <w:pPr>
        <w:pStyle w:val="ListParagraph"/>
        <w:numPr>
          <w:ilvl w:val="0"/>
          <w:numId w:val="2"/>
        </w:numPr>
        <w:spacing w:after="60"/>
      </w:pPr>
      <w:r>
        <w:t>Egyptian Hinterland — including rural communities and, increasingly, monastic settlements</w:t>
      </w:r>
    </w:p>
    <w:p w14:paraId="1AC82873" w14:textId="77777777" w:rsidR="00A673F9" w:rsidRDefault="00000000">
      <w:pPr>
        <w:pStyle w:val="Heading2"/>
      </w:pPr>
      <w:r>
        <w:t>Secondary Regions Within This World</w:t>
      </w:r>
    </w:p>
    <w:p w14:paraId="0BC48A5D" w14:textId="77777777" w:rsidR="00A673F9" w:rsidRDefault="00000000">
      <w:pPr>
        <w:spacing w:after="160"/>
      </w:pPr>
      <w:r>
        <w:t>The ecology’s reach extended across Egyptian Christianity as a whole, though with significant variation in character and evidence between:</w:t>
      </w:r>
    </w:p>
    <w:p w14:paraId="0DFCC94F" w14:textId="77777777" w:rsidR="00A673F9" w:rsidRDefault="00000000">
      <w:pPr>
        <w:pStyle w:val="ListParagraph"/>
        <w:numPr>
          <w:ilvl w:val="0"/>
          <w:numId w:val="2"/>
        </w:numPr>
        <w:spacing w:after="60"/>
      </w:pPr>
      <w:r>
        <w:t>Greek-speaking Alexandrian communities (the best-documented)</w:t>
      </w:r>
    </w:p>
    <w:p w14:paraId="35C3A607" w14:textId="77777777" w:rsidR="00A673F9" w:rsidRDefault="00000000">
      <w:pPr>
        <w:pStyle w:val="ListParagraph"/>
        <w:numPr>
          <w:ilvl w:val="0"/>
          <w:numId w:val="2"/>
        </w:numPr>
        <w:spacing w:after="60"/>
      </w:pPr>
      <w:r>
        <w:t>Coptic-speaking communities across Egypt (substantially less documented but ecologically significant)</w:t>
      </w:r>
    </w:p>
    <w:p w14:paraId="2DC53B94" w14:textId="77777777" w:rsidR="00A673F9" w:rsidRDefault="00000000">
      <w:pPr>
        <w:pStyle w:val="ListParagraph"/>
        <w:numPr>
          <w:ilvl w:val="0"/>
          <w:numId w:val="2"/>
        </w:numPr>
        <w:spacing w:after="60"/>
      </w:pPr>
      <w:r>
        <w:t>Desert communities in the Thebaid and Nitrian Desert (emerging through the later portions of the horizon)</w:t>
      </w:r>
    </w:p>
    <w:p w14:paraId="028B58DD" w14:textId="77777777" w:rsidR="00A673F9" w:rsidRDefault="00000000">
      <w:pPr>
        <w:pStyle w:val="Heading2"/>
      </w:pPr>
      <w:r>
        <w:t>Adjacent Worlds — Not Part of This Ecology</w:t>
      </w:r>
    </w:p>
    <w:p w14:paraId="36DCBD53" w14:textId="77777777" w:rsidR="00A673F9" w:rsidRDefault="00000000">
      <w:pPr>
        <w:spacing w:after="160"/>
      </w:pPr>
      <w:r>
        <w:t>The following regions are sometimes listed as part of the Alexandrian world but are more accurately treated as distinct formation worlds with significant exchange relationships:</w:t>
      </w:r>
    </w:p>
    <w:p w14:paraId="4D57E4FB" w14:textId="77777777" w:rsidR="00A673F9" w:rsidRDefault="00000000">
      <w:pPr>
        <w:pStyle w:val="ListParagraph"/>
        <w:numPr>
          <w:ilvl w:val="0"/>
          <w:numId w:val="2"/>
        </w:numPr>
        <w:spacing w:after="60"/>
      </w:pPr>
      <w:r>
        <w:t>Palestine — a distinct world that received and transmitted influence from Alexandria (particularly through Origen’s later work in Caesarea) but has its own organizing ecology</w:t>
      </w:r>
    </w:p>
    <w:p w14:paraId="3FF85B22" w14:textId="77777777" w:rsidR="00A673F9" w:rsidRDefault="00000000">
      <w:pPr>
        <w:pStyle w:val="ListParagraph"/>
        <w:numPr>
          <w:ilvl w:val="0"/>
          <w:numId w:val="2"/>
        </w:numPr>
        <w:spacing w:after="60"/>
      </w:pPr>
      <w:r>
        <w:t>Cappadocia — a distinct world that received Origenian influence through Gregory Thaumaturgus and developed it into its own theological synthesis (the Cappadocian Fathers)</w:t>
      </w:r>
    </w:p>
    <w:p w14:paraId="35CCFB0C" w14:textId="77777777" w:rsidR="00A673F9" w:rsidRDefault="00000000">
      <w:pPr>
        <w:pStyle w:val="ListParagraph"/>
        <w:numPr>
          <w:ilvl w:val="0"/>
          <w:numId w:val="2"/>
        </w:numPr>
        <w:spacing w:after="60"/>
      </w:pPr>
      <w:r>
        <w:t>Antioch — a distinct world with systematically different hermeneutical and Christological tendencies, in ongoing productive tension with Alexandria</w:t>
      </w:r>
    </w:p>
    <w:p w14:paraId="13C7D115" w14:textId="77777777" w:rsidR="00A673F9" w:rsidRDefault="00000000">
      <w:pPr>
        <w:pStyle w:val="ListParagraph"/>
        <w:numPr>
          <w:ilvl w:val="0"/>
          <w:numId w:val="2"/>
        </w:numPr>
        <w:spacing w:after="60"/>
      </w:pPr>
      <w:r>
        <w:t>Broader Eastern Mediterranean — territory of multiple distinct worlds</w:t>
      </w:r>
    </w:p>
    <w:p w14:paraId="73ACBE4F" w14:textId="77777777" w:rsidR="00A673F9" w:rsidRDefault="00000000">
      <w:pPr>
        <w:spacing w:after="160"/>
      </w:pPr>
      <w:r>
        <w:t>These relationships — what Alexandria gave to and received from these adjacent worlds — belong to Phase 4.3 (External World Analysis), not to the scope determination here. Treating them as secondary zones of this world would blur the differentiation that makes each world distinct.</w:t>
      </w:r>
    </w:p>
    <w:p w14:paraId="450DD8EE" w14:textId="77777777" w:rsidR="00A673F9" w:rsidRDefault="00A673F9">
      <w:pPr>
        <w:spacing w:after="80"/>
      </w:pPr>
    </w:p>
    <w:p w14:paraId="3F480298" w14:textId="77777777" w:rsidR="00A673F9" w:rsidRDefault="00000000">
      <w:pPr>
        <w:pStyle w:val="Heading1"/>
      </w:pPr>
      <w:r>
        <w:lastRenderedPageBreak/>
        <w:t>Distinct World Test</w:t>
      </w:r>
    </w:p>
    <w:p w14:paraId="48985CC8" w14:textId="77777777" w:rsidR="00A673F9" w:rsidRDefault="00000000">
      <w:pPr>
        <w:pStyle w:val="Heading2"/>
      </w:pPr>
      <w:r>
        <w:t>Question</w:t>
      </w:r>
    </w:p>
    <w:p w14:paraId="182C3D26" w14:textId="77777777" w:rsidR="00A673F9" w:rsidRDefault="00000000">
      <w:pPr>
        <w:spacing w:after="160"/>
      </w:pPr>
      <w:r>
        <w:t>Does a recurring formation ecology appear to exist that is distinct from adjacent worlds and from the broader Christian ecology of the period?</w:t>
      </w:r>
    </w:p>
    <w:p w14:paraId="7432A222" w14:textId="77777777" w:rsidR="00A673F9" w:rsidRDefault="00000000">
      <w:pPr>
        <w:pStyle w:val="Heading2"/>
      </w:pPr>
      <w:r>
        <w:t>Preliminary Determination</w:t>
      </w:r>
    </w:p>
    <w:p w14:paraId="5582EF8E" w14:textId="77777777" w:rsidR="00A673F9" w:rsidRDefault="00000000">
      <w:pPr>
        <w:spacing w:after="160"/>
      </w:pPr>
      <w:r>
        <w:t>Yes, with appropriate provisos.</w:t>
      </w:r>
    </w:p>
    <w:p w14:paraId="1B2D0882" w14:textId="77777777" w:rsidR="00A673F9" w:rsidRDefault="00000000">
      <w:pPr>
        <w:spacing w:after="160"/>
      </w:pPr>
      <w:r>
        <w:t>Evidence supports the existence of a distinct formation ecology. Recurring patterns appear across multiple evidence streams associated with:</w:t>
      </w:r>
    </w:p>
    <w:p w14:paraId="29AC289D" w14:textId="77777777" w:rsidR="00A673F9" w:rsidRDefault="00000000">
      <w:pPr>
        <w:pStyle w:val="ListParagraph"/>
        <w:numPr>
          <w:ilvl w:val="0"/>
          <w:numId w:val="2"/>
        </w:numPr>
        <w:spacing w:after="60"/>
      </w:pPr>
      <w:r>
        <w:t>scriptural interpretation (with distinctively multilevel, allegorical character)</w:t>
      </w:r>
    </w:p>
    <w:p w14:paraId="4C9ECA27" w14:textId="77777777" w:rsidR="00A673F9" w:rsidRDefault="00000000">
      <w:pPr>
        <w:pStyle w:val="ListParagraph"/>
        <w:numPr>
          <w:ilvl w:val="0"/>
          <w:numId w:val="2"/>
        </w:numPr>
        <w:spacing w:after="60"/>
      </w:pPr>
      <w:r>
        <w:t>spiritual formation (with distinctively transformational and participatory character)</w:t>
      </w:r>
    </w:p>
    <w:p w14:paraId="02BE2013" w14:textId="77777777" w:rsidR="00A673F9" w:rsidRDefault="00000000">
      <w:pPr>
        <w:pStyle w:val="ListParagraph"/>
        <w:numPr>
          <w:ilvl w:val="0"/>
          <w:numId w:val="2"/>
        </w:numPr>
        <w:spacing w:after="60"/>
      </w:pPr>
      <w:r>
        <w:t>educational activity (with unusually integrated learning-formation relationship)</w:t>
      </w:r>
    </w:p>
    <w:p w14:paraId="52E12D93" w14:textId="77777777" w:rsidR="00A673F9" w:rsidRDefault="00000000">
      <w:pPr>
        <w:pStyle w:val="ListParagraph"/>
        <w:numPr>
          <w:ilvl w:val="0"/>
          <w:numId w:val="2"/>
        </w:numPr>
        <w:spacing w:after="60"/>
      </w:pPr>
      <w:r>
        <w:t>worship and prayer (sustaining formation across the whole community)</w:t>
      </w:r>
    </w:p>
    <w:p w14:paraId="239E54D8" w14:textId="77777777" w:rsidR="00A673F9" w:rsidRDefault="00000000">
      <w:pPr>
        <w:pStyle w:val="ListParagraph"/>
        <w:numPr>
          <w:ilvl w:val="0"/>
          <w:numId w:val="2"/>
        </w:numPr>
        <w:spacing w:after="60"/>
      </w:pPr>
      <w:r>
        <w:t>philosophical engagement (unusually confident synthesis with Greek intellectual tradition)</w:t>
      </w:r>
    </w:p>
    <w:p w14:paraId="0C29B74B" w14:textId="77777777" w:rsidR="00A673F9" w:rsidRDefault="00000000">
      <w:pPr>
        <w:pStyle w:val="ListParagraph"/>
        <w:numPr>
          <w:ilvl w:val="0"/>
          <w:numId w:val="2"/>
        </w:numPr>
        <w:spacing w:after="60"/>
      </w:pPr>
      <w:r>
        <w:t>community identity (shaped by catechumenal formation and doctrinal boundary)</w:t>
      </w:r>
    </w:p>
    <w:p w14:paraId="37695D09" w14:textId="77777777" w:rsidR="00A673F9" w:rsidRDefault="00000000">
      <w:pPr>
        <w:spacing w:after="160"/>
      </w:pPr>
      <w:r>
        <w:t>These patterns are not only recurring — they appear to interact and reinforce each other in ways that suggest ecological coherence rather than coincidental co-occurrence. The distinctiveness from adjacent worlds (particularly Antioch’s different hermeneutical and Christological tendencies) further supports treating this as a distinct ecology.</w:t>
      </w:r>
    </w:p>
    <w:p w14:paraId="6023033A" w14:textId="77777777" w:rsidR="00A673F9" w:rsidRDefault="00000000">
      <w:pPr>
        <w:spacing w:after="160"/>
      </w:pPr>
      <w:r>
        <w:t>These observations remain provisional. They should not yet be treated as gravities or ecological conclusions. That determination belongs to Phase 3.</w:t>
      </w:r>
    </w:p>
    <w:p w14:paraId="3A3FA38F" w14:textId="77777777" w:rsidR="00A673F9" w:rsidRDefault="00A673F9">
      <w:pPr>
        <w:spacing w:after="80"/>
      </w:pPr>
    </w:p>
    <w:p w14:paraId="36727679" w14:textId="77777777" w:rsidR="00A673F9" w:rsidRDefault="00000000">
      <w:pPr>
        <w:pStyle w:val="Heading1"/>
      </w:pPr>
      <w:r>
        <w:t>World Separation Criteria</w:t>
      </w:r>
    </w:p>
    <w:p w14:paraId="6037CB68" w14:textId="77777777" w:rsidR="00A673F9" w:rsidRDefault="00000000">
      <w:pPr>
        <w:spacing w:after="160"/>
      </w:pPr>
      <w:r>
        <w:t>The Construction Framework requires formal engagement with the question: when does this world become another?</w:t>
      </w:r>
    </w:p>
    <w:p w14:paraId="5783519C" w14:textId="77777777" w:rsidR="00A673F9" w:rsidRDefault="00000000">
      <w:pPr>
        <w:pStyle w:val="Heading2"/>
      </w:pPr>
      <w:r>
        <w:t>Criteria Assessed</w:t>
      </w:r>
    </w:p>
    <w:p w14:paraId="63DEBF09" w14:textId="77777777" w:rsidR="00A673F9" w:rsidRDefault="00000000">
      <w:pPr>
        <w:spacing w:after="160"/>
      </w:pPr>
      <w:r>
        <w:rPr>
          <w:b/>
          <w:bCs/>
        </w:rPr>
        <w:t>Has a new gravity emerged?</w:t>
      </w:r>
      <w:r>
        <w:t xml:space="preserve"> The Nicene controversy did not introduce a new organizing gravity so much as intensify and reshape existing ones (particularly scriptural authority and episcopal order). No evidence of a genuinely new ecological organizing force that did not exist in some form before 325 CE. Assessment: no world boundary.</w:t>
      </w:r>
    </w:p>
    <w:p w14:paraId="7353B5A7" w14:textId="77777777" w:rsidR="00A673F9" w:rsidRDefault="00000000">
      <w:pPr>
        <w:spacing w:after="160"/>
      </w:pPr>
      <w:r>
        <w:rPr>
          <w:b/>
          <w:bCs/>
        </w:rPr>
        <w:t>Has a major gravity disappeared?</w:t>
      </w:r>
      <w:r>
        <w:t xml:space="preserve"> No major organizing force appears to have disappeared across the proposed horizon. Scriptural interpretation, spiritual transformation, learning, worship, and authority all persist throughout 150–400 CE, though they develop. Assessment: no world boundary.</w:t>
      </w:r>
    </w:p>
    <w:p w14:paraId="6D6CAB65" w14:textId="77777777" w:rsidR="00A673F9" w:rsidRDefault="00000000">
      <w:pPr>
        <w:spacing w:after="160"/>
      </w:pPr>
      <w:r>
        <w:rPr>
          <w:b/>
          <w:bCs/>
        </w:rPr>
        <w:t>Has formation changed substantially?</w:t>
      </w:r>
      <w:r>
        <w:t xml:space="preserve"> Formation practices deepen and become more institutionally elaborated (particularly with the emergence of monasticism and the formalization of catechumenal preparation) but the underlying formation logic — gradual transformation </w:t>
      </w:r>
      <w:r>
        <w:lastRenderedPageBreak/>
        <w:t>through scripture, worship, community, and teaching — persists. Assessment: no world boundary.</w:t>
      </w:r>
    </w:p>
    <w:p w14:paraId="7CF838E6" w14:textId="77777777" w:rsidR="00A673F9" w:rsidRDefault="00000000">
      <w:pPr>
        <w:spacing w:after="160"/>
      </w:pPr>
      <w:r>
        <w:rPr>
          <w:b/>
          <w:bCs/>
        </w:rPr>
        <w:t>Has authority changed substantially?</w:t>
      </w:r>
      <w:r>
        <w:t xml:space="preserve"> The Arian controversy significantly elevated episcopal authority and made doctrinal boundary-maintenance a central episcopal function. This is a substantial development but not a replacement of the authority structure that preceded it. Assessment: internal development, not world boundary.</w:t>
      </w:r>
    </w:p>
    <w:p w14:paraId="59ABCF75" w14:textId="77777777" w:rsidR="00A673F9" w:rsidRDefault="00000000">
      <w:pPr>
        <w:pStyle w:val="Heading2"/>
      </w:pPr>
      <w:r>
        <w:t>Boundary Determination</w:t>
      </w:r>
    </w:p>
    <w:p w14:paraId="2F4297BE" w14:textId="77777777" w:rsidR="00A673F9" w:rsidRDefault="00000000">
      <w:pPr>
        <w:spacing w:after="160"/>
      </w:pPr>
      <w:r>
        <w:t>This ecology is treated as one world across 150–400 CE. The proposed horizon ends before the Chalcedonian boundary (451 CE), which does represent a genuine world fracture. The internal transition at Nicaea (325 CE) represents a significant development that gravity discovery and ecological reconstruction must account for, but not a boundary requiring separate world treatment.</w:t>
      </w:r>
    </w:p>
    <w:p w14:paraId="28C41E81" w14:textId="77777777" w:rsidR="00A673F9" w:rsidRDefault="00A673F9">
      <w:pPr>
        <w:spacing w:after="80"/>
      </w:pPr>
    </w:p>
    <w:p w14:paraId="06D30379" w14:textId="77777777" w:rsidR="00A673F9" w:rsidRDefault="00000000">
      <w:pPr>
        <w:pStyle w:val="Heading1"/>
      </w:pPr>
      <w:r>
        <w:t>World Continuity &amp; Distinction</w:t>
      </w:r>
    </w:p>
    <w:p w14:paraId="6838ECCE" w14:textId="77777777" w:rsidR="00A673F9" w:rsidRDefault="00000000">
      <w:pPr>
        <w:pStyle w:val="Heading2"/>
      </w:pPr>
      <w:r>
        <w:t>What This World Inherits</w:t>
      </w:r>
    </w:p>
    <w:p w14:paraId="6AE18F59" w14:textId="77777777" w:rsidR="00A673F9" w:rsidRDefault="00000000">
      <w:pPr>
        <w:spacing w:after="160"/>
      </w:pPr>
      <w:r>
        <w:t>Alexandrian Christianity does not emerge from nothing. It inherits:</w:t>
      </w:r>
    </w:p>
    <w:p w14:paraId="6A45347A" w14:textId="77777777" w:rsidR="00A673F9" w:rsidRDefault="00000000">
      <w:pPr>
        <w:spacing w:after="160"/>
      </w:pPr>
      <w:r>
        <w:rPr>
          <w:b/>
          <w:bCs/>
        </w:rPr>
        <w:t>Jewish Alexandrian hermeneutical tradition:</w:t>
      </w:r>
      <w:r>
        <w:t xml:space="preserve"> Philo of Alexandria’s synthesis of Mosaic tradition and Greek philosophy; his allegorical reading method; his Logos theology as divine intermediary; the Septuagint as inspired Scripture. This inheritance is not Christian in origin but is so thoroughly embedded in how Alexandrian Christians read that the world cannot be understood without it. Clement and Origen inherit Philo’s interpretive moves even where they transform them.</w:t>
      </w:r>
    </w:p>
    <w:p w14:paraId="7BFB22EE" w14:textId="77777777" w:rsidR="00A673F9" w:rsidRDefault="00000000">
      <w:pPr>
        <w:spacing w:after="160"/>
      </w:pPr>
      <w:r>
        <w:rPr>
          <w:b/>
          <w:bCs/>
        </w:rPr>
        <w:t>Greek philosophical traditions:</w:t>
      </w:r>
      <w:r>
        <w:t xml:space="preserve"> Platonism (the layered structure of reality, the soul’s ascent), Stoicism (the Logos as rational principle pervading all things, the virtue-knowledge connection), and Pythagorean mathematical and cosmological instincts. These function as intellectual resources and cultural grammar rather than as authorities on a par with Scripture.</w:t>
      </w:r>
    </w:p>
    <w:p w14:paraId="6C77F2E7" w14:textId="77777777" w:rsidR="00A673F9" w:rsidRDefault="00000000">
      <w:pPr>
        <w:spacing w:after="160"/>
      </w:pPr>
      <w:r>
        <w:rPr>
          <w:b/>
          <w:bCs/>
        </w:rPr>
        <w:t>Early apostolic and catechetical tradition:</w:t>
      </w:r>
      <w:r>
        <w:t xml:space="preserve"> The narrative of creation, fall, incarnation, death, and resurrection; the practice of baptism and Eucharist; the authority of recognized teachers; the memory of martyrs. Shared with other early Christian worlds but received and interpreted through distinctively Alexandrian lenses.</w:t>
      </w:r>
    </w:p>
    <w:p w14:paraId="50AE7E3B" w14:textId="77777777" w:rsidR="00A673F9" w:rsidRDefault="00000000">
      <w:pPr>
        <w:spacing w:after="160"/>
      </w:pPr>
      <w:r>
        <w:rPr>
          <w:b/>
          <w:bCs/>
        </w:rPr>
        <w:t>Egyptian religious environment:</w:t>
      </w:r>
      <w:r>
        <w:t xml:space="preserve"> Indigenous Egyptian concern with the human-divine relationship, with death and transformation, with sacred text and priestly interpretation. This influence operates primarily at the level of cultural atmosphere and formation assumptions rather than through direct textual dependence.</w:t>
      </w:r>
    </w:p>
    <w:p w14:paraId="512D7014" w14:textId="77777777" w:rsidR="00A673F9" w:rsidRDefault="00000000">
      <w:pPr>
        <w:pStyle w:val="Heading2"/>
      </w:pPr>
      <w:r>
        <w:t>What This World Transmits</w:t>
      </w:r>
    </w:p>
    <w:p w14:paraId="57319684" w14:textId="77777777" w:rsidR="00A673F9" w:rsidRDefault="00000000">
      <w:pPr>
        <w:spacing w:after="160"/>
      </w:pPr>
      <w:r>
        <w:rPr>
          <w:b/>
          <w:bCs/>
        </w:rPr>
        <w:t>Christological vocabulary:</w:t>
      </w:r>
      <w:r>
        <w:t xml:space="preserve"> The Logos theology and Nicene Christological settlement that shapes Eastern and Western Christian theology globally.</w:t>
      </w:r>
    </w:p>
    <w:p w14:paraId="24682B55" w14:textId="77777777" w:rsidR="00A673F9" w:rsidRDefault="00000000">
      <w:pPr>
        <w:spacing w:after="160"/>
      </w:pPr>
      <w:r>
        <w:rPr>
          <w:b/>
          <w:bCs/>
        </w:rPr>
        <w:t>Hermeneutical method:</w:t>
      </w:r>
      <w:r>
        <w:t xml:space="preserve"> Allegorical and spiritual reading of Scripture that becomes the dominant mode of Christian biblical interpretation in both East and West, transmitted through Origen’s commentaries and the Cappadocian synthesis.</w:t>
      </w:r>
    </w:p>
    <w:p w14:paraId="4B532C80" w14:textId="77777777" w:rsidR="00A673F9" w:rsidRDefault="00000000">
      <w:pPr>
        <w:spacing w:after="160"/>
      </w:pPr>
      <w:r>
        <w:rPr>
          <w:b/>
          <w:bCs/>
        </w:rPr>
        <w:lastRenderedPageBreak/>
        <w:t>The catechetical school model:</w:t>
      </w:r>
      <w:r>
        <w:t xml:space="preserve"> An integrated learning-formation approach that influences Christian intellectual formation across subsequent centuries.</w:t>
      </w:r>
    </w:p>
    <w:p w14:paraId="50DF156C" w14:textId="77777777" w:rsidR="00A673F9" w:rsidRDefault="00000000">
      <w:pPr>
        <w:spacing w:after="160"/>
      </w:pPr>
      <w:r>
        <w:rPr>
          <w:b/>
          <w:bCs/>
        </w:rPr>
        <w:t>Desert spirituality:</w:t>
      </w:r>
      <w:r>
        <w:t xml:space="preserve"> Through Antony, Pachomius, and Evagrius Ponticus, the Egyptian desert tradition transmits a formation ecology of prayer, silence, and ascetic discipline that shapes global Christian monasticism.</w:t>
      </w:r>
    </w:p>
    <w:p w14:paraId="1945B1CB" w14:textId="77777777" w:rsidR="00A673F9" w:rsidRDefault="00000000">
      <w:pPr>
        <w:spacing w:after="160"/>
      </w:pPr>
      <w:r>
        <w:rPr>
          <w:b/>
          <w:bCs/>
        </w:rPr>
        <w:t>The Coptic Orthodox Church:</w:t>
      </w:r>
      <w:r>
        <w:t xml:space="preserve"> The living institutional heir to this world, carrying liturgical practices, theological commitments, and formation traditions from this period into the present.</w:t>
      </w:r>
    </w:p>
    <w:p w14:paraId="21C27F41" w14:textId="77777777" w:rsidR="00A673F9" w:rsidRDefault="00000000">
      <w:pPr>
        <w:pStyle w:val="Heading2"/>
      </w:pPr>
      <w:r>
        <w:t>Where Continuity Masks Genuine Ecological Change</w:t>
      </w:r>
    </w:p>
    <w:p w14:paraId="3D98B788" w14:textId="77777777" w:rsidR="00A673F9" w:rsidRDefault="00000000">
      <w:pPr>
        <w:spacing w:after="160"/>
      </w:pPr>
      <w:r>
        <w:t>The vocabulary — Logos, theosis, participation, gnosis — remains remarkably consistent across the 150–400 CE period, which can obscure substantial shifts in how these terms function. Origen’s Logos theology and Athanasius’s Logos theology are both recognizably Alexandrian but are doing different theological work under different pressures. The ecological reconstruction (Phase 4) must attend to this kind of vocabulary-stability-masking-conceptual-change rather than treating terminological continuity as evidence of static formation.</w:t>
      </w:r>
    </w:p>
    <w:p w14:paraId="26C5AADC" w14:textId="77777777" w:rsidR="00A673F9" w:rsidRDefault="00000000">
      <w:pPr>
        <w:pStyle w:val="Heading2"/>
      </w:pPr>
      <w:r>
        <w:t>Note on Storied Versus Documented Continuity</w:t>
      </w:r>
    </w:p>
    <w:p w14:paraId="08387438" w14:textId="77777777" w:rsidR="00A673F9" w:rsidRDefault="00000000">
      <w:pPr>
        <w:spacing w:after="160"/>
      </w:pPr>
      <w:r>
        <w:t>Not everything this world inherits and transmits rests on documented theological continuity. Some of what passes from Alexandrian Christianity to its successors travels as story rather than as treatise — the desert tradition’s memory of Antony, the Coptic martyrology’s memory of persecution, the Apophthegmata’s memory of the early abbas. Per Construction Framework v1.6’s Story and Narrative Sources Assessment, this storied continuity is real evidence of what the tradition carried forward and valued, classified and evaluated at the appropriate tier (see Document 02, Story &amp; Narrative Sources, and the Alexandria Story Inventory) rather than treated as equivalent to documented historical claim. The continuity is genuine; its evidential weight varies by what kind of source carries it.</w:t>
      </w:r>
    </w:p>
    <w:p w14:paraId="78CF47F4" w14:textId="77777777" w:rsidR="00A673F9" w:rsidRDefault="00A673F9">
      <w:pPr>
        <w:spacing w:after="80"/>
      </w:pPr>
    </w:p>
    <w:p w14:paraId="43086403" w14:textId="77777777" w:rsidR="00A673F9" w:rsidRDefault="00000000">
      <w:pPr>
        <w:pStyle w:val="Heading1"/>
      </w:pPr>
      <w:r>
        <w:t>Living Tradition Status</w:t>
      </w:r>
    </w:p>
    <w:p w14:paraId="33F1910C" w14:textId="77777777" w:rsidR="00A673F9" w:rsidRDefault="00000000">
      <w:pPr>
        <w:spacing w:after="160"/>
      </w:pPr>
      <w:r>
        <w:t>This world corresponds to a tradition with present-day adherents. Constitution Article 21 (Scholarly Integrity &amp; Representational Accountability Principle) applies: the representative voice constructed from this world must maintain a clear distinction between historical reconstruction (what the Alexandrian formation world was and believed during 150–400 CE) and any living tradition’s present-day self-understanding.</w:t>
      </w:r>
    </w:p>
    <w:p w14:paraId="5556378D" w14:textId="77777777" w:rsidR="00A673F9" w:rsidRDefault="00000000">
      <w:pPr>
        <w:pStyle w:val="Heading2"/>
      </w:pPr>
      <w:r>
        <w:t>Primary Living Heir</w:t>
      </w:r>
    </w:p>
    <w:p w14:paraId="679DECEB" w14:textId="77777777" w:rsidR="00A673F9" w:rsidRDefault="00000000">
      <w:pPr>
        <w:spacing w:after="160"/>
      </w:pPr>
      <w:r>
        <w:t>The Coptic Orthodox Church is the direct institutional and liturgical inheritor of Alexandrian Christianity, with continuous communal existence from this period to the present (approximately 10–15 million members globally). The Coptic Church carries liturgical practices, theological commitments, and formation traditions from this period, though its contemporary self-understanding is its own and cannot be read off from historical reconstruction.</w:t>
      </w:r>
    </w:p>
    <w:p w14:paraId="3096E543" w14:textId="77777777" w:rsidR="00A673F9" w:rsidRDefault="00000000">
      <w:pPr>
        <w:pStyle w:val="Heading2"/>
      </w:pPr>
      <w:r>
        <w:t>Secondary Inheritors</w:t>
      </w:r>
    </w:p>
    <w:p w14:paraId="27E618C7" w14:textId="77777777" w:rsidR="00A673F9" w:rsidRDefault="00000000">
      <w:pPr>
        <w:pStyle w:val="ListParagraph"/>
        <w:numPr>
          <w:ilvl w:val="0"/>
          <w:numId w:val="2"/>
        </w:numPr>
        <w:spacing w:after="60"/>
      </w:pPr>
      <w:r>
        <w:t>Eastern Orthodox tradition — received Alexandrian theology primarily through the Cappadocian synthesis and the Nicene settlement</w:t>
      </w:r>
    </w:p>
    <w:p w14:paraId="4151512D" w14:textId="77777777" w:rsidR="00A673F9" w:rsidRDefault="00000000">
      <w:pPr>
        <w:pStyle w:val="ListParagraph"/>
        <w:numPr>
          <w:ilvl w:val="0"/>
          <w:numId w:val="2"/>
        </w:numPr>
        <w:spacing w:after="60"/>
      </w:pPr>
      <w:r>
        <w:lastRenderedPageBreak/>
        <w:t>Catholic tradition — received through Jerome, Ambrose, Augustine’s Platonist formation, and later Origen reception</w:t>
      </w:r>
    </w:p>
    <w:p w14:paraId="67A3FEBE" w14:textId="77777777" w:rsidR="00A673F9" w:rsidRDefault="00000000">
      <w:pPr>
        <w:pStyle w:val="ListParagraph"/>
        <w:numPr>
          <w:ilvl w:val="0"/>
          <w:numId w:val="2"/>
        </w:numPr>
        <w:spacing w:after="60"/>
      </w:pPr>
      <w:r>
        <w:t>Various Protestant traditions influenced by Alexandrian hermeneutics, often mediated through the Western tradition</w:t>
      </w:r>
    </w:p>
    <w:p w14:paraId="19709F3C" w14:textId="77777777" w:rsidR="00A673F9" w:rsidRDefault="00000000">
      <w:pPr>
        <w:pStyle w:val="Heading2"/>
      </w:pPr>
      <w:r>
        <w:t>Contested Figures</w:t>
      </w:r>
    </w:p>
    <w:p w14:paraId="10997CF8" w14:textId="77777777" w:rsidR="00A673F9" w:rsidRDefault="00000000">
      <w:pPr>
        <w:spacing w:after="160"/>
      </w:pPr>
      <w:r>
        <w:t>Origen of Alexandria presents the world’s most significant Living Tradition complication. His influence on this world is immense — arguably no individual more profoundly shaped how Alexandrian Christianity thought, read, and prayed. But specific teachings associated with his work (pre-existence of souls, certain apokatastasis formulations, aspects of subordinationist Christology) were condemned at the Fifth Ecumenical Council (553 CE), centuries after his death. His standing is genuinely complex across all living heir traditions:</w:t>
      </w:r>
    </w:p>
    <w:p w14:paraId="6B5BE419" w14:textId="77777777" w:rsidR="00A673F9" w:rsidRDefault="00000000">
      <w:pPr>
        <w:pStyle w:val="ListParagraph"/>
        <w:numPr>
          <w:ilvl w:val="0"/>
          <w:numId w:val="2"/>
        </w:numPr>
        <w:spacing w:after="60"/>
      </w:pPr>
      <w:r>
        <w:t>Coptic Orthodox: receives him as a formative intellectual ancestor while holding the conciliar condemnation</w:t>
      </w:r>
    </w:p>
    <w:p w14:paraId="3F4A8127" w14:textId="77777777" w:rsidR="00A673F9" w:rsidRDefault="00000000">
      <w:pPr>
        <w:pStyle w:val="ListParagraph"/>
        <w:numPr>
          <w:ilvl w:val="0"/>
          <w:numId w:val="2"/>
        </w:numPr>
        <w:spacing w:after="60"/>
      </w:pPr>
      <w:r>
        <w:t>Eastern Orthodox: similarly complex — the tradition reads him, inherits him, and holds his condemnation simultaneously</w:t>
      </w:r>
    </w:p>
    <w:p w14:paraId="28498891" w14:textId="77777777" w:rsidR="00A673F9" w:rsidRDefault="00000000">
      <w:pPr>
        <w:pStyle w:val="ListParagraph"/>
        <w:numPr>
          <w:ilvl w:val="0"/>
          <w:numId w:val="2"/>
        </w:numPr>
        <w:spacing w:after="60"/>
      </w:pPr>
      <w:r>
        <w:t>Catholic: has recently nuanced its evaluation; significant contemporary theological engagement with Origen</w:t>
      </w:r>
    </w:p>
    <w:p w14:paraId="2808DC86" w14:textId="77777777" w:rsidR="00A673F9" w:rsidRDefault="00000000">
      <w:pPr>
        <w:spacing w:after="160"/>
      </w:pPr>
      <w:r>
        <w:t>Representative voice construction must carry this tension honestly. The representative’s temporal position (post-Nicaea, pre-Chalcedon, pre-condemnation) means Origen’s controversial status is not yet settled within his world — he is inheritance and ache simultaneously. See Representative Construction Notes.</w:t>
      </w:r>
    </w:p>
    <w:p w14:paraId="7700BCD8" w14:textId="77777777" w:rsidR="00A673F9" w:rsidRDefault="00000000">
      <w:pPr>
        <w:pStyle w:val="Heading2"/>
      </w:pPr>
      <w:r>
        <w:t>Differentiation Discipline</w:t>
      </w:r>
    </w:p>
    <w:p w14:paraId="7259A533" w14:textId="77777777" w:rsidR="00A673F9" w:rsidRDefault="00000000">
      <w:pPr>
        <w:spacing w:after="160"/>
      </w:pPr>
      <w:r>
        <w:t>The world documents (particularly Sections 10, 12, and 13) contain the substantive Living Tradition Differentiation work: honest engagement with Origen’s condemnation and its wound, the Chalcedonian schism’s permanent fracture, Cyril’s violence, and the Coptic community’s claim to primary inheritance. This material ensures the representative voice carries the tradition’s own honest self-awareness rather than a smoothed reconstruction.</w:t>
      </w:r>
    </w:p>
    <w:p w14:paraId="742383BE" w14:textId="77777777" w:rsidR="00A673F9" w:rsidRDefault="00000000">
      <w:pPr>
        <w:spacing w:after="160"/>
      </w:pPr>
      <w:r>
        <w:t>A further note on hagiographic tradition: much of the living tradition’s self-understanding is carried not through doctrinal statement but through story — the Coptic Church’s martyrology, the desert tradition’s memory of its founding figures, the Apophthegmata’s sayings. This material shapes how the living tradition understands itself today as much as any conciliar decree does. It is classified and evaluated per the four-tier Story and Narrative Sources framework (Construction Framework v1.6) in Document 02 and the Alexandria Story Inventory, rather than treated as settled historical fact. The living tradition’s self-understanding and the historical reconstruction’s tier-classified evidence are not the same thing, even where they draw on the same stories.</w:t>
      </w:r>
    </w:p>
    <w:p w14:paraId="118217B9" w14:textId="77777777" w:rsidR="00A673F9" w:rsidRDefault="00A673F9">
      <w:pPr>
        <w:spacing w:after="80"/>
      </w:pPr>
    </w:p>
    <w:p w14:paraId="46D4C5E2" w14:textId="77777777" w:rsidR="00A673F9" w:rsidRDefault="00000000">
      <w:pPr>
        <w:pStyle w:val="Heading1"/>
      </w:pPr>
      <w:r>
        <w:t>Mission Alignment Note</w:t>
      </w:r>
    </w:p>
    <w:p w14:paraId="6BB85959" w14:textId="77777777" w:rsidR="00A673F9" w:rsidRDefault="00000000">
      <w:pPr>
        <w:spacing w:after="160"/>
      </w:pPr>
      <w:r>
        <w:t>The project’s mission is to help people experience Jesus in new ways through engagement with the living traditions and practices of His Church throughout history and today.</w:t>
      </w:r>
    </w:p>
    <w:p w14:paraId="1A489AE7" w14:textId="77777777" w:rsidR="00A673F9" w:rsidRDefault="00000000">
      <w:pPr>
        <w:spacing w:after="160"/>
      </w:pPr>
      <w:r>
        <w:t xml:space="preserve">This world serves that mission through the distinctive Alexandrian formation path. The ecology’s organizing relationship to the Logos — understood as the eternal Word through whom God </w:t>
      </w:r>
      <w:r>
        <w:lastRenderedPageBreak/>
        <w:t>creates, teaches, and restores humanity, who became incarnate in Jesus Christ — makes this world a site of genuine christological encounter rather than merely historical information. Participants who engage Theon encounter a world where Christ is not a topic to be discussed but the living reality within which all discussion takes place: the one who speaks through Scripture, who draws the soul through formation, who is met in worship, who is the goal of every act of interpretation.</w:t>
      </w:r>
    </w:p>
    <w:p w14:paraId="6E6B5539" w14:textId="77777777" w:rsidR="00A673F9" w:rsidRDefault="00000000">
      <w:pPr>
        <w:spacing w:after="160"/>
      </w:pPr>
      <w:r>
        <w:t>The Alexandrian path offers a distinctively transformational mode of encounter with Jesus — one in which knowing Christ and being changed by that knowing are inseparable, and in which the tradition’s inexhaustible depth mirrors the inexhaustibility of the one it mediates.</w:t>
      </w:r>
    </w:p>
    <w:p w14:paraId="26B16C96" w14:textId="77777777" w:rsidR="00A673F9" w:rsidRDefault="00A673F9">
      <w:pPr>
        <w:spacing w:after="80"/>
      </w:pPr>
    </w:p>
    <w:p w14:paraId="7F9F7A26" w14:textId="77777777" w:rsidR="00A673F9" w:rsidRDefault="00000000">
      <w:pPr>
        <w:pStyle w:val="Heading1"/>
      </w:pPr>
      <w:r>
        <w:t>Phase Boundary</w:t>
      </w:r>
    </w:p>
    <w:p w14:paraId="241E04D5" w14:textId="77777777" w:rsidR="00A673F9" w:rsidRDefault="00000000">
      <w:pPr>
        <w:spacing w:after="160"/>
      </w:pPr>
      <w:r>
        <w:t>World Identification is considered substantially complete. The determinations above — temporal scope, geographic scope, world separation criteria, distinct world test, living tradition status — provide the foundational boundaries within which all subsequent work proceeds.</w:t>
      </w:r>
    </w:p>
    <w:p w14:paraId="2EAC3121" w14:textId="77777777" w:rsidR="00A673F9" w:rsidRDefault="00000000">
      <w:pPr>
        <w:spacing w:after="160"/>
      </w:pPr>
      <w:r>
        <w:t>These determinations remain provisional in the sense that gravity discovery (Phase 3) could reveal ecological discontinuities requiring reassessment. If Phase 3 identifies a major gravity that appears only after 325 CE and has no precursor in the earlier period, the temporal scope determination would require revisiting. If Phase 3 reveals monastic formation generating distinct gravities rather than intensifying existing ones, the monastic boundary determination would require revisiting.</w:t>
      </w:r>
    </w:p>
    <w:p w14:paraId="1EE578FC" w14:textId="77777777" w:rsidR="00A673F9" w:rsidRDefault="00000000">
      <w:pPr>
        <w:spacing w:after="160"/>
      </w:pPr>
      <w:r>
        <w:t>The next step is Document 2: Source Ecology &amp; Evidence Assessment, which maps the surviving evidence through which this world becomes visible.</w:t>
      </w:r>
    </w:p>
    <w:sectPr w:rsidR="00A673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C06CD"/>
    <w:multiLevelType w:val="hybridMultilevel"/>
    <w:tmpl w:val="2B5E2548"/>
    <w:lvl w:ilvl="0" w:tplc="9370A14C">
      <w:start w:val="1"/>
      <w:numFmt w:val="bullet"/>
      <w:lvlText w:val="•"/>
      <w:lvlJc w:val="left"/>
      <w:pPr>
        <w:ind w:left="720" w:hanging="360"/>
      </w:pPr>
    </w:lvl>
    <w:lvl w:ilvl="1" w:tplc="53AC5A10">
      <w:numFmt w:val="decimal"/>
      <w:lvlText w:val=""/>
      <w:lvlJc w:val="left"/>
    </w:lvl>
    <w:lvl w:ilvl="2" w:tplc="967A3534">
      <w:numFmt w:val="decimal"/>
      <w:lvlText w:val=""/>
      <w:lvlJc w:val="left"/>
    </w:lvl>
    <w:lvl w:ilvl="3" w:tplc="6B7E4526">
      <w:numFmt w:val="decimal"/>
      <w:lvlText w:val=""/>
      <w:lvlJc w:val="left"/>
    </w:lvl>
    <w:lvl w:ilvl="4" w:tplc="14E633B6">
      <w:numFmt w:val="decimal"/>
      <w:lvlText w:val=""/>
      <w:lvlJc w:val="left"/>
    </w:lvl>
    <w:lvl w:ilvl="5" w:tplc="33FCAEB4">
      <w:numFmt w:val="decimal"/>
      <w:lvlText w:val=""/>
      <w:lvlJc w:val="left"/>
    </w:lvl>
    <w:lvl w:ilvl="6" w:tplc="D1F677C8">
      <w:numFmt w:val="decimal"/>
      <w:lvlText w:val=""/>
      <w:lvlJc w:val="left"/>
    </w:lvl>
    <w:lvl w:ilvl="7" w:tplc="D9BEFC6C">
      <w:numFmt w:val="decimal"/>
      <w:lvlText w:val=""/>
      <w:lvlJc w:val="left"/>
    </w:lvl>
    <w:lvl w:ilvl="8" w:tplc="63A063F2">
      <w:numFmt w:val="decimal"/>
      <w:lvlText w:val=""/>
      <w:lvlJc w:val="left"/>
    </w:lvl>
  </w:abstractNum>
  <w:abstractNum w:abstractNumId="1" w15:restartNumberingAfterBreak="0">
    <w:nsid w:val="690E0920"/>
    <w:multiLevelType w:val="hybridMultilevel"/>
    <w:tmpl w:val="18E21824"/>
    <w:lvl w:ilvl="0" w:tplc="A21EC1D4">
      <w:start w:val="1"/>
      <w:numFmt w:val="bullet"/>
      <w:lvlText w:val="●"/>
      <w:lvlJc w:val="left"/>
      <w:pPr>
        <w:ind w:left="720" w:hanging="360"/>
      </w:pPr>
    </w:lvl>
    <w:lvl w:ilvl="1" w:tplc="6F66FE2C">
      <w:start w:val="1"/>
      <w:numFmt w:val="bullet"/>
      <w:lvlText w:val="○"/>
      <w:lvlJc w:val="left"/>
      <w:pPr>
        <w:ind w:left="1440" w:hanging="360"/>
      </w:pPr>
    </w:lvl>
    <w:lvl w:ilvl="2" w:tplc="94CE48E8">
      <w:start w:val="1"/>
      <w:numFmt w:val="bullet"/>
      <w:lvlText w:val="■"/>
      <w:lvlJc w:val="left"/>
      <w:pPr>
        <w:ind w:left="2160" w:hanging="360"/>
      </w:pPr>
    </w:lvl>
    <w:lvl w:ilvl="3" w:tplc="800838E4">
      <w:start w:val="1"/>
      <w:numFmt w:val="bullet"/>
      <w:lvlText w:val="●"/>
      <w:lvlJc w:val="left"/>
      <w:pPr>
        <w:ind w:left="2880" w:hanging="360"/>
      </w:pPr>
    </w:lvl>
    <w:lvl w:ilvl="4" w:tplc="DA4A09DC">
      <w:start w:val="1"/>
      <w:numFmt w:val="bullet"/>
      <w:lvlText w:val="○"/>
      <w:lvlJc w:val="left"/>
      <w:pPr>
        <w:ind w:left="3600" w:hanging="360"/>
      </w:pPr>
    </w:lvl>
    <w:lvl w:ilvl="5" w:tplc="8EEEABB0">
      <w:start w:val="1"/>
      <w:numFmt w:val="bullet"/>
      <w:lvlText w:val="■"/>
      <w:lvlJc w:val="left"/>
      <w:pPr>
        <w:ind w:left="4320" w:hanging="360"/>
      </w:pPr>
    </w:lvl>
    <w:lvl w:ilvl="6" w:tplc="34924F96">
      <w:start w:val="1"/>
      <w:numFmt w:val="bullet"/>
      <w:lvlText w:val="●"/>
      <w:lvlJc w:val="left"/>
      <w:pPr>
        <w:ind w:left="5040" w:hanging="360"/>
      </w:pPr>
    </w:lvl>
    <w:lvl w:ilvl="7" w:tplc="A22A987E">
      <w:start w:val="1"/>
      <w:numFmt w:val="bullet"/>
      <w:lvlText w:val="●"/>
      <w:lvlJc w:val="left"/>
      <w:pPr>
        <w:ind w:left="5760" w:hanging="360"/>
      </w:pPr>
    </w:lvl>
    <w:lvl w:ilvl="8" w:tplc="88BACDE0">
      <w:start w:val="1"/>
      <w:numFmt w:val="bullet"/>
      <w:lvlText w:val="●"/>
      <w:lvlJc w:val="left"/>
      <w:pPr>
        <w:ind w:left="6480" w:hanging="360"/>
      </w:pPr>
    </w:lvl>
  </w:abstractNum>
  <w:num w:numId="1" w16cid:durableId="783884835">
    <w:abstractNumId w:val="1"/>
    <w:lvlOverride w:ilvl="0">
      <w:startOverride w:val="1"/>
    </w:lvlOverride>
  </w:num>
  <w:num w:numId="2" w16cid:durableId="1918052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3F9"/>
    <w:rsid w:val="00506E86"/>
    <w:rsid w:val="00A673F9"/>
    <w:rsid w:val="00E72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D3F5"/>
  <w15:docId w15:val="{49639416-E311-423D-8EC2-EB598842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2991</Words>
  <Characters>17049</Characters>
  <Application>Microsoft Office Word</Application>
  <DocSecurity>0</DocSecurity>
  <Lines>142</Lines>
  <Paragraphs>39</Paragraphs>
  <ScaleCrop>false</ScaleCrop>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2026-06-19T02:54:00Z</dcterms:created>
  <dcterms:modified xsi:type="dcterms:W3CDTF">2026-06-19T02:54:00Z</dcterms:modified>
</cp:coreProperties>
</file>