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rPr>
          <w:rFonts w:ascii="Calibri" w:cs="Calibri" w:eastAsia="Calibri" w:hAnsi="Calibri"/>
          <w:sz w:val="21"/>
          <w:szCs w:val="21"/>
        </w:rPr>
        <w:t xml:space="preserve"/>
      </w:r>
    </w:p>
    <w:p>
      <w:pPr>
        <w:spacing w:after="120"/>
        <w:jc w:val="center"/>
      </w:pPr>
      <w:r>
        <w:rPr>
          <w:rFonts w:ascii="Calibri" w:cs="Calibri" w:eastAsia="Calibri" w:hAnsi="Calibri"/>
          <w:b/>
          <w:bCs/>
          <w:color w:val="1F4E5F"/>
          <w:sz w:val="56"/>
          <w:szCs w:val="56"/>
        </w:rPr>
        <w:t xml:space="preserve">Church in Conversation</w:t>
      </w:r>
    </w:p>
    <w:p>
      <w:pPr>
        <w:spacing w:after="400"/>
        <w:jc w:val="center"/>
      </w:pPr>
      <w:r>
        <w:rPr>
          <w:rFonts w:ascii="Calibri" w:cs="Calibri" w:eastAsia="Calibri" w:hAnsi="Calibri"/>
          <w:i/>
          <w:iCs/>
          <w:color w:val="444444"/>
          <w:sz w:val="28"/>
          <w:szCs w:val="28"/>
        </w:rPr>
        <w:t xml:space="preserve">Sit at the Table with the church across twenty centuries</w:t>
      </w:r>
    </w:p>
    <w:p>
      <w:pPr>
        <w:spacing w:after="120"/>
        <w:jc w:val="center"/>
      </w:pPr>
      <w:r>
        <w:rPr>
          <w:rFonts w:ascii="Calibri" w:cs="Calibri" w:eastAsia="Calibri" w:hAnsi="Calibri"/>
          <w:b/>
          <w:bCs/>
          <w:sz w:val="30"/>
          <w:szCs w:val="30"/>
        </w:rPr>
        <w:t xml:space="preserve">Ministry &amp; Funding Proposal</w:t>
      </w:r>
    </w:p>
    <w:p>
      <w:pPr>
        <w:spacing w:after="800"/>
        <w:jc w:val="center"/>
      </w:pPr>
      <w:r>
        <w:rPr>
          <w:rFonts w:ascii="Calibri" w:cs="Calibri" w:eastAsia="Calibri" w:hAnsi="Calibri"/>
          <w:color w:val="555555"/>
          <w:sz w:val="22"/>
          <w:szCs w:val="22"/>
        </w:rPr>
        <w:t xml:space="preserve">From working prototype to public ministry — the plan, the numbers, and two ways to fund it</w:t>
      </w:r>
    </w:p>
    <w:p>
      <w:pPr>
        <w:spacing w:after="60"/>
        <w:jc w:val="center"/>
      </w:pPr>
      <w:r>
        <w:rPr>
          <w:rFonts w:ascii="Calibri" w:cs="Calibri" w:eastAsia="Calibri" w:hAnsi="Calibri"/>
          <w:sz w:val="22"/>
          <w:szCs w:val="22"/>
        </w:rPr>
        <w:t xml:space="preserve">Mark Chadwick, Founder</w:t>
      </w:r>
    </w:p>
    <w:p>
      <w:pPr>
        <w:spacing w:after="60"/>
        <w:jc w:val="center"/>
      </w:pPr>
      <w:r>
        <w:rPr>
          <w:rFonts w:ascii="Calibri" w:cs="Calibri" w:eastAsia="Calibri" w:hAnsi="Calibri"/>
          <w:color w:val="555555"/>
          <w:sz w:val="20"/>
          <w:szCs w:val="20"/>
        </w:rPr>
        <w:t xml:space="preserve">markchadwick25@gmail.com  ·  828-386-5518</w:t>
      </w:r>
    </w:p>
    <w:p>
      <w:pPr>
        <w:spacing w:after="400"/>
        <w:jc w:val="center"/>
      </w:pPr>
      <w:r>
        <w:rPr>
          <w:rFonts w:ascii="Calibri" w:cs="Calibri" w:eastAsia="Calibri" w:hAnsi="Calibri"/>
          <w:i/>
          <w:iCs/>
          <w:color w:val="999999"/>
          <w:sz w:val="18"/>
          <w:szCs w:val="18"/>
        </w:rPr>
        <w:t xml:space="preserve">July 2026 · DRAFT V0.1 — shared for private review, not for distribution</w:t>
      </w:r>
    </w:p>
    <w:p>
      <w:r>
        <w:br w:type="page"/>
      </w:r>
    </w:p>
    <w:p>
      <w:pPr>
        <w:pBdr>
          <w:bottom w:val="single" w:color="1F4E5F" w:sz="6" w:space="4"/>
        </w:pBdr>
        <w:spacing w:after="80" w:before="60"/>
      </w:pPr>
      <w:r>
        <w:rPr>
          <w:rFonts w:ascii="Calibri" w:cs="Calibri" w:eastAsia="Calibri" w:hAnsi="Calibri"/>
          <w:b/>
          <w:bCs/>
          <w:caps/>
          <w:color w:val="1F4E5F"/>
          <w:sz w:val="24"/>
          <w:szCs w:val="24"/>
        </w:rPr>
        <w:t xml:space="preserve">Executive Summary</w:t>
      </w:r>
    </w:p>
    <w:p>
      <w:pPr>
        <w:spacing w:after="100"/>
      </w:pPr>
      <w:r>
        <w:rPr>
          <w:rFonts w:ascii="Calibri" w:cs="Calibri" w:eastAsia="Calibri" w:hAnsi="Calibri"/>
          <w:sz w:val="21"/>
          <w:szCs w:val="21"/>
        </w:rPr>
        <w:t xml:space="preserve">Church in Conversation (CiC) lets a person sit down and talk — really talk — with the historic church. Not with a chatbot wearing a costume, but with a </w:t>
      </w:r>
      <w:r>
        <w:rPr>
          <w:rFonts w:ascii="Calibri" w:cs="Calibri" w:eastAsia="Calibri" w:hAnsi="Calibri"/>
          <w:i/>
          <w:iCs/>
          <w:sz w:val="21"/>
          <w:szCs w:val="21"/>
        </w:rPr>
        <w:t xml:space="preserve">Representative</w:t>
      </w:r>
      <w:r>
        <w:rPr>
          <w:rFonts w:ascii="Calibri" w:cs="Calibri" w:eastAsia="Calibri" w:hAnsi="Calibri"/>
          <w:sz w:val="21"/>
          <w:szCs w:val="21"/>
        </w:rPr>
        <w:t xml:space="preserve">: a voice built entirely from the documented life of a specific Christian movement — its letters, sermons, disputes, and unresolved questions — governed by a written constitution that forbids it from smoothing over tensions, modernizing itself, or telling you what to think.</w:t>
      </w:r>
    </w:p>
    <w:p>
      <w:pPr>
        <w:spacing w:after="100"/>
      </w:pPr>
      <w:r>
        <w:rPr>
          <w:rFonts w:ascii="Calibri" w:cs="Calibri" w:eastAsia="Calibri" w:hAnsi="Calibri"/>
          <w:b/>
          <w:bCs/>
          <w:sz w:val="21"/>
          <w:szCs w:val="21"/>
        </w:rPr>
        <w:t xml:space="preserve">Where we are. </w:t>
      </w:r>
      <w:r>
        <w:rPr>
          <w:rFonts w:ascii="Calibri" w:cs="Calibri" w:eastAsia="Calibri" w:hAnsi="Calibri"/>
          <w:sz w:val="21"/>
          <w:szCs w:val="21"/>
        </w:rPr>
        <w:t xml:space="preserve">Five worlds are live and conversing well in a working prototype on Amazon Bedrock: a first-century house church (Chloe), the Alexandria Catechetical School (Theon), the Syriac church of Edessa-Nisibis (Mar Yausep), the Desert Fathers and Mothers (Papnoute), and the Bethlehem scholarly circle (Albina). Four more worlds are in the documented construction pipeline. Internal proof-testing shows solid, focused conversation threads and a working three-tier accountability apparatus (hover and click on any highlighted term for glossary, stories, quotes, and sourcing). A structured ten-person tester pilot — with pre/post surveys, scripted and free conversations, and a word-of-mouth test — launches now at a cost of roughly $65–100, entirely self-funded.</w:t>
      </w:r>
    </w:p>
    <w:p>
      <w:pPr>
        <w:spacing w:after="100"/>
      </w:pPr>
      <w:r>
        <w:rPr>
          <w:rFonts w:ascii="Calibri" w:cs="Calibri" w:eastAsia="Calibri" w:hAnsi="Calibri"/>
          <w:b/>
          <w:bCs/>
          <w:sz w:val="21"/>
          <w:szCs w:val="21"/>
        </w:rPr>
        <w:t xml:space="preserve">What we're asking. </w:t>
      </w:r>
      <w:r>
        <w:rPr>
          <w:rFonts w:ascii="Calibri" w:cs="Calibri" w:eastAsia="Calibri" w:hAnsi="Calibri"/>
          <w:sz w:val="21"/>
          <w:szCs w:val="21"/>
        </w:rPr>
        <w:t xml:space="preserve">The founder has personally funded all AI and infrastructure costs to date (~$750). The project now needs a funded path through the next two gates: an expanded Prototype 2 test (~$3,500–11,000 depending on scale and academic review depth) and Phase 1 public launch (Year 1: ~$19,000 lean to ~$54,000 at planning scale). This packet presents grounded numbers, three growth scenarios, and two funding models — a pure-ministry donor track and a free-entry/paid-depth track — either of which sustains the same commitment: no seeker is ever charged for transparency.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4E5F"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Stage</w:t>
            </w:r>
          </w:p>
        </w:tc>
        <w:tc>
          <w:tcPr>
            <w:tcW w:type="dxa" w:w="2340"/>
            <w:shd w:fill="1F4E5F"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What it proves</w:t>
            </w:r>
          </w:p>
        </w:tc>
        <w:tc>
          <w:tcPr>
            <w:tcW w:type="dxa" w:w="2340"/>
            <w:shd w:fill="1F4E5F"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Scale</w:t>
            </w:r>
          </w:p>
        </w:tc>
        <w:tc>
          <w:tcPr>
            <w:tcW w:type="dxa" w:w="2340"/>
            <w:shd w:fill="1F4E5F"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Cash need</w:t>
            </w:r>
          </w:p>
        </w:tc>
      </w:tr>
      <w:tr>
        <w:tc>
          <w:tcPr>
            <w:tcW w:type="dxa" w:w="2340"/>
            <w:shd w:fill="F2F6F7" w:val="clear"/>
            <w:tcMar>
              <w:top w:type="dxa" w:w="50"/>
              <w:left w:type="dxa" w:w="90"/>
              <w:bottom w:type="dxa" w:w="50"/>
              <w:right w:type="dxa" w:w="90"/>
            </w:tcMar>
          </w:tcPr>
          <w:p>
            <w:pPr>
              <w:spacing w:after="0"/>
            </w:pPr>
            <w:r>
              <w:rPr>
                <w:rFonts w:ascii="Calibri" w:cs="Calibri" w:eastAsia="Calibri" w:hAnsi="Calibri"/>
                <w:b/>
                <w:bCs/>
                <w:sz w:val="19"/>
                <w:szCs w:val="19"/>
              </w:rPr>
              <w:t xml:space="preserve">Prototype 1 (now)</w:t>
            </w:r>
          </w:p>
        </w:tc>
        <w:tc>
          <w:tcPr>
            <w:tcW w:type="dxa" w:w="234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Real people, real encounters, word-of-mouth</w:t>
            </w:r>
          </w:p>
        </w:tc>
        <w:tc>
          <w:tcPr>
            <w:tcW w:type="dxa" w:w="234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10 testers +10 referrals · 4 worlds</w:t>
            </w:r>
          </w:p>
        </w:tc>
        <w:tc>
          <w:tcPr>
            <w:tcW w:type="dxa" w:w="234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$65–100 (self-funded)</w:t>
            </w:r>
          </w:p>
        </w:tc>
      </w:tr>
      <w:tr>
        <w:tc>
          <w:tcPr>
            <w:tcW w:type="dxa" w:w="2340"/>
            <w:tcMar>
              <w:top w:type="dxa" w:w="50"/>
              <w:left w:type="dxa" w:w="90"/>
              <w:bottom w:type="dxa" w:w="50"/>
              <w:right w:type="dxa" w:w="90"/>
            </w:tcMar>
          </w:tcPr>
          <w:p>
            <w:pPr>
              <w:spacing w:after="0"/>
            </w:pPr>
            <w:r>
              <w:rPr>
                <w:rFonts w:ascii="Calibri" w:cs="Calibri" w:eastAsia="Calibri" w:hAnsi="Calibri"/>
                <w:b/>
                <w:bCs/>
                <w:sz w:val="19"/>
                <w:szCs w:val="19"/>
              </w:rPr>
              <w:t xml:space="preserve">Prototype 2</w:t>
            </w:r>
          </w:p>
        </w:tc>
        <w:tc>
          <w:tcPr>
            <w:tcW w:type="dxa" w:w="234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Scale, breadth, academic validation</w:t>
            </w:r>
          </w:p>
        </w:tc>
        <w:tc>
          <w:tcPr>
            <w:tcW w:type="dxa" w:w="234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~50 testers +50 referrals · 5–6 worlds</w:t>
            </w:r>
          </w:p>
        </w:tc>
        <w:tc>
          <w:tcPr>
            <w:tcW w:type="dxa" w:w="234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$3,500–11,000</w:t>
            </w:r>
          </w:p>
        </w:tc>
      </w:tr>
      <w:tr>
        <w:tc>
          <w:tcPr>
            <w:tcW w:type="dxa" w:w="2340"/>
            <w:shd w:fill="F2F6F7" w:val="clear"/>
            <w:tcMar>
              <w:top w:type="dxa" w:w="50"/>
              <w:left w:type="dxa" w:w="90"/>
              <w:bottom w:type="dxa" w:w="50"/>
              <w:right w:type="dxa" w:w="90"/>
            </w:tcMar>
          </w:tcPr>
          <w:p>
            <w:pPr>
              <w:spacing w:after="0"/>
            </w:pPr>
            <w:r>
              <w:rPr>
                <w:rFonts w:ascii="Calibri" w:cs="Calibri" w:eastAsia="Calibri" w:hAnsi="Calibri"/>
                <w:b/>
                <w:bCs/>
                <w:sz w:val="19"/>
                <w:szCs w:val="19"/>
              </w:rPr>
              <w:t xml:space="preserve">Phase 1 (Year 1)</w:t>
            </w:r>
          </w:p>
        </w:tc>
        <w:tc>
          <w:tcPr>
            <w:tcW w:type="dxa" w:w="234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Public ministry, sustainable model</w:t>
            </w:r>
          </w:p>
        </w:tc>
        <w:tc>
          <w:tcPr>
            <w:tcW w:type="dxa" w:w="234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250–10,000 users · 5+ worlds</w:t>
            </w:r>
          </w:p>
        </w:tc>
        <w:tc>
          <w:tcPr>
            <w:tcW w:type="dxa" w:w="234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$19,000–54,000 (see scenarios)</w:t>
            </w:r>
          </w:p>
        </w:tc>
      </w:tr>
    </w:tbl>
    <w:p>
      <w:pPr>
        <w:pBdr>
          <w:bottom w:val="single" w:color="1F4E5F" w:sz="6" w:space="4"/>
        </w:pBdr>
        <w:spacing w:after="80" w:before="200"/>
      </w:pPr>
      <w:r>
        <w:rPr>
          <w:rFonts w:ascii="Calibri" w:cs="Calibri" w:eastAsia="Calibri" w:hAnsi="Calibri"/>
          <w:b/>
          <w:bCs/>
          <w:caps/>
          <w:color w:val="1F4E5F"/>
          <w:sz w:val="24"/>
          <w:szCs w:val="24"/>
        </w:rPr>
        <w:t xml:space="preserve">The Need</w:t>
      </w:r>
    </w:p>
    <w:p>
      <w:pPr>
        <w:spacing w:after="100"/>
      </w:pPr>
      <w:r>
        <w:rPr>
          <w:rFonts w:ascii="Calibri" w:cs="Calibri" w:eastAsia="Calibri" w:hAnsi="Calibri"/>
          <w:sz w:val="21"/>
          <w:szCs w:val="21"/>
        </w:rPr>
        <w:t xml:space="preserve">Most Christians have never met their own family history. Twenty centuries of the church's lived faith — its courage, its arguments, its unresolved questions — sit locked in academic monographs and untranslated sources, accessible to scholars and functionally invisible to everyone else. Meanwhile, a generation is deconstructing its faith in conversation with algorithms that have no history at all. The moment is not neutral: people are already asking AI their deepest questions. The choice is whether anything they meet there has roots.</w:t>
      </w:r>
    </w:p>
    <w:p>
      <w:pPr>
        <w:spacing w:after="100"/>
      </w:pPr>
      <w:r>
        <w:rPr>
          <w:rFonts w:ascii="Calibri" w:cs="Calibri" w:eastAsia="Calibri" w:hAnsi="Calibri"/>
          <w:sz w:val="21"/>
          <w:szCs w:val="21"/>
        </w:rPr>
        <w:t xml:space="preserve">CiC's answer is neither apologetics nor content marketing. It is </w:t>
      </w:r>
      <w:r>
        <w:rPr>
          <w:rFonts w:ascii="Calibri" w:cs="Calibri" w:eastAsia="Calibri" w:hAnsi="Calibri"/>
          <w:i/>
          <w:iCs/>
          <w:sz w:val="21"/>
          <w:szCs w:val="21"/>
        </w:rPr>
        <w:t xml:space="preserve">encounter</w:t>
      </w:r>
      <w:r>
        <w:rPr>
          <w:rFonts w:ascii="Calibri" w:cs="Calibri" w:eastAsia="Calibri" w:hAnsi="Calibri"/>
          <w:sz w:val="21"/>
          <w:szCs w:val="21"/>
        </w:rPr>
        <w:t xml:space="preserve"> — the conviction that meeting the church as it actually was, tensions and all, forms people more truthfully than being told conclusions. We call this Encounter Over Persuasion, and it is written into the system's governing constitution, not just its marketing.</w:t>
      </w:r>
    </w:p>
    <w:p>
      <w:pPr>
        <w:pBdr>
          <w:bottom w:val="single" w:color="1F4E5F" w:sz="6" w:space="4"/>
        </w:pBdr>
        <w:spacing w:after="80" w:before="200"/>
      </w:pPr>
      <w:r>
        <w:rPr>
          <w:rFonts w:ascii="Calibri" w:cs="Calibri" w:eastAsia="Calibri" w:hAnsi="Calibri"/>
          <w:b/>
          <w:bCs/>
          <w:caps/>
          <w:color w:val="1F4E5F"/>
          <w:sz w:val="24"/>
          <w:szCs w:val="24"/>
        </w:rPr>
        <w:t xml:space="preserve">Why This Is a Ministry, Not an App</w:t>
      </w:r>
    </w:p>
    <w:p>
      <w:pPr>
        <w:pStyle w:val="ListParagraph"/>
        <w:numPr>
          <w:ilvl w:val="0"/>
          <w:numId w:val="2"/>
        </w:numPr>
        <w:spacing w:after="60"/>
      </w:pPr>
      <w:r>
        <w:rPr>
          <w:rFonts w:ascii="Calibri" w:cs="Calibri" w:eastAsia="Calibri" w:hAnsi="Calibri"/>
          <w:b/>
          <w:bCs/>
          <w:sz w:val="21"/>
          <w:szCs w:val="21"/>
        </w:rPr>
        <w:t xml:space="preserve">Encounter over persuasion. </w:t>
      </w:r>
      <w:r>
        <w:rPr>
          <w:rFonts w:ascii="Calibri" w:cs="Calibri" w:eastAsia="Calibri" w:hAnsi="Calibri"/>
          <w:sz w:val="21"/>
          <w:szCs w:val="21"/>
        </w:rPr>
        <w:t xml:space="preserve">Representatives never steer a participant toward a conclusion. The constitution's Encounter-Success Standard measures success by whether the voice stayed genuinely itself, tensions stayed visible, and interpretation stayed with the participant — not by engagement metrics.</w:t>
      </w:r>
    </w:p>
    <w:p>
      <w:pPr>
        <w:pStyle w:val="ListParagraph"/>
        <w:numPr>
          <w:ilvl w:val="0"/>
          <w:numId w:val="2"/>
        </w:numPr>
        <w:spacing w:after="60"/>
      </w:pPr>
      <w:r>
        <w:rPr>
          <w:rFonts w:ascii="Calibri" w:cs="Calibri" w:eastAsia="Calibri" w:hAnsi="Calibri"/>
          <w:b/>
          <w:bCs/>
          <w:sz w:val="21"/>
          <w:szCs w:val="21"/>
        </w:rPr>
        <w:t xml:space="preserve">Trustworthy transparency. </w:t>
      </w:r>
      <w:r>
        <w:rPr>
          <w:rFonts w:ascii="Calibri" w:cs="Calibri" w:eastAsia="Calibri" w:hAnsi="Calibri"/>
          <w:sz w:val="21"/>
          <w:szCs w:val="21"/>
        </w:rPr>
        <w:t xml:space="preserve">Every claim can be interrogated. Three levels of accountability sit behind every highlighted term — a plain-language gloss on hover; sources, stories, and confidence levels on click; and full documentation beneath. Transparency is never gated behind payment at any tier, in any funding model. That is a constitutional rule.</w:t>
      </w:r>
    </w:p>
    <w:p>
      <w:pPr>
        <w:pStyle w:val="ListParagraph"/>
        <w:numPr>
          <w:ilvl w:val="0"/>
          <w:numId w:val="2"/>
        </w:numPr>
        <w:spacing w:after="60"/>
      </w:pPr>
      <w:r>
        <w:rPr>
          <w:rFonts w:ascii="Calibri" w:cs="Calibri" w:eastAsia="Calibri" w:hAnsi="Calibri"/>
          <w:b/>
          <w:bCs/>
          <w:sz w:val="21"/>
          <w:szCs w:val="21"/>
        </w:rPr>
        <w:t xml:space="preserve">A doorway, not a home. </w:t>
      </w:r>
      <w:r>
        <w:rPr>
          <w:rFonts w:ascii="Calibri" w:cs="Calibri" w:eastAsia="Calibri" w:hAnsi="Calibri"/>
          <w:sz w:val="21"/>
          <w:szCs w:val="21"/>
        </w:rPr>
        <w:t xml:space="preserve">The system is designed to send people back to living communities, scripture, and real relationships — explicitly not to maximize return engagement. Session design, closing resources, and vulnerable-participant safeguards are all built to this rule.</w:t>
      </w:r>
    </w:p>
    <w:p>
      <w:pPr>
        <w:pStyle w:val="ListParagraph"/>
        <w:numPr>
          <w:ilvl w:val="0"/>
          <w:numId w:val="2"/>
        </w:numPr>
        <w:spacing w:after="60"/>
      </w:pPr>
      <w:r>
        <w:rPr>
          <w:rFonts w:ascii="Calibri" w:cs="Calibri" w:eastAsia="Calibri" w:hAnsi="Calibri"/>
          <w:b/>
          <w:bCs/>
          <w:sz w:val="21"/>
          <w:szCs w:val="21"/>
        </w:rPr>
        <w:t xml:space="preserve">Truth without simplification. </w:t>
      </w:r>
      <w:r>
        <w:rPr>
          <w:rFonts w:ascii="Calibri" w:cs="Calibri" w:eastAsia="Calibri" w:hAnsi="Calibri"/>
          <w:sz w:val="21"/>
          <w:szCs w:val="21"/>
        </w:rPr>
        <w:t xml:space="preserve">Where a world was still arguing, the Representative still argues. Where the historical record is thin, the Representative says so. Where a living community descends from a world, the Representative explicitly does not speak for it.</w:t>
      </w:r>
    </w:p>
    <w:p>
      <w:pPr>
        <w:pStyle w:val="ListParagraph"/>
        <w:numPr>
          <w:ilvl w:val="0"/>
          <w:numId w:val="2"/>
        </w:numPr>
        <w:spacing w:after="60"/>
      </w:pPr>
      <w:r>
        <w:rPr>
          <w:rFonts w:ascii="Calibri" w:cs="Calibri" w:eastAsia="Calibri" w:hAnsi="Calibri"/>
          <w:b/>
          <w:bCs/>
          <w:sz w:val="21"/>
          <w:szCs w:val="21"/>
        </w:rPr>
        <w:t xml:space="preserve">Accountability in writing. </w:t>
      </w:r>
      <w:r>
        <w:rPr>
          <w:rFonts w:ascii="Calibri" w:cs="Calibri" w:eastAsia="Calibri" w:hAnsi="Calibri"/>
          <w:sz w:val="21"/>
          <w:szCs w:val="21"/>
        </w:rPr>
        <w:t xml:space="preserve">A governing constitution (36 articles), dated decision logs for every workstream, an eight-category adversarial validation battery run against every Representative, and a standing requirement (Article 31) for external scholarly review before the work is treated as vetted.</w:t>
      </w:r>
    </w:p>
    <w:p>
      <w:r>
        <w:br w:type="page"/>
      </w:r>
    </w:p>
    <w:p>
      <w:pPr>
        <w:pBdr>
          <w:bottom w:val="single" w:color="1F4E5F" w:sz="6" w:space="4"/>
        </w:pBdr>
        <w:spacing w:after="80" w:before="60"/>
      </w:pPr>
      <w:r>
        <w:rPr>
          <w:rFonts w:ascii="Calibri" w:cs="Calibri" w:eastAsia="Calibri" w:hAnsi="Calibri"/>
          <w:b/>
          <w:bCs/>
          <w:caps/>
          <w:color w:val="1F4E5F"/>
          <w:sz w:val="24"/>
          <w:szCs w:val="24"/>
        </w:rPr>
        <w:t xml:space="preserve">What We've Built — Features</w:t>
      </w:r>
    </w:p>
    <w:p>
      <w:pPr>
        <w:pStyle w:val="ListParagraph"/>
        <w:numPr>
          <w:ilvl w:val="0"/>
          <w:numId w:val="2"/>
        </w:numPr>
        <w:spacing w:after="60"/>
      </w:pPr>
      <w:r>
        <w:rPr>
          <w:rFonts w:ascii="Calibri" w:cs="Calibri" w:eastAsia="Calibri" w:hAnsi="Calibri"/>
          <w:b/>
          <w:bCs/>
          <w:sz w:val="21"/>
          <w:szCs w:val="21"/>
        </w:rPr>
        <w:t xml:space="preserve">Worlds and Representatives. </w:t>
      </w:r>
      <w:r>
        <w:rPr>
          <w:rFonts w:ascii="Calibri" w:cs="Calibri" w:eastAsia="Calibri" w:hAnsi="Calibri"/>
          <w:sz w:val="21"/>
          <w:szCs w:val="21"/>
        </w:rPr>
        <w:t xml:space="preserve">Each world is a deeply researched reconstruction of one Christian movement — built through a nine-document construction sequence (sources, lexicon, gravities, forces, stories) with review gates at every step. Its Representative speaks only from that record, in that world's own vocabulary.</w:t>
      </w:r>
    </w:p>
    <w:p>
      <w:pPr>
        <w:pStyle w:val="ListParagraph"/>
        <w:numPr>
          <w:ilvl w:val="0"/>
          <w:numId w:val="2"/>
        </w:numPr>
        <w:spacing w:after="60"/>
      </w:pPr>
      <w:r>
        <w:rPr>
          <w:rFonts w:ascii="Calibri" w:cs="Calibri" w:eastAsia="Calibri" w:hAnsi="Calibri"/>
          <w:b/>
          <w:bCs/>
          <w:sz w:val="21"/>
          <w:szCs w:val="21"/>
        </w:rPr>
        <w:t xml:space="preserve">The Table. </w:t>
      </w:r>
      <w:r>
        <w:rPr>
          <w:rFonts w:ascii="Calibri" w:cs="Calibri" w:eastAsia="Calibri" w:hAnsi="Calibri"/>
          <w:sz w:val="21"/>
          <w:szCs w:val="21"/>
        </w:rPr>
        <w:t xml:space="preserve">Participants can interview one Representative in depth, or seat two or three from different centuries at the same table and watch real differences emerge — the same question answered by the desert and by the scriptorium.</w:t>
      </w:r>
    </w:p>
    <w:p>
      <w:pPr>
        <w:pStyle w:val="ListParagraph"/>
        <w:numPr>
          <w:ilvl w:val="0"/>
          <w:numId w:val="2"/>
        </w:numPr>
        <w:spacing w:after="60"/>
      </w:pPr>
      <w:r>
        <w:rPr>
          <w:rFonts w:ascii="Calibri" w:cs="Calibri" w:eastAsia="Calibri" w:hAnsi="Calibri"/>
          <w:b/>
          <w:bCs/>
          <w:sz w:val="21"/>
          <w:szCs w:val="21"/>
        </w:rPr>
        <w:t xml:space="preserve">Three-tier accountability. </w:t>
      </w:r>
      <w:r>
        <w:rPr>
          <w:rFonts w:ascii="Calibri" w:cs="Calibri" w:eastAsia="Calibri" w:hAnsi="Calibri"/>
          <w:sz w:val="21"/>
          <w:szCs w:val="21"/>
        </w:rPr>
        <w:t xml:space="preserve">Highlighted terms, claims, and stories throughout every conversation: hover for the short explanation, click for sources, stories, quotes, and the reconstruction's stated confidence level. Nothing behind a highlight is ever hidden or paywalled.</w:t>
      </w:r>
    </w:p>
    <w:p>
      <w:pPr>
        <w:pStyle w:val="ListParagraph"/>
        <w:numPr>
          <w:ilvl w:val="0"/>
          <w:numId w:val="2"/>
        </w:numPr>
        <w:spacing w:after="60"/>
      </w:pPr>
      <w:r>
        <w:rPr>
          <w:rFonts w:ascii="Calibri" w:cs="Calibri" w:eastAsia="Calibri" w:hAnsi="Calibri"/>
          <w:b/>
          <w:bCs/>
          <w:sz w:val="21"/>
          <w:szCs w:val="21"/>
        </w:rPr>
        <w:t xml:space="preserve">World selection tiles. </w:t>
      </w:r>
      <w:r>
        <w:rPr>
          <w:rFonts w:ascii="Calibri" w:cs="Calibri" w:eastAsia="Calibri" w:hAnsi="Calibri"/>
          <w:sz w:val="21"/>
          <w:szCs w:val="21"/>
        </w:rPr>
        <w:t xml:space="preserve">Each world is chosen through a tile describing the world, its influences and limitations, and its Representative — so participants choose from substance, not just a name.</w:t>
      </w:r>
    </w:p>
    <w:p>
      <w:pPr>
        <w:pStyle w:val="ListParagraph"/>
        <w:numPr>
          <w:ilvl w:val="0"/>
          <w:numId w:val="2"/>
        </w:numPr>
        <w:spacing w:after="60"/>
      </w:pPr>
      <w:r>
        <w:rPr>
          <w:rFonts w:ascii="Calibri" w:cs="Calibri" w:eastAsia="Calibri" w:hAnsi="Calibri"/>
          <w:b/>
          <w:bCs/>
          <w:sz w:val="21"/>
          <w:szCs w:val="21"/>
        </w:rPr>
        <w:t xml:space="preserve">Transparent onboarding. </w:t>
      </w:r>
      <w:r>
        <w:rPr>
          <w:rFonts w:ascii="Calibri" w:cs="Calibri" w:eastAsia="Calibri" w:hAnsi="Calibri"/>
          <w:sz w:val="21"/>
          <w:szCs w:val="21"/>
        </w:rPr>
        <w:t xml:space="preserve">Before the first conversation, every participant is told plainly what a Representative is and isn't, that this is a prototype, that scholarly review is ongoing, and how their conversation is used. The project's transparency commitments apply to its testers, not just its content.</w:t>
      </w:r>
    </w:p>
    <w:p>
      <w:pPr>
        <w:pBdr>
          <w:bottom w:val="single" w:color="1F4E5F" w:sz="6" w:space="4"/>
        </w:pBdr>
        <w:spacing w:after="80" w:before="200"/>
      </w:pPr>
      <w:r>
        <w:rPr>
          <w:rFonts w:ascii="Calibri" w:cs="Calibri" w:eastAsia="Calibri" w:hAnsi="Calibri"/>
          <w:b/>
          <w:bCs/>
          <w:caps/>
          <w:color w:val="1F4E5F"/>
          <w:sz w:val="24"/>
          <w:szCs w:val="24"/>
        </w:rPr>
        <w:t xml:space="preserve">The Technology, Plainly</w:t>
      </w:r>
    </w:p>
    <w:p>
      <w:pPr>
        <w:spacing w:after="100"/>
      </w:pPr>
      <w:r>
        <w:rPr>
          <w:rFonts w:ascii="Calibri" w:cs="Calibri" w:eastAsia="Calibri" w:hAnsi="Calibri"/>
          <w:sz w:val="21"/>
          <w:szCs w:val="21"/>
        </w:rPr>
        <w:t xml:space="preserve">You don't need to be technical to judge this project — and you shouldn't have to take our word for anything. Here is how the system works, what it's made of, and how we keep it transparent.</w:t>
      </w:r>
    </w:p>
    <w:p>
      <w:pPr>
        <w:spacing w:after="60" w:before="140"/>
      </w:pPr>
      <w:r>
        <w:rPr>
          <w:rFonts w:ascii="Calibri" w:cs="Calibri" w:eastAsia="Calibri" w:hAnsi="Calibri"/>
          <w:b/>
          <w:bCs/>
          <w:sz w:val="22"/>
          <w:szCs w:val="22"/>
        </w:rPr>
        <w:t xml:space="preserve">What happens when you ask a question</w:t>
      </w:r>
    </w:p>
    <w:p>
      <w:pPr>
        <w:pStyle w:val="ListParagraph"/>
        <w:numPr>
          <w:ilvl w:val="0"/>
          <w:numId w:val="2"/>
        </w:numPr>
        <w:spacing w:after="60"/>
      </w:pPr>
      <w:r>
        <w:rPr>
          <w:rFonts w:ascii="Calibri" w:cs="Calibri" w:eastAsia="Calibri" w:hAnsi="Calibri"/>
          <w:b/>
          <w:bCs/>
          <w:sz w:val="21"/>
          <w:szCs w:val="21"/>
        </w:rPr>
        <w:t xml:space="preserve">You type a question at the Table. </w:t>
      </w:r>
      <w:r>
        <w:rPr>
          <w:rFonts w:ascii="Calibri" w:cs="Calibri" w:eastAsia="Calibri" w:hAnsi="Calibri"/>
          <w:sz w:val="21"/>
          <w:szCs w:val="21"/>
        </w:rPr>
        <w:t xml:space="preserve">A guide we call the Facilitator reads it and decides which Representative — or Representatives — should answer.</w:t>
      </w:r>
    </w:p>
    <w:p>
      <w:pPr>
        <w:pStyle w:val="ListParagraph"/>
        <w:numPr>
          <w:ilvl w:val="0"/>
          <w:numId w:val="2"/>
        </w:numPr>
        <w:spacing w:after="60"/>
      </w:pPr>
      <w:r>
        <w:rPr>
          <w:rFonts w:ascii="Calibri" w:cs="Calibri" w:eastAsia="Calibri" w:hAnsi="Calibri"/>
          <w:b/>
          <w:bCs/>
          <w:sz w:val="21"/>
          <w:szCs w:val="21"/>
        </w:rPr>
        <w:t xml:space="preserve">The Representative checks its library before it speaks. </w:t>
      </w:r>
      <w:r>
        <w:rPr>
          <w:rFonts w:ascii="Calibri" w:cs="Calibri" w:eastAsia="Calibri" w:hAnsi="Calibri"/>
          <w:sz w:val="21"/>
          <w:szCs w:val="21"/>
        </w:rPr>
        <w:t xml:space="preserve">Each world has its own curated library: the letters, sermons, stories, and word-lists we built from the historical record. The Representative can only draw on that library. It cannot browse the internet. If its library doesn't cover something, it says so.</w:t>
      </w:r>
    </w:p>
    <w:p>
      <w:pPr>
        <w:pStyle w:val="ListParagraph"/>
        <w:numPr>
          <w:ilvl w:val="0"/>
          <w:numId w:val="2"/>
        </w:numPr>
        <w:spacing w:after="60"/>
      </w:pPr>
      <w:r>
        <w:rPr>
          <w:rFonts w:ascii="Calibri" w:cs="Calibri" w:eastAsia="Calibri" w:hAnsi="Calibri"/>
          <w:b/>
          <w:bCs/>
          <w:sz w:val="21"/>
          <w:szCs w:val="21"/>
        </w:rPr>
        <w:t xml:space="preserve">The answer arrives with highlights. </w:t>
      </w:r>
      <w:r>
        <w:rPr>
          <w:rFonts w:ascii="Calibri" w:cs="Calibri" w:eastAsia="Calibri" w:hAnsi="Calibri"/>
          <w:sz w:val="21"/>
          <w:szCs w:val="21"/>
        </w:rPr>
        <w:t xml:space="preserve">Hover over a highlighted word and you get a short explanation. Click it and you see the sources, the stories behind it, and how confident we are in the reconstruction — all the way down to the footnote.</w:t>
      </w:r>
    </w:p>
    <w:p>
      <w:pPr>
        <w:pStyle w:val="ListParagraph"/>
        <w:numPr>
          <w:ilvl w:val="0"/>
          <w:numId w:val="2"/>
        </w:numPr>
        <w:spacing w:after="60"/>
      </w:pPr>
      <w:r>
        <w:rPr>
          <w:rFonts w:ascii="Calibri" w:cs="Calibri" w:eastAsia="Calibri" w:hAnsi="Calibri"/>
          <w:b/>
          <w:bCs/>
          <w:sz w:val="21"/>
          <w:szCs w:val="21"/>
        </w:rPr>
        <w:t xml:space="preserve">Everything answers to written rules. </w:t>
      </w:r>
      <w:r>
        <w:rPr>
          <w:rFonts w:ascii="Calibri" w:cs="Calibri" w:eastAsia="Calibri" w:hAnsi="Calibri"/>
          <w:sz w:val="21"/>
          <w:szCs w:val="21"/>
        </w:rPr>
        <w:t xml:space="preserve">Every rule a Representative lives under is written down, and we test each voice against those rules before any person ever talks to it.</w:t>
      </w:r>
    </w:p>
    <w:p>
      <w:pPr>
        <w:spacing w:after="60" w:before="140"/>
      </w:pPr>
      <w:r>
        <w:rPr>
          <w:rFonts w:ascii="Calibri" w:cs="Calibri" w:eastAsia="Calibri" w:hAnsi="Calibri"/>
          <w:b/>
          <w:bCs/>
          <w:sz w:val="22"/>
          <w:szCs w:val="22"/>
        </w:rPr>
        <w:t xml:space="preserve">What it's built from</w:t>
      </w:r>
    </w:p>
    <w:p>
      <w:pPr>
        <w:pStyle w:val="ListParagraph"/>
        <w:numPr>
          <w:ilvl w:val="0"/>
          <w:numId w:val="2"/>
        </w:numPr>
        <w:spacing w:after="60"/>
      </w:pPr>
      <w:r>
        <w:rPr>
          <w:rFonts w:ascii="Calibri" w:cs="Calibri" w:eastAsia="Calibri" w:hAnsi="Calibri"/>
          <w:b/>
          <w:bCs/>
          <w:sz w:val="21"/>
          <w:szCs w:val="21"/>
        </w:rPr>
        <w:t xml:space="preserve">A standard, modern web application</w:t>
      </w:r>
      <w:r>
        <w:rPr>
          <w:rFonts w:ascii="Calibri" w:cs="Calibri" w:eastAsia="Calibri" w:hAnsi="Calibri"/>
          <w:sz w:val="21"/>
          <w:szCs w:val="21"/>
        </w:rPr>
        <w:t xml:space="preserve"> — the same kind of technology behind apps you already use every day.</w:t>
      </w:r>
    </w:p>
    <w:p>
      <w:pPr>
        <w:pStyle w:val="ListParagraph"/>
        <w:numPr>
          <w:ilvl w:val="0"/>
          <w:numId w:val="2"/>
        </w:numPr>
        <w:spacing w:after="60"/>
      </w:pPr>
      <w:r>
        <w:rPr>
          <w:rFonts w:ascii="Calibri" w:cs="Calibri" w:eastAsia="Calibri" w:hAnsi="Calibri"/>
          <w:b/>
          <w:bCs/>
          <w:sz w:val="21"/>
          <w:szCs w:val="21"/>
        </w:rPr>
        <w:t xml:space="preserve">An AI “conductor.” </w:t>
      </w:r>
      <w:r>
        <w:rPr>
          <w:rFonts w:ascii="Calibri" w:cs="Calibri" w:eastAsia="Calibri" w:hAnsi="Calibri"/>
          <w:sz w:val="21"/>
          <w:szCs w:val="21"/>
        </w:rPr>
        <w:t xml:space="preserve">The industry calls this an orchestration framework (ours is LangGraph, the same class of tool serious AI companies build on). It manages who speaks when, and keeps each voice inside its own world.</w:t>
      </w:r>
    </w:p>
    <w:p>
      <w:pPr>
        <w:pStyle w:val="ListParagraph"/>
        <w:numPr>
          <w:ilvl w:val="0"/>
          <w:numId w:val="2"/>
        </w:numPr>
        <w:spacing w:after="60"/>
      </w:pPr>
      <w:r>
        <w:rPr>
          <w:rFonts w:ascii="Calibri" w:cs="Calibri" w:eastAsia="Calibri" w:hAnsi="Calibri"/>
          <w:b/>
          <w:bCs/>
          <w:sz w:val="21"/>
          <w:szCs w:val="21"/>
        </w:rPr>
        <w:t xml:space="preserve">Claude, a leading AI model, supplies the language ability. </w:t>
      </w:r>
      <w:r>
        <w:rPr>
          <w:rFonts w:ascii="Calibri" w:cs="Calibri" w:eastAsia="Calibri" w:hAnsi="Calibri"/>
          <w:sz w:val="21"/>
          <w:szCs w:val="21"/>
        </w:rPr>
        <w:t xml:space="preserve">We rent it through the cloud (Amazon or Anthropic directly), so the project always runs on current, professionally maintained AI — and is never locked to one vendor.</w:t>
      </w:r>
    </w:p>
    <w:p>
      <w:pPr>
        <w:pStyle w:val="ListParagraph"/>
        <w:numPr>
          <w:ilvl w:val="0"/>
          <w:numId w:val="2"/>
        </w:numPr>
        <w:spacing w:after="60"/>
      </w:pPr>
      <w:r>
        <w:rPr>
          <w:rFonts w:ascii="Calibri" w:cs="Calibri" w:eastAsia="Calibri" w:hAnsi="Calibri"/>
          <w:b/>
          <w:bCs/>
          <w:sz w:val="21"/>
          <w:szCs w:val="21"/>
        </w:rPr>
        <w:t xml:space="preserve">A retrieval system — the Representative's library card. </w:t>
      </w:r>
      <w:r>
        <w:rPr>
          <w:rFonts w:ascii="Calibri" w:cs="Calibri" w:eastAsia="Calibri" w:hAnsi="Calibri"/>
          <w:sz w:val="21"/>
          <w:szCs w:val="21"/>
        </w:rPr>
        <w:t xml:space="preserve">Before every answer, it fetches the right documents from that world's library, so answers are grounded in the record, not improvised.</w:t>
      </w:r>
    </w:p>
    <w:p>
      <w:pPr>
        <w:pStyle w:val="ListParagraph"/>
        <w:numPr>
          <w:ilvl w:val="0"/>
          <w:numId w:val="2"/>
        </w:numPr>
        <w:spacing w:after="60"/>
      </w:pPr>
      <w:r>
        <w:rPr>
          <w:rFonts w:ascii="Calibri" w:cs="Calibri" w:eastAsia="Calibri" w:hAnsi="Calibri"/>
          <w:b/>
          <w:bCs/>
          <w:sz w:val="21"/>
          <w:szCs w:val="21"/>
        </w:rPr>
        <w:t xml:space="preserve">A testing harness that attacks our own work. </w:t>
      </w:r>
      <w:r>
        <w:rPr>
          <w:rFonts w:ascii="Calibri" w:cs="Calibri" w:eastAsia="Calibri" w:hAnsi="Calibri"/>
          <w:sz w:val="21"/>
          <w:szCs w:val="21"/>
        </w:rPr>
        <w:t xml:space="preserve">Before any participant meets a representative voice, we try to break it eight different ways — catching it being out-of-period, overconfident, unsafe, or sloppy with sources.</w:t>
      </w:r>
    </w:p>
    <w:p>
      <w:pPr>
        <w:spacing w:after="60" w:before="140"/>
      </w:pPr>
      <w:r>
        <w:rPr>
          <w:rFonts w:ascii="Calibri" w:cs="Calibri" w:eastAsia="Calibri" w:hAnsi="Calibri"/>
          <w:b/>
          <w:bCs/>
          <w:sz w:val="22"/>
          <w:szCs w:val="22"/>
        </w:rPr>
        <w:t xml:space="preserve">Built by a careful hand, checked by independent ones</w:t>
      </w:r>
    </w:p>
    <w:p>
      <w:pPr>
        <w:spacing w:after="100"/>
      </w:pPr>
      <w:r>
        <w:rPr>
          <w:rFonts w:ascii="Calibri" w:cs="Calibri" w:eastAsia="Calibri" w:hAnsi="Calibri"/>
          <w:sz w:val="21"/>
          <w:szCs w:val="21"/>
        </w:rPr>
        <w:t xml:space="preserve">The founder builds and runs the system himself with AI-assisted engineering, which keeps build costs near zero. But two things are never self-performed, by written rule: the scholarly review of the content, and the security and engineering audit before public launch. The builder does not grade his own work.</w:t>
      </w:r>
    </w:p>
    <w:p>
      <w:pPr>
        <w:pBdr>
          <w:bottom w:val="single" w:color="1F4E5F" w:sz="6" w:space="4"/>
        </w:pBdr>
        <w:spacing w:after="80" w:before="200"/>
      </w:pPr>
      <w:r>
        <w:rPr>
          <w:rFonts w:ascii="Calibri" w:cs="Calibri" w:eastAsia="Calibri" w:hAnsi="Calibri"/>
          <w:b/>
          <w:bCs/>
          <w:caps/>
          <w:color w:val="1F4E5F"/>
          <w:sz w:val="24"/>
          <w:szCs w:val="24"/>
        </w:rPr>
        <w:t xml:space="preserve">Our Commitments — and How We Keep Them</w:t>
      </w:r>
    </w:p>
    <w:p>
      <w:pPr>
        <w:spacing w:after="100"/>
      </w:pPr>
      <w:r>
        <w:rPr>
          <w:rFonts w:ascii="Calibri" w:cs="Calibri" w:eastAsia="Calibri" w:hAnsi="Calibri"/>
          <w:sz w:val="21"/>
          <w:szCs w:val="21"/>
        </w:rPr>
        <w:t xml:space="preserve">Vision statements are easy to write. The question a serious partner should ask is: </w:t>
      </w:r>
      <w:r>
        <w:rPr>
          <w:rFonts w:ascii="Calibri" w:cs="Calibri" w:eastAsia="Calibri" w:hAnsi="Calibri"/>
          <w:i/>
          <w:iCs/>
          <w:sz w:val="21"/>
          <w:szCs w:val="21"/>
        </w:rPr>
        <w:t xml:space="preserve">what stops you from drifting?</w:t>
      </w:r>
      <w:r>
        <w:rPr>
          <w:rFonts w:ascii="Calibri" w:cs="Calibri" w:eastAsia="Calibri" w:hAnsi="Calibri"/>
          <w:sz w:val="21"/>
          <w:szCs w:val="21"/>
        </w:rPr>
        <w:t xml:space="preserve"> Our answer: every commitment below is written into a governing constitution, and each one has a specific enforcement mechanism attached — not just a good intention.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4E5F"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Commitment</w:t>
            </w:r>
          </w:p>
        </w:tc>
        <w:tc>
          <w:tcPr>
            <w:tcW w:type="dxa" w:w="3120"/>
            <w:shd w:fill="1F4E5F"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What it means</w:t>
            </w:r>
          </w:p>
        </w:tc>
        <w:tc>
          <w:tcPr>
            <w:tcW w:type="dxa" w:w="3120"/>
            <w:shd w:fill="1F4E5F"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How it's kept</w:t>
            </w:r>
          </w:p>
        </w:tc>
      </w:tr>
      <w:tr>
        <w:tc>
          <w:tcPr>
            <w:tcW w:type="dxa" w:w="3120"/>
            <w:shd w:fill="F2F6F7" w:val="clear"/>
            <w:tcMar>
              <w:top w:type="dxa" w:w="50"/>
              <w:left w:type="dxa" w:w="90"/>
              <w:bottom w:type="dxa" w:w="50"/>
              <w:right w:type="dxa" w:w="90"/>
            </w:tcMar>
          </w:tcPr>
          <w:p>
            <w:pPr>
              <w:spacing w:after="0"/>
            </w:pPr>
            <w:r>
              <w:rPr>
                <w:rFonts w:ascii="Calibri" w:cs="Calibri" w:eastAsia="Calibri" w:hAnsi="Calibri"/>
                <w:b/>
                <w:bCs/>
                <w:sz w:val="19"/>
                <w:szCs w:val="19"/>
              </w:rPr>
              <w:t xml:space="preserve">Encounter over persuasion</w:t>
            </w:r>
          </w:p>
        </w:tc>
        <w:tc>
          <w:tcPr>
            <w:tcW w:type="dxa" w:w="312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The system never pushes you toward a conclusion. Interpretation belongs to you.</w:t>
            </w:r>
          </w:p>
        </w:tc>
        <w:tc>
          <w:tcPr>
            <w:tcW w:type="dxa" w:w="312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Success is measured by a written Encounter-Success Standard, never by engagement metrics; our test battery probes specifically for steering</w:t>
            </w:r>
          </w:p>
        </w:tc>
      </w:tr>
      <w:tr>
        <w:tc>
          <w:tcPr>
            <w:tcW w:type="dxa" w:w="3120"/>
            <w:tcMar>
              <w:top w:type="dxa" w:w="50"/>
              <w:left w:type="dxa" w:w="90"/>
              <w:bottom w:type="dxa" w:w="50"/>
              <w:right w:type="dxa" w:w="90"/>
            </w:tcMar>
          </w:tcPr>
          <w:p>
            <w:pPr>
              <w:spacing w:after="0"/>
            </w:pPr>
            <w:r>
              <w:rPr>
                <w:rFonts w:ascii="Calibri" w:cs="Calibri" w:eastAsia="Calibri" w:hAnsi="Calibri"/>
                <w:b/>
                <w:bCs/>
                <w:sz w:val="19"/>
                <w:szCs w:val="19"/>
              </w:rPr>
              <w:t xml:space="preserve">Trustworthy transparency</w:t>
            </w:r>
          </w:p>
        </w:tc>
        <w:tc>
          <w:tcPr>
            <w:tcW w:type="dxa" w:w="312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Every claim can be checked, three levels deep</w:t>
            </w:r>
          </w:p>
        </w:tc>
        <w:tc>
          <w:tcPr>
            <w:tcW w:type="dxa" w:w="312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The hover/click apparatus is never gated at any price tier — a constitutional rule, not a feature choice</w:t>
            </w:r>
          </w:p>
        </w:tc>
      </w:tr>
      <w:tr>
        <w:tc>
          <w:tcPr>
            <w:tcW w:type="dxa" w:w="3120"/>
            <w:shd w:fill="F2F6F7" w:val="clear"/>
            <w:tcMar>
              <w:top w:type="dxa" w:w="50"/>
              <w:left w:type="dxa" w:w="90"/>
              <w:bottom w:type="dxa" w:w="50"/>
              <w:right w:type="dxa" w:w="90"/>
            </w:tcMar>
          </w:tcPr>
          <w:p>
            <w:pPr>
              <w:spacing w:after="0"/>
            </w:pPr>
            <w:r>
              <w:rPr>
                <w:rFonts w:ascii="Calibri" w:cs="Calibri" w:eastAsia="Calibri" w:hAnsi="Calibri"/>
                <w:b/>
                <w:bCs/>
                <w:sz w:val="19"/>
                <w:szCs w:val="19"/>
              </w:rPr>
              <w:t xml:space="preserve">Truth without simplification</w:t>
            </w:r>
          </w:p>
        </w:tc>
        <w:tc>
          <w:tcPr>
            <w:tcW w:type="dxa" w:w="312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Where history argued, the voice still argues; where sources are thin, it says so</w:t>
            </w:r>
          </w:p>
        </w:tc>
        <w:tc>
          <w:tcPr>
            <w:tcW w:type="dxa" w:w="312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A five-level confidence vocabulary; confess-thinness rules; review gates on every world document</w:t>
            </w:r>
          </w:p>
        </w:tc>
      </w:tr>
      <w:tr>
        <w:tc>
          <w:tcPr>
            <w:tcW w:type="dxa" w:w="3120"/>
            <w:tcMar>
              <w:top w:type="dxa" w:w="50"/>
              <w:left w:type="dxa" w:w="90"/>
              <w:bottom w:type="dxa" w:w="50"/>
              <w:right w:type="dxa" w:w="90"/>
            </w:tcMar>
          </w:tcPr>
          <w:p>
            <w:pPr>
              <w:spacing w:after="0"/>
            </w:pPr>
            <w:r>
              <w:rPr>
                <w:rFonts w:ascii="Calibri" w:cs="Calibri" w:eastAsia="Calibri" w:hAnsi="Calibri"/>
                <w:b/>
                <w:bCs/>
                <w:sz w:val="19"/>
                <w:szCs w:val="19"/>
              </w:rPr>
              <w:t xml:space="preserve">A doorway, not a home</w:t>
            </w:r>
          </w:p>
        </w:tc>
        <w:tc>
          <w:tcPr>
            <w:tcW w:type="dxa" w:w="312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The system points you back to living communities. It is not designed to keep you.</w:t>
            </w:r>
          </w:p>
        </w:tc>
        <w:tc>
          <w:tcPr>
            <w:tcW w:type="dxa" w:w="312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Session length and return visits are never success targets; no recruitment or conversion metric exists at all; bounded sessions; closing resources built in</w:t>
            </w:r>
          </w:p>
        </w:tc>
      </w:tr>
      <w:tr>
        <w:tc>
          <w:tcPr>
            <w:tcW w:type="dxa" w:w="3120"/>
            <w:shd w:fill="F2F6F7" w:val="clear"/>
            <w:tcMar>
              <w:top w:type="dxa" w:w="50"/>
              <w:left w:type="dxa" w:w="90"/>
              <w:bottom w:type="dxa" w:w="50"/>
              <w:right w:type="dxa" w:w="90"/>
            </w:tcMar>
          </w:tcPr>
          <w:p>
            <w:pPr>
              <w:spacing w:after="0"/>
            </w:pPr>
            <w:r>
              <w:rPr>
                <w:rFonts w:ascii="Calibri" w:cs="Calibri" w:eastAsia="Calibri" w:hAnsi="Calibri"/>
                <w:b/>
                <w:bCs/>
                <w:sz w:val="19"/>
                <w:szCs w:val="19"/>
              </w:rPr>
              <w:t xml:space="preserve">Honor for living communities</w:t>
            </w:r>
          </w:p>
        </w:tc>
        <w:tc>
          <w:tcPr>
            <w:tcW w:type="dxa" w:w="312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Historical voices never speak for today's descendants of their traditions</w:t>
            </w:r>
          </w:p>
        </w:tc>
        <w:tc>
          <w:tcPr>
            <w:tcW w:type="dxa" w:w="312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Every Representative states its own historical limits; onboarding names the distinction plainly</w:t>
            </w:r>
          </w:p>
        </w:tc>
      </w:tr>
      <w:tr>
        <w:tc>
          <w:tcPr>
            <w:tcW w:type="dxa" w:w="3120"/>
            <w:tcMar>
              <w:top w:type="dxa" w:w="50"/>
              <w:left w:type="dxa" w:w="90"/>
              <w:bottom w:type="dxa" w:w="50"/>
              <w:right w:type="dxa" w:w="90"/>
            </w:tcMar>
          </w:tcPr>
          <w:p>
            <w:pPr>
              <w:spacing w:after="0"/>
            </w:pPr>
            <w:r>
              <w:rPr>
                <w:rFonts w:ascii="Calibri" w:cs="Calibri" w:eastAsia="Calibri" w:hAnsi="Calibri"/>
                <w:b/>
                <w:bCs/>
                <w:sz w:val="19"/>
                <w:szCs w:val="19"/>
              </w:rPr>
              <w:t xml:space="preserve">Accountability in writing</w:t>
            </w:r>
          </w:p>
        </w:tc>
        <w:tc>
          <w:tcPr>
            <w:tcW w:type="dxa" w:w="312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Decisions, reasons, and failures are documented</w:t>
            </w:r>
          </w:p>
        </w:tc>
        <w:tc>
          <w:tcPr>
            <w:tcW w:type="dxa" w:w="312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Dated decision logs; external scholarly review; independent pre-launch audit; testers told what isn't vetted yet</w:t>
            </w:r>
          </w:p>
        </w:tc>
      </w:tr>
    </w:tbl>
    <w:p>
      <w:pPr>
        <w:spacing w:after="60" w:before="140"/>
      </w:pPr>
      <w:r>
        <w:rPr>
          <w:rFonts w:ascii="Calibri" w:cs="Calibri" w:eastAsia="Calibri" w:hAnsi="Calibri"/>
          <w:b/>
          <w:bCs/>
          <w:sz w:val="22"/>
          <w:szCs w:val="22"/>
        </w:rPr>
        <w:t xml:space="preserve">How we measure — and what we refuse to</w:t>
      </w:r>
    </w:p>
    <w:p>
      <w:pPr>
        <w:spacing w:after="100"/>
      </w:pPr>
      <w:r>
        <w:rPr>
          <w:rFonts w:ascii="Calibri" w:cs="Calibri" w:eastAsia="Calibri" w:hAnsi="Calibri"/>
          <w:b/>
          <w:bCs/>
          <w:sz w:val="21"/>
          <w:szCs w:val="21"/>
        </w:rPr>
        <w:t xml:space="preserve">We measure qualitatively to tell the story of what God is doing, and quantitatively to learn how to be better stewards. We never measure how great we are — or how great the program is.</w:t>
      </w:r>
      <w:r>
        <w:rPr>
          <w:rFonts w:ascii="Calibri" w:cs="Calibri" w:eastAsia="Calibri" w:hAnsi="Calibri"/>
          <w:sz w:val="21"/>
          <w:szCs w:val="21"/>
        </w:rPr>
        <w:t xml:space="preserve"> In practice that means we measure a lot: time on system, question trends, which transparency tools people actually use, cost per conversation, and stories of impact all inform real decisions. The policy has three tiers, and the boundaries are the point. </w:t>
      </w:r>
      <w:r>
        <w:rPr>
          <w:rFonts w:ascii="Calibri" w:cs="Calibri" w:eastAsia="Calibri" w:hAnsi="Calibri"/>
          <w:b/>
          <w:bCs/>
          <w:sz w:val="21"/>
          <w:szCs w:val="21"/>
        </w:rPr>
        <w:t xml:space="preserve">Learning metrics</w:t>
      </w:r>
      <w:r>
        <w:rPr>
          <w:rFonts w:ascii="Calibri" w:cs="Calibri" w:eastAsia="Calibri" w:hAnsi="Calibri"/>
          <w:sz w:val="21"/>
          <w:szCs w:val="21"/>
        </w:rPr>
        <w:t xml:space="preserve"> are tracked and reviewed freely. </w:t>
      </w:r>
      <w:r>
        <w:rPr>
          <w:rFonts w:ascii="Calibri" w:cs="Calibri" w:eastAsia="Calibri" w:hAnsi="Calibri"/>
          <w:b/>
          <w:bCs/>
          <w:sz w:val="21"/>
          <w:szCs w:val="21"/>
        </w:rPr>
        <w:t xml:space="preserve">Engagement numbers</w:t>
      </w:r>
      <w:r>
        <w:rPr>
          <w:rFonts w:ascii="Calibri" w:cs="Calibri" w:eastAsia="Calibri" w:hAnsi="Calibri"/>
          <w:sz w:val="21"/>
          <w:szCs w:val="21"/>
        </w:rPr>
        <w:t xml:space="preserve"> — session length, return visits — are tracked as learning and cost signals but are never success targets, because the moment they become goals, the product starts designing itself to keep people, and “a doorway, not a home” dies quietly. And </w:t>
      </w:r>
      <w:r>
        <w:rPr>
          <w:rFonts w:ascii="Calibri" w:cs="Calibri" w:eastAsia="Calibri" w:hAnsi="Calibri"/>
          <w:b/>
          <w:bCs/>
          <w:sz w:val="21"/>
          <w:szCs w:val="21"/>
        </w:rPr>
        <w:t xml:space="preserve">recruitment and conversion outcomes are never measured at all</w:t>
      </w:r>
      <w:r>
        <w:rPr>
          <w:rFonts w:ascii="Calibri" w:cs="Calibri" w:eastAsia="Calibri" w:hAnsi="Calibri"/>
          <w:sz w:val="21"/>
          <w:szCs w:val="21"/>
        </w:rPr>
        <w:t xml:space="preserve"> — not because we fear the answer, but because a metric is a pressure: a conversion number sitting on a dashboard asks to go up, and everything upstream bends toward persuasion. We refuse to build the number rather than trust ourselves to ignore it. Success itself is measured against the Encounter-Success Standard: surveys ask whether the voice felt genuinely itself, whether real tensions stayed visible, whether the participant ever felt steered, and whether the transparency tools helped. Partners receive these results — including the failures.</w:t>
      </w:r>
    </w:p>
    <w:p>
      <w:pPr>
        <w:spacing w:after="100"/>
      </w:pPr>
      <w:r>
        <w:rPr>
          <w:rFonts w:ascii="Calibri" w:cs="Calibri" w:eastAsia="Calibri" w:hAnsi="Calibri"/>
          <w:b/>
          <w:bCs/>
          <w:sz w:val="21"/>
          <w:szCs w:val="21"/>
        </w:rPr>
        <w:t xml:space="preserve">This is an old principle, not a modern one. </w:t>
      </w:r>
      <w:r>
        <w:rPr>
          <w:rFonts w:ascii="Calibri" w:cs="Calibri" w:eastAsia="Calibri" w:hAnsi="Calibri"/>
          <w:sz w:val="21"/>
          <w:szCs w:val="21"/>
        </w:rPr>
        <w:t xml:space="preserve">Scripture commands counting in service of care — flocks known well, temple vessels inventoried, a hundred sheep counted so the one missing is noticed. And scripture records counting forbidden — David's census of his fighting men, an army of thirty-two thousand cut to three hundred so no one could credit the number — because some measurements feed pride and quietly claim what belongs to God. “I planted, Apollos watered, but God gave the growth.” The harvest was never the sower's to produce, so it is not ours to count. We measure what stewardship requires, and refuse what pride would feed on.</w:t>
      </w:r>
    </w:p>
    <w:p>
      <w:pPr>
        <w:spacing w:after="60" w:before="140"/>
      </w:pPr>
      <w:r>
        <w:rPr>
          <w:rFonts w:ascii="Calibri" w:cs="Calibri" w:eastAsia="Calibri" w:hAnsi="Calibri"/>
          <w:b/>
          <w:bCs/>
          <w:sz w:val="22"/>
          <w:szCs w:val="22"/>
        </w:rPr>
        <w:t xml:space="preserve">Closing the technology review: the four questions we're asked most</w:t>
      </w:r>
    </w:p>
    <w:p>
      <w:pPr>
        <w:spacing w:after="100"/>
      </w:pPr>
      <w:r>
        <w:rPr>
          <w:rFonts w:ascii="Calibri" w:cs="Calibri" w:eastAsia="Calibri" w:hAnsi="Calibri"/>
          <w:b/>
          <w:bCs/>
          <w:sz w:val="21"/>
          <w:szCs w:val="21"/>
        </w:rPr>
        <w:t xml:space="preserve">“AI is famous for making things up. How do you keep that contained — and how do you know the quality holds?”</w:t>
      </w:r>
    </w:p>
    <w:p>
      <w:pPr>
        <w:spacing w:after="100"/>
      </w:pPr>
      <w:r>
        <w:rPr>
          <w:rFonts w:ascii="Calibri" w:cs="Calibri" w:eastAsia="Calibri" w:hAnsi="Calibri"/>
          <w:sz w:val="21"/>
          <w:szCs w:val="21"/>
        </w:rPr>
        <w:t xml:space="preserve">We start with the plain premise: nobody can make AI perfectly incapable of error, and anyone who claims otherwise isn't being straight with you. What we can do is make errors rare, catchable, and admitted. Five layers do that work. First, a Representative can only speak from its own curated library — there is no open internet to invent from. Second, its written rules require it to lower its confidence, out loud, when its sources are thin. Third, every claim carries its footnote — a made-up fact would have to survive readers who can check anything with one click. Fourth, we attack every voice with an eight-part test battery before anyone meets it, deliberately trying to catch it being out-of-period, overconfident, unsafe, or sloppy with its sources. Fifth, outside scholars review the work itself — and until they have, every participant is told exactly that, in plain words, before their first conversation.</w:t>
      </w:r>
    </w:p>
    <w:p>
      <w:pPr>
        <w:spacing w:after="100"/>
      </w:pPr>
      <w:r>
        <w:rPr>
          <w:rFonts w:ascii="Calibri" w:cs="Calibri" w:eastAsia="Calibri" w:hAnsi="Calibri"/>
          <w:b/>
          <w:bCs/>
          <w:sz w:val="21"/>
          <w:szCs w:val="21"/>
        </w:rPr>
        <w:t xml:space="preserve">“What happens when the historical record is thin, or when historians disagree?”</w:t>
      </w:r>
    </w:p>
    <w:p>
      <w:pPr>
        <w:spacing w:after="100"/>
      </w:pPr>
      <w:r>
        <w:rPr>
          <w:rFonts w:ascii="Calibri" w:cs="Calibri" w:eastAsia="Calibri" w:hAnsi="Calibri"/>
          <w:sz w:val="21"/>
          <w:szCs w:val="21"/>
        </w:rPr>
        <w:t xml:space="preserve">The voice tells you. Where a community never settled a question, the Representative keeps the argument open instead of flattening it into one tidy answer. Where the record is thin, it says the record is thin. This is the sharpest difference between CiC and an ordinary chatbot: a chatbot is built to always have an answer; a Representative is governed to prefer calibrated uncertainty over confident invention — because the most dangerous failure isn't a wrong fact, it's unearned confidence.</w:t>
      </w:r>
    </w:p>
    <w:p>
      <w:pPr>
        <w:spacing w:after="100"/>
      </w:pPr>
      <w:r>
        <w:rPr>
          <w:rFonts w:ascii="Calibri" w:cs="Calibri" w:eastAsia="Calibri" w:hAnsi="Calibri"/>
          <w:b/>
          <w:bCs/>
          <w:sz w:val="21"/>
          <w:szCs w:val="21"/>
        </w:rPr>
        <w:t xml:space="preserve">“What happens to people's conversations?”</w:t>
      </w:r>
    </w:p>
    <w:p>
      <w:pPr>
        <w:spacing w:after="100"/>
      </w:pPr>
      <w:r>
        <w:rPr>
          <w:rFonts w:ascii="Calibri" w:cs="Calibri" w:eastAsia="Calibri" w:hAnsi="Calibri"/>
          <w:sz w:val="21"/>
          <w:szCs w:val="21"/>
        </w:rPr>
        <w:t xml:space="preserve">People are told what's captured, and why, before they type a word — in plain language, not a terms-of-service link. During testing, transcripts are kept for the project team's review only, for a limited window, and are never fed into any AI training or analytics store without a separate, documented decision. And there's a structural reason to trust this: the system is forbidden by its own constitution from optimizing for return visits or session length, so it has no appetite for anyone's data beyond making the encounter itself trustworthy.</w:t>
      </w:r>
    </w:p>
    <w:p>
      <w:pPr>
        <w:spacing w:after="100"/>
      </w:pPr>
      <w:r>
        <w:rPr>
          <w:rFonts w:ascii="Calibri" w:cs="Calibri" w:eastAsia="Calibri" w:hAnsi="Calibri"/>
          <w:b/>
          <w:bCs/>
          <w:sz w:val="21"/>
          <w:szCs w:val="21"/>
        </w:rPr>
        <w:t xml:space="preserve">“Are you locked into one AI vendor?”</w:t>
      </w:r>
    </w:p>
    <w:p>
      <w:pPr>
        <w:spacing w:after="100"/>
      </w:pPr>
      <w:r>
        <w:rPr>
          <w:rFonts w:ascii="Calibri" w:cs="Calibri" w:eastAsia="Calibri" w:hAnsi="Calibri"/>
          <w:sz w:val="21"/>
          <w:szCs w:val="21"/>
        </w:rPr>
        <w:t xml:space="preserve">No. The models are rented, and the architecture is portable — Claude today, served through Amazon's cloud or Anthropic directly, with the conductor layer belonging to neither. What makes that more than a claim is the test battery: any replacement model must pass the same eight-part battery before it carries a representative voice. A model switch is a test we run, not a leap we take — and the same apparatus protects us in price negotiations and on the long-term path to cheaper, dedicated models.</w:t>
      </w:r>
    </w:p>
    <w:p>
      <w:pPr>
        <w:pBdr>
          <w:bottom w:val="single" w:color="1F4E5F" w:sz="6" w:space="4"/>
        </w:pBdr>
        <w:spacing w:after="80" w:before="200"/>
      </w:pPr>
      <w:r>
        <w:rPr>
          <w:rFonts w:ascii="Calibri" w:cs="Calibri" w:eastAsia="Calibri" w:hAnsi="Calibri"/>
          <w:b/>
          <w:bCs/>
          <w:caps/>
          <w:color w:val="1F4E5F"/>
          <w:sz w:val="24"/>
          <w:szCs w:val="24"/>
        </w:rPr>
        <w:t xml:space="preserve">Where We Are, and the Road Ahead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50"/>
        <w:gridCol w:w="2050"/>
        <w:gridCol w:w="2060"/>
      </w:tblGrid>
      <w:tr>
        <w:trPr>
          <w:tblHeader/>
        </w:trPr>
        <w:tc>
          <w:tcPr>
            <w:tcW w:type="dxa" w:w="3200"/>
            <w:shd w:fill="1F4E5F"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Milestone</w:t>
            </w:r>
          </w:p>
        </w:tc>
        <w:tc>
          <w:tcPr>
            <w:tcW w:type="dxa" w:w="2050"/>
            <w:shd w:fill="1F4E5F"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Status</w:t>
            </w:r>
          </w:p>
        </w:tc>
        <w:tc>
          <w:tcPr>
            <w:tcW w:type="dxa" w:w="2050"/>
            <w:shd w:fill="1F4E5F"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Gate to pass</w:t>
            </w:r>
          </w:p>
        </w:tc>
        <w:tc>
          <w:tcPr>
            <w:tcW w:type="dxa" w:w="2060"/>
            <w:shd w:fill="1F4E5F"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Timing</w:t>
            </w:r>
          </w:p>
        </w:tc>
      </w:tr>
      <w:tr>
        <w:tc>
          <w:tcPr>
            <w:tcW w:type="dxa" w:w="3200"/>
            <w:shd w:fill="F2F6F7" w:val="clear"/>
            <w:tcMar>
              <w:top w:type="dxa" w:w="50"/>
              <w:left w:type="dxa" w:w="90"/>
              <w:bottom w:type="dxa" w:w="50"/>
              <w:right w:type="dxa" w:w="90"/>
            </w:tcMar>
          </w:tcPr>
          <w:p>
            <w:pPr>
              <w:spacing w:after="0"/>
            </w:pPr>
            <w:r>
              <w:rPr>
                <w:rFonts w:ascii="Calibri" w:cs="Calibri" w:eastAsia="Calibri" w:hAnsi="Calibri"/>
                <w:b/>
                <w:bCs/>
                <w:sz w:val="19"/>
                <w:szCs w:val="19"/>
              </w:rPr>
              <w:t xml:space="preserve">4 worlds live, proof-tested</w:t>
            </w:r>
          </w:p>
        </w:tc>
        <w:tc>
          <w:tcPr>
            <w:tcW w:type="dxa" w:w="205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Done</w:t>
            </w:r>
          </w:p>
        </w:tc>
        <w:tc>
          <w:tcPr>
            <w:tcW w:type="dxa" w:w="205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w:t>
            </w:r>
          </w:p>
        </w:tc>
        <w:tc>
          <w:tcPr>
            <w:tcW w:type="dxa" w:w="206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Complete</w:t>
            </w:r>
          </w:p>
        </w:tc>
      </w:tr>
      <w:tr>
        <w:tc>
          <w:tcPr>
            <w:tcW w:type="dxa" w:w="3200"/>
            <w:tcMar>
              <w:top w:type="dxa" w:w="50"/>
              <w:left w:type="dxa" w:w="90"/>
              <w:bottom w:type="dxa" w:w="50"/>
              <w:right w:type="dxa" w:w="90"/>
            </w:tcMar>
          </w:tcPr>
          <w:p>
            <w:pPr>
              <w:spacing w:after="0"/>
            </w:pPr>
            <w:r>
              <w:rPr>
                <w:rFonts w:ascii="Calibri" w:cs="Calibri" w:eastAsia="Calibri" w:hAnsi="Calibri"/>
                <w:b/>
                <w:bCs/>
                <w:sz w:val="19"/>
                <w:szCs w:val="19"/>
              </w:rPr>
              <w:t xml:space="preserve">Prototype 1: 10-person pilot + word-of-mouth</w:t>
            </w:r>
          </w:p>
        </w:tc>
        <w:tc>
          <w:tcPr>
            <w:tcW w:type="dxa" w:w="205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Launching</w:t>
            </w:r>
          </w:p>
        </w:tc>
        <w:tc>
          <w:tcPr>
            <w:tcW w:type="dxa" w:w="205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Encounter-Success evidence from real testers; word-of-mouth signal</w:t>
            </w:r>
          </w:p>
        </w:tc>
        <w:tc>
          <w:tcPr>
            <w:tcW w:type="dxa" w:w="206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Weeks, not months</w:t>
            </w:r>
          </w:p>
        </w:tc>
      </w:tr>
      <w:tr>
        <w:tc>
          <w:tcPr>
            <w:tcW w:type="dxa" w:w="3200"/>
            <w:shd w:fill="F2F6F7" w:val="clear"/>
            <w:tcMar>
              <w:top w:type="dxa" w:w="50"/>
              <w:left w:type="dxa" w:w="90"/>
              <w:bottom w:type="dxa" w:w="50"/>
              <w:right w:type="dxa" w:w="90"/>
            </w:tcMar>
          </w:tcPr>
          <w:p>
            <w:pPr>
              <w:spacing w:after="0"/>
            </w:pPr>
            <w:r>
              <w:rPr>
                <w:rFonts w:ascii="Calibri" w:cs="Calibri" w:eastAsia="Calibri" w:hAnsi="Calibri"/>
                <w:b/>
                <w:bCs/>
                <w:sz w:val="19"/>
                <w:szCs w:val="19"/>
              </w:rPr>
              <w:t xml:space="preserve">Prototype 2: expanded pilot</w:t>
            </w:r>
          </w:p>
        </w:tc>
        <w:tc>
          <w:tcPr>
            <w:tcW w:type="dxa" w:w="205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Funded by this ask</w:t>
            </w:r>
          </w:p>
        </w:tc>
        <w:tc>
          <w:tcPr>
            <w:tcW w:type="dxa" w:w="205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Breadth (50+100 testers, 5–6 worlds), hosted stability, first academic validation</w:t>
            </w:r>
          </w:p>
        </w:tc>
        <w:tc>
          <w:tcPr>
            <w:tcW w:type="dxa" w:w="206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~3 months after P1</w:t>
            </w:r>
          </w:p>
        </w:tc>
      </w:tr>
      <w:tr>
        <w:tc>
          <w:tcPr>
            <w:tcW w:type="dxa" w:w="3200"/>
            <w:tcMar>
              <w:top w:type="dxa" w:w="50"/>
              <w:left w:type="dxa" w:w="90"/>
              <w:bottom w:type="dxa" w:w="50"/>
              <w:right w:type="dxa" w:w="90"/>
            </w:tcMar>
          </w:tcPr>
          <w:p>
            <w:pPr>
              <w:spacing w:after="0"/>
            </w:pPr>
            <w:r>
              <w:rPr>
                <w:rFonts w:ascii="Calibri" w:cs="Calibri" w:eastAsia="Calibri" w:hAnsi="Calibri"/>
                <w:b/>
                <w:bCs/>
                <w:sz w:val="19"/>
                <w:szCs w:val="19"/>
              </w:rPr>
              <w:t xml:space="preserve">Phase 1: public launch</w:t>
            </w:r>
          </w:p>
        </w:tc>
        <w:tc>
          <w:tcPr>
            <w:tcW w:type="dxa" w:w="205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Funded by this ask</w:t>
            </w:r>
          </w:p>
        </w:tc>
        <w:tc>
          <w:tcPr>
            <w:tcW w:type="dxa" w:w="205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Independent audit passed, reviewer engaged, sustainability model live</w:t>
            </w:r>
          </w:p>
        </w:tc>
        <w:tc>
          <w:tcPr>
            <w:tcW w:type="dxa" w:w="206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~6–12 months after P2</w:t>
            </w:r>
          </w:p>
        </w:tc>
      </w:tr>
    </w:tbl>
    <w:p>
      <w:pPr>
        <w:spacing w:after="100"/>
      </w:pPr>
      <w:r>
        <w:rPr>
          <w:rFonts w:ascii="Calibri" w:cs="Calibri" w:eastAsia="Calibri" w:hAnsi="Calibri"/>
          <w:sz w:val="20"/>
          <w:szCs w:val="20"/>
        </w:rPr>
        <w:t xml:space="preserve">Prototype 1 design, briefly: ten chosen testers, each with a link they may share with exactly one other person (a deliberate word-of-mouth test); a pre-survey and post-survey; and up to five interactions each — two single-world interviews and two to three multi-world conversations — testing both depth and breadth. Feedback is measured against the constitution's Encounter-Success Standard, not against generic satisfaction.</w:t>
      </w:r>
    </w:p>
    <w:p>
      <w:r>
        <w:br w:type="page"/>
      </w:r>
    </w:p>
    <w:p>
      <w:pPr>
        <w:pBdr>
          <w:bottom w:val="single" w:color="1F4E5F" w:sz="6" w:space="4"/>
        </w:pBdr>
        <w:spacing w:after="80" w:before="60"/>
      </w:pPr>
      <w:r>
        <w:rPr>
          <w:rFonts w:ascii="Calibri" w:cs="Calibri" w:eastAsia="Calibri" w:hAnsi="Calibri"/>
          <w:b/>
          <w:bCs/>
          <w:caps/>
          <w:color w:val="1F4E5F"/>
          <w:sz w:val="24"/>
          <w:szCs w:val="24"/>
        </w:rPr>
        <w:t xml:space="preserve">The Budget — Real Numbers</w:t>
      </w:r>
    </w:p>
    <w:p>
      <w:pPr>
        <w:spacing w:after="100"/>
      </w:pPr>
      <w:r>
        <w:rPr>
          <w:rFonts w:ascii="Calibri" w:cs="Calibri" w:eastAsia="Calibri" w:hAnsi="Calibri"/>
          <w:sz w:val="21"/>
          <w:szCs w:val="21"/>
        </w:rPr>
        <w:t xml:space="preserve">Every figure below is labeled. </w:t>
      </w:r>
      <w:r>
        <w:rPr>
          <w:rFonts w:ascii="Calibri" w:cs="Calibri" w:eastAsia="Calibri" w:hAnsi="Calibri"/>
          <w:b/>
          <w:bCs/>
          <w:sz w:val="21"/>
          <w:szCs w:val="21"/>
        </w:rPr>
        <w:t xml:space="preserve">Documented</w:t>
      </w:r>
      <w:r>
        <w:rPr>
          <w:rFonts w:ascii="Calibri" w:cs="Calibri" w:eastAsia="Calibri" w:hAnsi="Calibri"/>
          <w:sz w:val="21"/>
          <w:szCs w:val="21"/>
        </w:rPr>
        <w:t xml:space="preserve"> = current published pricing or an actual invoice. </w:t>
      </w:r>
      <w:r>
        <w:rPr>
          <w:rFonts w:ascii="Calibri" w:cs="Calibri" w:eastAsia="Calibri" w:hAnsi="Calibri"/>
          <w:b/>
          <w:bCs/>
          <w:sz w:val="21"/>
          <w:szCs w:val="21"/>
        </w:rPr>
        <w:t xml:space="preserve">Modeled</w:t>
      </w:r>
      <w:r>
        <w:rPr>
          <w:rFonts w:ascii="Calibri" w:cs="Calibri" w:eastAsia="Calibri" w:hAnsi="Calibri"/>
          <w:sz w:val="21"/>
          <w:szCs w:val="21"/>
        </w:rPr>
        <w:t xml:space="preserve"> = computed from documented unit prices and stated usage assumptions (Appendix A). </w:t>
      </w:r>
      <w:r>
        <w:rPr>
          <w:rFonts w:ascii="Calibri" w:cs="Calibri" w:eastAsia="Calibri" w:hAnsi="Calibri"/>
          <w:b/>
          <w:bCs/>
          <w:sz w:val="21"/>
          <w:szCs w:val="21"/>
        </w:rPr>
        <w:t xml:space="preserve">Benchmarked</w:t>
      </w:r>
      <w:r>
        <w:rPr>
          <w:rFonts w:ascii="Calibri" w:cs="Calibri" w:eastAsia="Calibri" w:hAnsi="Calibri"/>
          <w:sz w:val="21"/>
          <w:szCs w:val="21"/>
        </w:rPr>
        <w:t xml:space="preserve"> = grounded in published market norms where no list price exists. Prototype 1's actuals will replace the modeled numbers within weeks — this packet commits to updating them.</w:t>
      </w:r>
    </w:p>
    <w:p>
      <w:pPr>
        <w:spacing w:after="60" w:before="140"/>
      </w:pPr>
      <w:r>
        <w:rPr>
          <w:rFonts w:ascii="Calibri" w:cs="Calibri" w:eastAsia="Calibri" w:hAnsi="Calibri"/>
          <w:b/>
          <w:bCs/>
          <w:sz w:val="22"/>
          <w:szCs w:val="22"/>
        </w:rPr>
        <w:t xml:space="preserve">Stage 1 — Prototype 1 (current, self-funded)</w:t>
      </w:r>
    </w:p>
    <w:p>
      <w:pPr>
        <w:spacing w:after="100"/>
      </w:pPr>
      <w:r>
        <w:rPr>
          <w:rFonts w:ascii="Calibri" w:cs="Calibri" w:eastAsia="Calibri" w:hAnsi="Calibri"/>
          <w:sz w:val="21"/>
          <w:szCs w:val="21"/>
        </w:rPr>
        <w:t xml:space="preserve">Upload, functionality testing, and the full ten-tester pilot on Amazon Bedrock: </w:t>
      </w:r>
      <w:r>
        <w:rPr>
          <w:rFonts w:ascii="Calibri" w:cs="Calibri" w:eastAsia="Calibri" w:hAnsi="Calibri"/>
          <w:b/>
          <w:bCs/>
          <w:sz w:val="21"/>
          <w:szCs w:val="21"/>
        </w:rPr>
        <w:t xml:space="preserve">$65–100</w:t>
      </w:r>
      <w:r>
        <w:rPr>
          <w:rFonts w:ascii="Calibri" w:cs="Calibri" w:eastAsia="Calibri" w:hAnsi="Calibri"/>
          <w:sz w:val="21"/>
          <w:szCs w:val="21"/>
        </w:rPr>
        <w:t xml:space="preserve"> (Modeled from proof-testing consumption; Documented Bedrock pricing — Claude Sonnet $3 per million input tokens / $15 per million output, cache reads at 0.1×). Founder investment to date across all build phases: </w:t>
      </w:r>
      <w:r>
        <w:rPr>
          <w:rFonts w:ascii="Calibri" w:cs="Calibri" w:eastAsia="Calibri" w:hAnsi="Calibri"/>
          <w:b/>
          <w:bCs/>
          <w:sz w:val="21"/>
          <w:szCs w:val="21"/>
        </w:rPr>
        <w:t xml:space="preserve">$750</w:t>
      </w:r>
      <w:r>
        <w:rPr>
          <w:rFonts w:ascii="Calibri" w:cs="Calibri" w:eastAsia="Calibri" w:hAnsi="Calibri"/>
          <w:sz w:val="21"/>
          <w:szCs w:val="21"/>
        </w:rPr>
        <w:t xml:space="preserve"> (Documented — actual spend).</w:t>
      </w:r>
    </w:p>
    <w:p>
      <w:pPr>
        <w:spacing w:after="60" w:before="140"/>
      </w:pPr>
      <w:r>
        <w:rPr>
          <w:rFonts w:ascii="Calibri" w:cs="Calibri" w:eastAsia="Calibri" w:hAnsi="Calibri"/>
          <w:b/>
          <w:bCs/>
          <w:sz w:val="22"/>
          <w:szCs w:val="22"/>
        </w:rPr>
        <w:t xml:space="preserve">Stage 2 — Prototype 2 (the near 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150"/>
        <w:gridCol w:w="2150"/>
        <w:gridCol w:w="2160"/>
      </w:tblGrid>
      <w:tr>
        <w:trPr>
          <w:tblHeader/>
        </w:trPr>
        <w:tc>
          <w:tcPr>
            <w:tcW w:type="dxa" w:w="2900"/>
            <w:shd w:fill="1F4E5F"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Line item</w:t>
            </w:r>
          </w:p>
        </w:tc>
        <w:tc>
          <w:tcPr>
            <w:tcW w:type="dxa" w:w="2150"/>
            <w:shd w:fill="1F4E5F"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Lean</w:t>
            </w:r>
          </w:p>
        </w:tc>
        <w:tc>
          <w:tcPr>
            <w:tcW w:type="dxa" w:w="2150"/>
            <w:shd w:fill="1F4E5F"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Planning</w:t>
            </w:r>
          </w:p>
        </w:tc>
        <w:tc>
          <w:tcPr>
            <w:tcW w:type="dxa" w:w="2160"/>
            <w:shd w:fill="1F4E5F"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Full</w:t>
            </w:r>
          </w:p>
        </w:tc>
      </w:tr>
      <w:tr>
        <w:tc>
          <w:tcPr>
            <w:tcW w:type="dxa" w:w="2900"/>
            <w:shd w:fill="F2F6F7" w:val="clear"/>
            <w:tcMar>
              <w:top w:type="dxa" w:w="50"/>
              <w:left w:type="dxa" w:w="90"/>
              <w:bottom w:type="dxa" w:w="50"/>
              <w:right w:type="dxa" w:w="90"/>
            </w:tcMar>
          </w:tcPr>
          <w:p>
            <w:pPr>
              <w:spacing w:after="0"/>
            </w:pPr>
            <w:r>
              <w:rPr>
                <w:rFonts w:ascii="Calibri" w:cs="Calibri" w:eastAsia="Calibri" w:hAnsi="Calibri"/>
                <w:b/>
                <w:bCs/>
                <w:sz w:val="19"/>
                <w:szCs w:val="19"/>
              </w:rPr>
              <w:t xml:space="preserve">AI usage — ~100 participants × ~100 turns + regression runs (Modeled)</w:t>
            </w:r>
          </w:p>
        </w:tc>
        <w:tc>
          <w:tcPr>
            <w:tcW w:type="dxa" w:w="215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$350</w:t>
            </w:r>
          </w:p>
        </w:tc>
        <w:tc>
          <w:tcPr>
            <w:tcW w:type="dxa" w:w="215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$550</w:t>
            </w:r>
          </w:p>
        </w:tc>
        <w:tc>
          <w:tcPr>
            <w:tcW w:type="dxa" w:w="216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$800</w:t>
            </w:r>
          </w:p>
        </w:tc>
      </w:tr>
      <w:tr>
        <w:tc>
          <w:tcPr>
            <w:tcW w:type="dxa" w:w="2900"/>
            <w:tcMar>
              <w:top w:type="dxa" w:w="50"/>
              <w:left w:type="dxa" w:w="90"/>
              <w:bottom w:type="dxa" w:w="50"/>
              <w:right w:type="dxa" w:w="90"/>
            </w:tcMar>
          </w:tcPr>
          <w:p>
            <w:pPr>
              <w:spacing w:after="0"/>
            </w:pPr>
            <w:r>
              <w:rPr>
                <w:rFonts w:ascii="Calibri" w:cs="Calibri" w:eastAsia="Calibri" w:hAnsi="Calibri"/>
                <w:b/>
                <w:bCs/>
                <w:sz w:val="19"/>
                <w:szCs w:val="19"/>
              </w:rPr>
              <w:t xml:space="preserve">Hosting &amp; deployment — 3 months (Documented: Vercel Pro $20–67/mo, Supabase $0–25/mo, domain)</w:t>
            </w:r>
          </w:p>
        </w:tc>
        <w:tc>
          <w:tcPr>
            <w:tcW w:type="dxa" w:w="215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$75</w:t>
            </w:r>
          </w:p>
        </w:tc>
        <w:tc>
          <w:tcPr>
            <w:tcW w:type="dxa" w:w="215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$180</w:t>
            </w:r>
          </w:p>
        </w:tc>
        <w:tc>
          <w:tcPr>
            <w:tcW w:type="dxa" w:w="216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$300</w:t>
            </w:r>
          </w:p>
        </w:tc>
      </w:tr>
      <w:tr>
        <w:tc>
          <w:tcPr>
            <w:tcW w:type="dxa" w:w="2900"/>
            <w:shd w:fill="F2F6F7" w:val="clear"/>
            <w:tcMar>
              <w:top w:type="dxa" w:w="50"/>
              <w:left w:type="dxa" w:w="90"/>
              <w:bottom w:type="dxa" w:w="50"/>
              <w:right w:type="dxa" w:w="90"/>
            </w:tcMar>
          </w:tcPr>
          <w:p>
            <w:pPr>
              <w:spacing w:after="0"/>
            </w:pPr>
            <w:r>
              <w:rPr>
                <w:rFonts w:ascii="Calibri" w:cs="Calibri" w:eastAsia="Calibri" w:hAnsi="Calibri"/>
                <w:b/>
                <w:bCs/>
                <w:sz w:val="19"/>
                <w:szCs w:val="19"/>
              </w:rPr>
              <w:t xml:space="preserve">Survey &amp; analysis tooling (Google Forms/Docs free; AI analysis passes)</w:t>
            </w:r>
          </w:p>
        </w:tc>
        <w:tc>
          <w:tcPr>
            <w:tcW w:type="dxa" w:w="215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$50</w:t>
            </w:r>
          </w:p>
        </w:tc>
        <w:tc>
          <w:tcPr>
            <w:tcW w:type="dxa" w:w="215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$100</w:t>
            </w:r>
          </w:p>
        </w:tc>
        <w:tc>
          <w:tcPr>
            <w:tcW w:type="dxa" w:w="216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$150</w:t>
            </w:r>
          </w:p>
        </w:tc>
      </w:tr>
      <w:tr>
        <w:tc>
          <w:tcPr>
            <w:tcW w:type="dxa" w:w="2900"/>
            <w:tcMar>
              <w:top w:type="dxa" w:w="50"/>
              <w:left w:type="dxa" w:w="90"/>
              <w:bottom w:type="dxa" w:w="50"/>
              <w:right w:type="dxa" w:w="90"/>
            </w:tcMar>
          </w:tcPr>
          <w:p>
            <w:pPr>
              <w:spacing w:after="0"/>
            </w:pPr>
            <w:r>
              <w:rPr>
                <w:rFonts w:ascii="Calibri" w:cs="Calibri" w:eastAsia="Calibri" w:hAnsi="Calibri"/>
                <w:b/>
                <w:bCs/>
                <w:sz w:val="19"/>
                <w:szCs w:val="19"/>
              </w:rPr>
              <w:t xml:space="preserve">Academic validation, round 1 (Benchmarked — see below)</w:t>
            </w:r>
          </w:p>
        </w:tc>
        <w:tc>
          <w:tcPr>
            <w:tcW w:type="dxa" w:w="215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$2,500</w:t>
            </w:r>
          </w:p>
        </w:tc>
        <w:tc>
          <w:tcPr>
            <w:tcW w:type="dxa" w:w="215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$5,000</w:t>
            </w:r>
          </w:p>
        </w:tc>
        <w:tc>
          <w:tcPr>
            <w:tcW w:type="dxa" w:w="216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$7,000</w:t>
            </w:r>
          </w:p>
        </w:tc>
      </w:tr>
      <w:tr>
        <w:tc>
          <w:tcPr>
            <w:tcW w:type="dxa" w:w="2900"/>
            <w:shd w:fill="F2F6F7" w:val="clear"/>
            <w:tcMar>
              <w:top w:type="dxa" w:w="50"/>
              <w:left w:type="dxa" w:w="90"/>
              <w:bottom w:type="dxa" w:w="50"/>
              <w:right w:type="dxa" w:w="90"/>
            </w:tcMar>
          </w:tcPr>
          <w:p>
            <w:pPr>
              <w:spacing w:after="0"/>
            </w:pPr>
            <w:r>
              <w:rPr>
                <w:rFonts w:ascii="Calibri" w:cs="Calibri" w:eastAsia="Calibri" w:hAnsi="Calibri"/>
                <w:b/>
                <w:bCs/>
                <w:sz w:val="19"/>
                <w:szCs w:val="19"/>
              </w:rPr>
              <w:t xml:space="preserve">Tester appreciation (optional, $15–25 × up to 100)</w:t>
            </w:r>
          </w:p>
        </w:tc>
        <w:tc>
          <w:tcPr>
            <w:tcW w:type="dxa" w:w="215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$0</w:t>
            </w:r>
          </w:p>
        </w:tc>
        <w:tc>
          <w:tcPr>
            <w:tcW w:type="dxa" w:w="215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$750</w:t>
            </w:r>
          </w:p>
        </w:tc>
        <w:tc>
          <w:tcPr>
            <w:tcW w:type="dxa" w:w="216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$1,500</w:t>
            </w:r>
          </w:p>
        </w:tc>
      </w:tr>
      <w:tr>
        <w:tc>
          <w:tcPr>
            <w:tcW w:type="dxa" w:w="2900"/>
            <w:tcMar>
              <w:top w:type="dxa" w:w="50"/>
              <w:left w:type="dxa" w:w="90"/>
              <w:bottom w:type="dxa" w:w="50"/>
              <w:right w:type="dxa" w:w="90"/>
            </w:tcMar>
          </w:tcPr>
          <w:p>
            <w:pPr>
              <w:spacing w:after="0"/>
            </w:pPr>
            <w:r>
              <w:rPr>
                <w:rFonts w:ascii="Calibri" w:cs="Calibri" w:eastAsia="Calibri" w:hAnsi="Calibri"/>
                <w:b/>
                <w:bCs/>
                <w:sz w:val="19"/>
                <w:szCs w:val="19"/>
              </w:rPr>
              <w:t xml:space="preserve">Contingency (15%)</w:t>
            </w:r>
          </w:p>
        </w:tc>
        <w:tc>
          <w:tcPr>
            <w:tcW w:type="dxa" w:w="215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$450</w:t>
            </w:r>
          </w:p>
        </w:tc>
        <w:tc>
          <w:tcPr>
            <w:tcW w:type="dxa" w:w="215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$990</w:t>
            </w:r>
          </w:p>
        </w:tc>
        <w:tc>
          <w:tcPr>
            <w:tcW w:type="dxa" w:w="216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$1,460</w:t>
            </w:r>
          </w:p>
        </w:tc>
      </w:tr>
      <w:tr>
        <w:tc>
          <w:tcPr>
            <w:tcW w:type="dxa" w:w="2900"/>
            <w:shd w:fill="E8EEF0" w:val="clear"/>
            <w:tcMar>
              <w:top w:type="dxa" w:w="50"/>
              <w:left w:type="dxa" w:w="90"/>
              <w:bottom w:type="dxa" w:w="50"/>
              <w:right w:type="dxa" w:w="90"/>
            </w:tcMar>
          </w:tcPr>
          <w:p>
            <w:pPr>
              <w:spacing w:after="0"/>
            </w:pPr>
            <w:r>
              <w:rPr>
                <w:rFonts w:ascii="Calibri" w:cs="Calibri" w:eastAsia="Calibri" w:hAnsi="Calibri"/>
                <w:b/>
                <w:bCs/>
                <w:sz w:val="19"/>
                <w:szCs w:val="19"/>
              </w:rPr>
              <w:t xml:space="preserve">TOTAL — Prototype 2</w:t>
            </w:r>
          </w:p>
        </w:tc>
        <w:tc>
          <w:tcPr>
            <w:tcW w:type="dxa" w:w="2150"/>
            <w:shd w:fill="E8EEF0"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$3,425</w:t>
            </w:r>
          </w:p>
        </w:tc>
        <w:tc>
          <w:tcPr>
            <w:tcW w:type="dxa" w:w="2150"/>
            <w:shd w:fill="E8EEF0"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$7,570</w:t>
            </w:r>
          </w:p>
        </w:tc>
        <w:tc>
          <w:tcPr>
            <w:tcW w:type="dxa" w:w="2160"/>
            <w:shd w:fill="E8EEF0"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$11,210</w:t>
            </w:r>
          </w:p>
        </w:tc>
      </w:tr>
    </w:tbl>
    <w:p>
      <w:pPr>
        <w:spacing w:after="60" w:before="140"/>
      </w:pPr>
      <w:r>
        <w:rPr>
          <w:rFonts w:ascii="Calibri" w:cs="Calibri" w:eastAsia="Calibri" w:hAnsi="Calibri"/>
          <w:b/>
          <w:bCs/>
          <w:sz w:val="22"/>
          <w:szCs w:val="22"/>
        </w:rPr>
        <w:t xml:space="preserve">Academic validation — the straightforward plan</w:t>
      </w:r>
    </w:p>
    <w:p>
      <w:pPr>
        <w:spacing w:after="100"/>
      </w:pPr>
      <w:r>
        <w:rPr>
          <w:rFonts w:ascii="Calibri" w:cs="Calibri" w:eastAsia="Calibri" w:hAnsi="Calibri"/>
          <w:sz w:val="21"/>
          <w:szCs w:val="21"/>
        </w:rPr>
        <w:t xml:space="preserve">A unique scholarly review of each world would cost roughly $2,000–3,500 per world at formal consulting rates — over $20,000 across nine worlds, which this project cannot responsibly spend at prototype stage. The plan instead: </w:t>
      </w:r>
      <w:r>
        <w:rPr>
          <w:rFonts w:ascii="Calibri" w:cs="Calibri" w:eastAsia="Calibri" w:hAnsi="Calibri"/>
          <w:b/>
          <w:bCs/>
          <w:sz w:val="21"/>
          <w:szCs w:val="21"/>
        </w:rPr>
        <w:t xml:space="preserve">one or two reviewers (seminary/church-history PhD) conduct a holistic review</w:t>
      </w:r>
      <w:r>
        <w:rPr>
          <w:rFonts w:ascii="Calibri" w:cs="Calibri" w:eastAsia="Calibri" w:hAnsi="Calibri"/>
          <w:sz w:val="21"/>
          <w:szCs w:val="21"/>
        </w:rPr>
        <w:t xml:space="preserve"> — the construction methodology, the governing constitution, and sampled depth across all live worlds — approximately 25–40 hours of work. Published norms for external academic program review run $500–2,000 for 20–30 hours; because this asks for more depth, we budget </w:t>
      </w:r>
      <w:r>
        <w:rPr>
          <w:rFonts w:ascii="Calibri" w:cs="Calibri" w:eastAsia="Calibri" w:hAnsi="Calibri"/>
          <w:b/>
          <w:bCs/>
          <w:sz w:val="21"/>
          <w:szCs w:val="21"/>
        </w:rPr>
        <w:t xml:space="preserve">$2,000–3,500 per reviewer</w:t>
      </w:r>
      <w:r>
        <w:rPr>
          <w:rFonts w:ascii="Calibri" w:cs="Calibri" w:eastAsia="Calibri" w:hAnsi="Calibri"/>
          <w:sz w:val="21"/>
          <w:szCs w:val="21"/>
        </w:rPr>
        <w:t xml:space="preserve"> ($1,000–1,500 where a reviewer takes it on relationally at a ministry rate). Per-world formal review is deferred to later phases and is a natural grant-funded line. This staged approach is exactly how the project treats its testers: plain about what has and hasn't been vetted yet.</w:t>
      </w:r>
    </w:p>
    <w:p>
      <w:pPr>
        <w:spacing w:after="60" w:before="140"/>
      </w:pPr>
      <w:r>
        <w:rPr>
          <w:rFonts w:ascii="Calibri" w:cs="Calibri" w:eastAsia="Calibri" w:hAnsi="Calibri"/>
          <w:b/>
          <w:bCs/>
          <w:sz w:val="22"/>
          <w:szCs w:val="22"/>
        </w:rPr>
        <w:t xml:space="preserve">Stage 3 — Phase 1 public launch (Year 1)</w:t>
      </w:r>
    </w:p>
    <w:p>
      <w:pPr>
        <w:spacing w:after="100"/>
      </w:pPr>
      <w:r>
        <w:rPr>
          <w:rFonts w:ascii="Calibri" w:cs="Calibri" w:eastAsia="Calibri" w:hAnsi="Calibri"/>
          <w:sz w:val="21"/>
          <w:szCs w:val="21"/>
        </w:rPr>
        <w:t xml:space="preserve">Costs split into two buckets because they behave differently. </w:t>
      </w:r>
      <w:r>
        <w:rPr>
          <w:rFonts w:ascii="Calibri" w:cs="Calibri" w:eastAsia="Calibri" w:hAnsi="Calibri"/>
          <w:b/>
          <w:bCs/>
          <w:sz w:val="21"/>
          <w:szCs w:val="21"/>
        </w:rPr>
        <w:t xml:space="preserve">Bucket A scales with use</w:t>
      </w:r>
      <w:r>
        <w:rPr>
          <w:rFonts w:ascii="Calibri" w:cs="Calibri" w:eastAsia="Calibri" w:hAnsi="Calibri"/>
          <w:sz w:val="21"/>
          <w:szCs w:val="21"/>
        </w:rPr>
        <w:t xml:space="preserve"> (AI inference — needs revenue or sponsorship that scales with use). </w:t>
      </w:r>
      <w:r>
        <w:rPr>
          <w:rFonts w:ascii="Calibri" w:cs="Calibri" w:eastAsia="Calibri" w:hAnsi="Calibri"/>
          <w:b/>
          <w:bCs/>
          <w:sz w:val="21"/>
          <w:szCs w:val="21"/>
        </w:rPr>
        <w:t xml:space="preserve">Bucket B is fixed ministry cost</w:t>
      </w:r>
      <w:r>
        <w:rPr>
          <w:rFonts w:ascii="Calibri" w:cs="Calibri" w:eastAsia="Calibri" w:hAnsi="Calibri"/>
          <w:sz w:val="21"/>
          <w:szCs w:val="21"/>
        </w:rPr>
        <w:t xml:space="preserve"> (audit, review, hosting — suited to gifts, partnerships, and grants).</w:t>
      </w:r>
    </w:p>
    <w:p>
      <w:pPr>
        <w:spacing w:after="100"/>
      </w:pPr>
      <w:r>
        <w:rPr>
          <w:rFonts w:ascii="Calibri" w:cs="Calibri" w:eastAsia="Calibri" w:hAnsi="Calibri"/>
          <w:b/>
          <w:bCs/>
          <w:sz w:val="21"/>
          <w:szCs w:val="21"/>
        </w:rPr>
        <w:t xml:space="preserve">Bucket A — usage cost per active user (Modeled from Documented Bedrock pricing, text-first, prompt caching on): </w:t>
      </w:r>
      <w:r>
        <w:rPr>
          <w:rFonts w:ascii="Calibri" w:cs="Calibri" w:eastAsia="Calibri" w:hAnsi="Calibri"/>
          <w:sz w:val="21"/>
          <w:szCs w:val="21"/>
        </w:rPr>
        <w:t xml:space="preserve">about </w:t>
      </w:r>
      <w:r>
        <w:rPr>
          <w:rFonts w:ascii="Calibri" w:cs="Calibri" w:eastAsia="Calibri" w:hAnsi="Calibri"/>
          <w:b/>
          <w:bCs/>
          <w:sz w:val="21"/>
          <w:szCs w:val="21"/>
        </w:rPr>
        <w:t xml:space="preserve">$1.02 per user per month — roughly $12 per user per year</w:t>
      </w:r>
      <w:r>
        <w:rPr>
          <w:rFonts w:ascii="Calibri" w:cs="Calibri" w:eastAsia="Calibri" w:hAnsi="Calibri"/>
          <w:sz w:val="21"/>
          <w:szCs w:val="21"/>
        </w:rPr>
        <w:t xml:space="preserve">. Without caching discipline it would be ~$24; adding voice adds ~$19–58 per user per year, which is why voice waits.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150"/>
        <w:gridCol w:w="2150"/>
        <w:gridCol w:w="2160"/>
      </w:tblGrid>
      <w:tr>
        <w:trPr>
          <w:tblHeader/>
        </w:trPr>
        <w:tc>
          <w:tcPr>
            <w:tcW w:type="dxa" w:w="2900"/>
            <w:shd w:fill="1F4E5F"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Bucket A — adoption scenario</w:t>
            </w:r>
          </w:p>
        </w:tc>
        <w:tc>
          <w:tcPr>
            <w:tcW w:type="dxa" w:w="2150"/>
            <w:shd w:fill="1F4E5F"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Active users</w:t>
            </w:r>
          </w:p>
        </w:tc>
        <w:tc>
          <w:tcPr>
            <w:tcW w:type="dxa" w:w="2150"/>
            <w:shd w:fill="1F4E5F"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Year 1 (optimized)</w:t>
            </w:r>
          </w:p>
        </w:tc>
        <w:tc>
          <w:tcPr>
            <w:tcW w:type="dxa" w:w="2160"/>
            <w:shd w:fill="1F4E5F"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Year 1 (upper bound)</w:t>
            </w:r>
          </w:p>
        </w:tc>
      </w:tr>
      <w:tr>
        <w:tc>
          <w:tcPr>
            <w:tcW w:type="dxa" w:w="2900"/>
            <w:shd w:fill="F2F6F7" w:val="clear"/>
            <w:tcMar>
              <w:top w:type="dxa" w:w="50"/>
              <w:left w:type="dxa" w:w="90"/>
              <w:bottom w:type="dxa" w:w="50"/>
              <w:right w:type="dxa" w:w="90"/>
            </w:tcMar>
          </w:tcPr>
          <w:p>
            <w:pPr>
              <w:spacing w:after="0"/>
            </w:pPr>
            <w:r>
              <w:rPr>
                <w:rFonts w:ascii="Calibri" w:cs="Calibri" w:eastAsia="Calibri" w:hAnsi="Calibri"/>
                <w:b/>
                <w:bCs/>
                <w:sz w:val="19"/>
                <w:szCs w:val="19"/>
              </w:rPr>
              <w:t xml:space="preserve">Minimum — organic growth only</w:t>
            </w:r>
          </w:p>
        </w:tc>
        <w:tc>
          <w:tcPr>
            <w:tcW w:type="dxa" w:w="215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250</w:t>
            </w:r>
          </w:p>
        </w:tc>
        <w:tc>
          <w:tcPr>
            <w:tcW w:type="dxa" w:w="215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$3,100</w:t>
            </w:r>
          </w:p>
        </w:tc>
        <w:tc>
          <w:tcPr>
            <w:tcW w:type="dxa" w:w="216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$5,900</w:t>
            </w:r>
          </w:p>
        </w:tc>
      </w:tr>
      <w:tr>
        <w:tc>
          <w:tcPr>
            <w:tcW w:type="dxa" w:w="2900"/>
            <w:tcMar>
              <w:top w:type="dxa" w:w="50"/>
              <w:left w:type="dxa" w:w="90"/>
              <w:bottom w:type="dxa" w:w="50"/>
              <w:right w:type="dxa" w:w="90"/>
            </w:tcMar>
          </w:tcPr>
          <w:p>
            <w:pPr>
              <w:spacing w:after="0"/>
            </w:pPr>
            <w:r>
              <w:rPr>
                <w:rFonts w:ascii="Calibri" w:cs="Calibri" w:eastAsia="Calibri" w:hAnsi="Calibri"/>
                <w:b/>
                <w:bCs/>
                <w:sz w:val="19"/>
                <w:szCs w:val="19"/>
              </w:rPr>
              <w:t xml:space="preserve">Midpoint — church partnerships form</w:t>
            </w:r>
          </w:p>
        </w:tc>
        <w:tc>
          <w:tcPr>
            <w:tcW w:type="dxa" w:w="215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1,500</w:t>
            </w:r>
          </w:p>
        </w:tc>
        <w:tc>
          <w:tcPr>
            <w:tcW w:type="dxa" w:w="215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$18,400</w:t>
            </w:r>
          </w:p>
        </w:tc>
        <w:tc>
          <w:tcPr>
            <w:tcW w:type="dxa" w:w="216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$35,400</w:t>
            </w:r>
          </w:p>
        </w:tc>
      </w:tr>
      <w:tr>
        <w:tc>
          <w:tcPr>
            <w:tcW w:type="dxa" w:w="2900"/>
            <w:shd w:fill="F2F6F7" w:val="clear"/>
            <w:tcMar>
              <w:top w:type="dxa" w:w="50"/>
              <w:left w:type="dxa" w:w="90"/>
              <w:bottom w:type="dxa" w:w="50"/>
              <w:right w:type="dxa" w:w="90"/>
            </w:tcMar>
          </w:tcPr>
          <w:p>
            <w:pPr>
              <w:spacing w:after="0"/>
            </w:pPr>
            <w:r>
              <w:rPr>
                <w:rFonts w:ascii="Calibri" w:cs="Calibri" w:eastAsia="Calibri" w:hAnsi="Calibri"/>
                <w:b/>
                <w:bCs/>
                <w:sz w:val="19"/>
                <w:szCs w:val="19"/>
              </w:rPr>
              <w:t xml:space="preserve">Maximum — breakout adoption</w:t>
            </w:r>
          </w:p>
        </w:tc>
        <w:tc>
          <w:tcPr>
            <w:tcW w:type="dxa" w:w="215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10,000</w:t>
            </w:r>
          </w:p>
        </w:tc>
        <w:tc>
          <w:tcPr>
            <w:tcW w:type="dxa" w:w="215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$123,000</w:t>
            </w:r>
          </w:p>
        </w:tc>
        <w:tc>
          <w:tcPr>
            <w:tcW w:type="dxa" w:w="216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$236,000</w:t>
            </w:r>
          </w:p>
        </w:tc>
      </w:tr>
    </w:tbl>
    <w:p>
      <w:pPr>
        <w:spacing w:after="100"/>
      </w:pPr>
      <w:r>
        <w:rPr>
          <w:rFonts w:ascii="Calibri" w:cs="Calibri" w:eastAsia="Calibri" w:hAnsi="Calibri"/>
          <w:i/>
          <w:iCs/>
          <w:sz w:val="20"/>
          <w:szCs w:val="20"/>
        </w:rPr>
        <w:t xml:space="preserve">The maximum scenario is a success problem: it only occurs alongside the adoption that activates revenue (Track B) or major funding (Track A), and per-user throttles on the free tier cap exposure by design. It is shown because transparent budgets show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150"/>
        <w:gridCol w:w="2150"/>
        <w:gridCol w:w="2160"/>
      </w:tblGrid>
      <w:tr>
        <w:trPr>
          <w:tblHeader/>
        </w:trPr>
        <w:tc>
          <w:tcPr>
            <w:tcW w:type="dxa" w:w="2900"/>
            <w:shd w:fill="1F4E5F"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Bucket B — fixed (Year 1)</w:t>
            </w:r>
          </w:p>
        </w:tc>
        <w:tc>
          <w:tcPr>
            <w:tcW w:type="dxa" w:w="2150"/>
            <w:shd w:fill="1F4E5F"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Lean</w:t>
            </w:r>
          </w:p>
        </w:tc>
        <w:tc>
          <w:tcPr>
            <w:tcW w:type="dxa" w:w="2150"/>
            <w:shd w:fill="1F4E5F"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Planning</w:t>
            </w:r>
          </w:p>
        </w:tc>
        <w:tc>
          <w:tcPr>
            <w:tcW w:type="dxa" w:w="2160"/>
            <w:shd w:fill="1F4E5F"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Note</w:t>
            </w:r>
          </w:p>
        </w:tc>
      </w:tr>
      <w:tr>
        <w:tc>
          <w:tcPr>
            <w:tcW w:type="dxa" w:w="2900"/>
            <w:shd w:fill="F2F6F7" w:val="clear"/>
            <w:tcMar>
              <w:top w:type="dxa" w:w="50"/>
              <w:left w:type="dxa" w:w="90"/>
              <w:bottom w:type="dxa" w:w="50"/>
              <w:right w:type="dxa" w:w="90"/>
            </w:tcMar>
          </w:tcPr>
          <w:p>
            <w:pPr>
              <w:spacing w:after="0"/>
            </w:pPr>
            <w:r>
              <w:rPr>
                <w:rFonts w:ascii="Calibri" w:cs="Calibri" w:eastAsia="Calibri" w:hAnsi="Calibri"/>
                <w:b/>
                <w:bCs/>
                <w:sz w:val="19"/>
                <w:szCs w:val="19"/>
              </w:rPr>
              <w:t xml:space="preserve">Independent pre-public audit (Benchmarked: 60 hrs × $125–200)</w:t>
            </w:r>
          </w:p>
        </w:tc>
        <w:tc>
          <w:tcPr>
            <w:tcW w:type="dxa" w:w="215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$7,500</w:t>
            </w:r>
          </w:p>
        </w:tc>
        <w:tc>
          <w:tcPr>
            <w:tcW w:type="dxa" w:w="215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$12,000</w:t>
            </w:r>
          </w:p>
        </w:tc>
        <w:tc>
          <w:tcPr>
            <w:tcW w:type="dxa" w:w="216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Non-negotiable; never self-performed</w:t>
            </w:r>
          </w:p>
        </w:tc>
      </w:tr>
      <w:tr>
        <w:tc>
          <w:tcPr>
            <w:tcW w:type="dxa" w:w="2900"/>
            <w:tcMar>
              <w:top w:type="dxa" w:w="50"/>
              <w:left w:type="dxa" w:w="90"/>
              <w:bottom w:type="dxa" w:w="50"/>
              <w:right w:type="dxa" w:w="90"/>
            </w:tcMar>
          </w:tcPr>
          <w:p>
            <w:pPr>
              <w:spacing w:after="0"/>
            </w:pPr>
            <w:r>
              <w:rPr>
                <w:rFonts w:ascii="Calibri" w:cs="Calibri" w:eastAsia="Calibri" w:hAnsi="Calibri"/>
                <w:b/>
                <w:bCs/>
                <w:sz w:val="19"/>
                <w:szCs w:val="19"/>
              </w:rPr>
              <w:t xml:space="preserve">Expert consult buffer for DIY build (Benchmarked: 10–20 hrs)</w:t>
            </w:r>
          </w:p>
        </w:tc>
        <w:tc>
          <w:tcPr>
            <w:tcW w:type="dxa" w:w="215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$1,250</w:t>
            </w:r>
          </w:p>
        </w:tc>
        <w:tc>
          <w:tcPr>
            <w:tcW w:type="dxa" w:w="215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$4,000</w:t>
            </w:r>
          </w:p>
        </w:tc>
        <w:tc>
          <w:tcPr>
            <w:tcW w:type="dxa" w:w="216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Safety valve, not a plan</w:t>
            </w:r>
          </w:p>
        </w:tc>
      </w:tr>
      <w:tr>
        <w:tc>
          <w:tcPr>
            <w:tcW w:type="dxa" w:w="2900"/>
            <w:shd w:fill="F2F6F7" w:val="clear"/>
            <w:tcMar>
              <w:top w:type="dxa" w:w="50"/>
              <w:left w:type="dxa" w:w="90"/>
              <w:bottom w:type="dxa" w:w="50"/>
              <w:right w:type="dxa" w:w="90"/>
            </w:tcMar>
          </w:tcPr>
          <w:p>
            <w:pPr>
              <w:spacing w:after="0"/>
            </w:pPr>
            <w:r>
              <w:rPr>
                <w:rFonts w:ascii="Calibri" w:cs="Calibri" w:eastAsia="Calibri" w:hAnsi="Calibri"/>
                <w:b/>
                <w:bCs/>
                <w:sz w:val="19"/>
                <w:szCs w:val="19"/>
              </w:rPr>
              <w:t xml:space="preserve">Build tooling subscriptions (Documented: AI coding, dev hosting, DB)</w:t>
            </w:r>
          </w:p>
        </w:tc>
        <w:tc>
          <w:tcPr>
            <w:tcW w:type="dxa" w:w="215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$480</w:t>
            </w:r>
          </w:p>
        </w:tc>
        <w:tc>
          <w:tcPr>
            <w:tcW w:type="dxa" w:w="215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$2,300</w:t>
            </w:r>
          </w:p>
        </w:tc>
        <w:tc>
          <w:tcPr>
            <w:tcW w:type="dxa" w:w="216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Founder builds; labor cost $0 cash</w:t>
            </w:r>
          </w:p>
        </w:tc>
      </w:tr>
      <w:tr>
        <w:tc>
          <w:tcPr>
            <w:tcW w:type="dxa" w:w="2900"/>
            <w:tcMar>
              <w:top w:type="dxa" w:w="50"/>
              <w:left w:type="dxa" w:w="90"/>
              <w:bottom w:type="dxa" w:w="50"/>
              <w:right w:type="dxa" w:w="90"/>
            </w:tcMar>
          </w:tcPr>
          <w:p>
            <w:pPr>
              <w:spacing w:after="0"/>
            </w:pPr>
            <w:r>
              <w:rPr>
                <w:rFonts w:ascii="Calibri" w:cs="Calibri" w:eastAsia="Calibri" w:hAnsi="Calibri"/>
                <w:b/>
                <w:bCs/>
                <w:sz w:val="19"/>
                <w:szCs w:val="19"/>
              </w:rPr>
              <w:t xml:space="preserve">Production hosting (Documented ranges)</w:t>
            </w:r>
          </w:p>
        </w:tc>
        <w:tc>
          <w:tcPr>
            <w:tcW w:type="dxa" w:w="215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$1,200</w:t>
            </w:r>
          </w:p>
        </w:tc>
        <w:tc>
          <w:tcPr>
            <w:tcW w:type="dxa" w:w="215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$6,000</w:t>
            </w:r>
          </w:p>
        </w:tc>
        <w:tc>
          <w:tcPr>
            <w:tcW w:type="dxa" w:w="216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Platform finalized at P2</w:t>
            </w:r>
          </w:p>
        </w:tc>
      </w:tr>
      <w:tr>
        <w:tc>
          <w:tcPr>
            <w:tcW w:type="dxa" w:w="2900"/>
            <w:shd w:fill="F2F6F7" w:val="clear"/>
            <w:tcMar>
              <w:top w:type="dxa" w:w="50"/>
              <w:left w:type="dxa" w:w="90"/>
              <w:bottom w:type="dxa" w:w="50"/>
              <w:right w:type="dxa" w:w="90"/>
            </w:tcMar>
          </w:tcPr>
          <w:p>
            <w:pPr>
              <w:spacing w:after="0"/>
            </w:pPr>
            <w:r>
              <w:rPr>
                <w:rFonts w:ascii="Calibri" w:cs="Calibri" w:eastAsia="Calibri" w:hAnsi="Calibri"/>
                <w:b/>
                <w:bCs/>
                <w:sz w:val="19"/>
                <w:szCs w:val="19"/>
              </w:rPr>
              <w:t xml:space="preserve">Academic validation, round 2 (Benchmarked)</w:t>
            </w:r>
          </w:p>
        </w:tc>
        <w:tc>
          <w:tcPr>
            <w:tcW w:type="dxa" w:w="215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$3,000</w:t>
            </w:r>
          </w:p>
        </w:tc>
        <w:tc>
          <w:tcPr>
            <w:tcW w:type="dxa" w:w="215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$7,000</w:t>
            </w:r>
          </w:p>
        </w:tc>
        <w:tc>
          <w:tcPr>
            <w:tcW w:type="dxa" w:w="216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Deepen coverage; begin per-world reviews</w:t>
            </w:r>
          </w:p>
        </w:tc>
      </w:tr>
      <w:tr>
        <w:tc>
          <w:tcPr>
            <w:tcW w:type="dxa" w:w="2900"/>
            <w:tcMar>
              <w:top w:type="dxa" w:w="50"/>
              <w:left w:type="dxa" w:w="90"/>
              <w:bottom w:type="dxa" w:w="50"/>
              <w:right w:type="dxa" w:w="90"/>
            </w:tcMar>
          </w:tcPr>
          <w:p>
            <w:pPr>
              <w:spacing w:after="0"/>
            </w:pPr>
            <w:r>
              <w:rPr>
                <w:rFonts w:ascii="Calibri" w:cs="Calibri" w:eastAsia="Calibri" w:hAnsi="Calibri"/>
                <w:b/>
                <w:bCs/>
                <w:sz w:val="19"/>
                <w:szCs w:val="19"/>
              </w:rPr>
              <w:t xml:space="preserve">Legal/entity (contingent: filing or fiscal-sponsor fee)</w:t>
            </w:r>
          </w:p>
        </w:tc>
        <w:tc>
          <w:tcPr>
            <w:tcW w:type="dxa" w:w="215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$0</w:t>
            </w:r>
          </w:p>
        </w:tc>
        <w:tc>
          <w:tcPr>
            <w:tcW w:type="dxa" w:w="215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$1,500</w:t>
            </w:r>
          </w:p>
        </w:tc>
        <w:tc>
          <w:tcPr>
            <w:tcW w:type="dxa" w:w="216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Per the org-structure decision</w:t>
            </w:r>
          </w:p>
        </w:tc>
      </w:tr>
      <w:tr>
        <w:tc>
          <w:tcPr>
            <w:tcW w:type="dxa" w:w="2900"/>
            <w:shd w:fill="F2F6F7" w:val="clear"/>
            <w:tcMar>
              <w:top w:type="dxa" w:w="50"/>
              <w:left w:type="dxa" w:w="90"/>
              <w:bottom w:type="dxa" w:w="50"/>
              <w:right w:type="dxa" w:w="90"/>
            </w:tcMar>
          </w:tcPr>
          <w:p>
            <w:pPr>
              <w:spacing w:after="0"/>
            </w:pPr>
            <w:r>
              <w:rPr>
                <w:rFonts w:ascii="Calibri" w:cs="Calibri" w:eastAsia="Calibri" w:hAnsi="Calibri"/>
                <w:b/>
                <w:bCs/>
                <w:sz w:val="19"/>
                <w:szCs w:val="19"/>
              </w:rPr>
              <w:t xml:space="preserve">Contingency (12%)</w:t>
            </w:r>
          </w:p>
        </w:tc>
        <w:tc>
          <w:tcPr>
            <w:tcW w:type="dxa" w:w="215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$1,610</w:t>
            </w:r>
          </w:p>
        </w:tc>
        <w:tc>
          <w:tcPr>
            <w:tcW w:type="dxa" w:w="215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$3,940</w:t>
            </w:r>
          </w:p>
        </w:tc>
        <w:tc>
          <w:tcPr>
            <w:tcW w:type="dxa" w:w="216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
            </w:r>
          </w:p>
        </w:tc>
      </w:tr>
      <w:tr>
        <w:tc>
          <w:tcPr>
            <w:tcW w:type="dxa" w:w="2900"/>
            <w:shd w:fill="E8EEF0" w:val="clear"/>
            <w:tcMar>
              <w:top w:type="dxa" w:w="50"/>
              <w:left w:type="dxa" w:w="90"/>
              <w:bottom w:type="dxa" w:w="50"/>
              <w:right w:type="dxa" w:w="90"/>
            </w:tcMar>
          </w:tcPr>
          <w:p>
            <w:pPr>
              <w:spacing w:after="0"/>
            </w:pPr>
            <w:r>
              <w:rPr>
                <w:rFonts w:ascii="Calibri" w:cs="Calibri" w:eastAsia="Calibri" w:hAnsi="Calibri"/>
                <w:b/>
                <w:bCs/>
                <w:sz w:val="19"/>
                <w:szCs w:val="19"/>
              </w:rPr>
              <w:t xml:space="preserve">Bucket B subtotal</w:t>
            </w:r>
          </w:p>
        </w:tc>
        <w:tc>
          <w:tcPr>
            <w:tcW w:type="dxa" w:w="2150"/>
            <w:shd w:fill="E8EEF0"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$15,040</w:t>
            </w:r>
          </w:p>
        </w:tc>
        <w:tc>
          <w:tcPr>
            <w:tcW w:type="dxa" w:w="2150"/>
            <w:shd w:fill="E8EEF0"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$36,740</w:t>
            </w:r>
          </w:p>
        </w:tc>
        <w:tc>
          <w:tcPr>
            <w:tcW w:type="dxa" w:w="2160"/>
            <w:shd w:fill="E8EEF0"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4E5F"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Phase 1 Year 1 — total scenario</w:t>
            </w:r>
          </w:p>
        </w:tc>
        <w:tc>
          <w:tcPr>
            <w:tcW w:type="dxa" w:w="3120"/>
            <w:shd w:fill="1F4E5F"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Bucket A + B</w:t>
            </w:r>
          </w:p>
        </w:tc>
        <w:tc>
          <w:tcPr>
            <w:tcW w:type="dxa" w:w="3120"/>
            <w:shd w:fill="1F4E5F"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What it assumes</w:t>
            </w:r>
          </w:p>
        </w:tc>
      </w:tr>
      <w:tr>
        <w:tc>
          <w:tcPr>
            <w:tcW w:type="dxa" w:w="3120"/>
            <w:shd w:fill="F2F6F7" w:val="clear"/>
            <w:tcMar>
              <w:top w:type="dxa" w:w="50"/>
              <w:left w:type="dxa" w:w="90"/>
              <w:bottom w:type="dxa" w:w="50"/>
              <w:right w:type="dxa" w:w="90"/>
            </w:tcMar>
          </w:tcPr>
          <w:p>
            <w:pPr>
              <w:spacing w:after="0"/>
            </w:pPr>
            <w:r>
              <w:rPr>
                <w:rFonts w:ascii="Calibri" w:cs="Calibri" w:eastAsia="Calibri" w:hAnsi="Calibri"/>
                <w:b/>
                <w:bCs/>
                <w:sz w:val="19"/>
                <w:szCs w:val="19"/>
              </w:rPr>
              <w:t xml:space="preserve">Minimum</w:t>
            </w:r>
          </w:p>
        </w:tc>
        <w:tc>
          <w:tcPr>
            <w:tcW w:type="dxa" w:w="312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$18,100</w:t>
            </w:r>
          </w:p>
        </w:tc>
        <w:tc>
          <w:tcPr>
            <w:tcW w:type="dxa" w:w="312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250 users, lean fixed costs, optimized usage</w:t>
            </w:r>
          </w:p>
        </w:tc>
      </w:tr>
      <w:tr>
        <w:tc>
          <w:tcPr>
            <w:tcW w:type="dxa" w:w="3120"/>
            <w:tcMar>
              <w:top w:type="dxa" w:w="50"/>
              <w:left w:type="dxa" w:w="90"/>
              <w:bottom w:type="dxa" w:w="50"/>
              <w:right w:type="dxa" w:w="90"/>
            </w:tcMar>
          </w:tcPr>
          <w:p>
            <w:pPr>
              <w:spacing w:after="0"/>
            </w:pPr>
            <w:r>
              <w:rPr>
                <w:rFonts w:ascii="Calibri" w:cs="Calibri" w:eastAsia="Calibri" w:hAnsi="Calibri"/>
                <w:b/>
                <w:bCs/>
                <w:sz w:val="19"/>
                <w:szCs w:val="19"/>
              </w:rPr>
              <w:t xml:space="preserve">Midpoint (planning figure)</w:t>
            </w:r>
          </w:p>
        </w:tc>
        <w:tc>
          <w:tcPr>
            <w:tcW w:type="dxa" w:w="312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$55,100</w:t>
            </w:r>
          </w:p>
        </w:tc>
        <w:tc>
          <w:tcPr>
            <w:tcW w:type="dxa" w:w="312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1,500 users, planning-level fixed costs</w:t>
            </w:r>
          </w:p>
        </w:tc>
      </w:tr>
      <w:tr>
        <w:tc>
          <w:tcPr>
            <w:tcW w:type="dxa" w:w="3120"/>
            <w:shd w:fill="F2F6F7" w:val="clear"/>
            <w:tcMar>
              <w:top w:type="dxa" w:w="50"/>
              <w:left w:type="dxa" w:w="90"/>
              <w:bottom w:type="dxa" w:w="50"/>
              <w:right w:type="dxa" w:w="90"/>
            </w:tcMar>
          </w:tcPr>
          <w:p>
            <w:pPr>
              <w:spacing w:after="0"/>
            </w:pPr>
            <w:r>
              <w:rPr>
                <w:rFonts w:ascii="Calibri" w:cs="Calibri" w:eastAsia="Calibri" w:hAnsi="Calibri"/>
                <w:b/>
                <w:bCs/>
                <w:sz w:val="19"/>
                <w:szCs w:val="19"/>
              </w:rPr>
              <w:t xml:space="preserve">Maximum</w:t>
            </w:r>
          </w:p>
        </w:tc>
        <w:tc>
          <w:tcPr>
            <w:tcW w:type="dxa" w:w="312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$159,700+</w:t>
            </w:r>
          </w:p>
        </w:tc>
        <w:tc>
          <w:tcPr>
            <w:tcW w:type="dxa" w:w="312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10,000 users — arrives only with the revenue/funding to meet it</w:t>
            </w:r>
          </w:p>
        </w:tc>
      </w:tr>
    </w:tbl>
    <w:p>
      <w:pPr>
        <w:spacing w:after="60" w:before="140"/>
      </w:pPr>
      <w:r>
        <w:rPr>
          <w:rFonts w:ascii="Calibri" w:cs="Calibri" w:eastAsia="Calibri" w:hAnsi="Calibri"/>
          <w:b/>
          <w:bCs/>
          <w:sz w:val="22"/>
          <w:szCs w:val="22"/>
        </w:rPr>
        <w:t xml:space="preserve">Growth trends — three-year view (Modeled)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4E5F"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Trajectory</w:t>
            </w:r>
          </w:p>
        </w:tc>
        <w:tc>
          <w:tcPr>
            <w:tcW w:type="dxa" w:w="2340"/>
            <w:shd w:fill="1F4E5F"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End of Year 1</w:t>
            </w:r>
          </w:p>
        </w:tc>
        <w:tc>
          <w:tcPr>
            <w:tcW w:type="dxa" w:w="2340"/>
            <w:shd w:fill="1F4E5F"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End of Year 2</w:t>
            </w:r>
          </w:p>
        </w:tc>
        <w:tc>
          <w:tcPr>
            <w:tcW w:type="dxa" w:w="2340"/>
            <w:shd w:fill="1F4E5F"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End of Year 3</w:t>
            </w:r>
          </w:p>
        </w:tc>
      </w:tr>
      <w:tr>
        <w:tc>
          <w:tcPr>
            <w:tcW w:type="dxa" w:w="2340"/>
            <w:shd w:fill="F2F6F7" w:val="clear"/>
            <w:tcMar>
              <w:top w:type="dxa" w:w="50"/>
              <w:left w:type="dxa" w:w="90"/>
              <w:bottom w:type="dxa" w:w="50"/>
              <w:right w:type="dxa" w:w="90"/>
            </w:tcMar>
          </w:tcPr>
          <w:p>
            <w:pPr>
              <w:spacing w:after="0"/>
            </w:pPr>
            <w:r>
              <w:rPr>
                <w:rFonts w:ascii="Calibri" w:cs="Calibri" w:eastAsia="Calibri" w:hAnsi="Calibri"/>
                <w:b/>
                <w:bCs/>
                <w:sz w:val="19"/>
                <w:szCs w:val="19"/>
              </w:rPr>
              <w:t xml:space="preserve">Minimum (organic, word-of-mouth only)</w:t>
            </w:r>
          </w:p>
        </w:tc>
        <w:tc>
          <w:tcPr>
            <w:tcW w:type="dxa" w:w="234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250 users · $18K cost</w:t>
            </w:r>
          </w:p>
        </w:tc>
        <w:tc>
          <w:tcPr>
            <w:tcW w:type="dxa" w:w="234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600 users · $22K</w:t>
            </w:r>
          </w:p>
        </w:tc>
        <w:tc>
          <w:tcPr>
            <w:tcW w:type="dxa" w:w="234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1,200 users · $28K</w:t>
            </w:r>
          </w:p>
        </w:tc>
      </w:tr>
      <w:tr>
        <w:tc>
          <w:tcPr>
            <w:tcW w:type="dxa" w:w="2340"/>
            <w:tcMar>
              <w:top w:type="dxa" w:w="50"/>
              <w:left w:type="dxa" w:w="90"/>
              <w:bottom w:type="dxa" w:w="50"/>
              <w:right w:type="dxa" w:w="90"/>
            </w:tcMar>
          </w:tcPr>
          <w:p>
            <w:pPr>
              <w:spacing w:after="0"/>
            </w:pPr>
            <w:r>
              <w:rPr>
                <w:rFonts w:ascii="Calibri" w:cs="Calibri" w:eastAsia="Calibri" w:hAnsi="Calibri"/>
                <w:b/>
                <w:bCs/>
                <w:sz w:val="19"/>
                <w:szCs w:val="19"/>
              </w:rPr>
              <w:t xml:space="preserve">Midpoint (10–20 church/academic partners/yr)</w:t>
            </w:r>
          </w:p>
        </w:tc>
        <w:tc>
          <w:tcPr>
            <w:tcW w:type="dxa" w:w="234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1,500 users · $55K</w:t>
            </w:r>
          </w:p>
        </w:tc>
        <w:tc>
          <w:tcPr>
            <w:tcW w:type="dxa" w:w="234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4,000 users · $75K</w:t>
            </w:r>
          </w:p>
        </w:tc>
        <w:tc>
          <w:tcPr>
            <w:tcW w:type="dxa" w:w="234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8,000 users · $105K</w:t>
            </w:r>
          </w:p>
        </w:tc>
      </w:tr>
      <w:tr>
        <w:tc>
          <w:tcPr>
            <w:tcW w:type="dxa" w:w="2340"/>
            <w:shd w:fill="F2F6F7" w:val="clear"/>
            <w:tcMar>
              <w:top w:type="dxa" w:w="50"/>
              <w:left w:type="dxa" w:w="90"/>
              <w:bottom w:type="dxa" w:w="50"/>
              <w:right w:type="dxa" w:w="90"/>
            </w:tcMar>
          </w:tcPr>
          <w:p>
            <w:pPr>
              <w:spacing w:after="0"/>
            </w:pPr>
            <w:r>
              <w:rPr>
                <w:rFonts w:ascii="Calibri" w:cs="Calibri" w:eastAsia="Calibri" w:hAnsi="Calibri"/>
                <w:b/>
                <w:bCs/>
                <w:sz w:val="19"/>
                <w:szCs w:val="19"/>
              </w:rPr>
              <w:t xml:space="preserve">Maximum (press/viral moment + partners)</w:t>
            </w:r>
          </w:p>
        </w:tc>
        <w:tc>
          <w:tcPr>
            <w:tcW w:type="dxa" w:w="234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10,000 users · $160K</w:t>
            </w:r>
          </w:p>
        </w:tc>
        <w:tc>
          <w:tcPr>
            <w:tcW w:type="dxa" w:w="234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25,000 · $340K</w:t>
            </w:r>
          </w:p>
        </w:tc>
        <w:tc>
          <w:tcPr>
            <w:tcW w:type="dxa" w:w="234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50,000 · $630K</w:t>
            </w:r>
          </w:p>
        </w:tc>
      </w:tr>
    </w:tbl>
    <w:p>
      <w:pPr>
        <w:spacing w:after="100"/>
      </w:pPr>
      <w:r>
        <w:rPr>
          <w:rFonts w:ascii="Calibri" w:cs="Calibri" w:eastAsia="Calibri" w:hAnsi="Calibri"/>
          <w:sz w:val="20"/>
          <w:szCs w:val="20"/>
        </w:rPr>
        <w:t xml:space="preserve">Assumptions: word-of-mouth coefficient from Prototype 1's referral test; church/academic partnerships add 75–150 active users each; Year 2–3 fixed costs grow slower than usage (audit is one-time; world construction marginal cost is small). The midpoint line is the planning basis for both funding tracks below.</w:t>
      </w:r>
    </w:p>
    <w:p>
      <w:pPr>
        <w:spacing w:after="60" w:before="140"/>
      </w:pPr>
      <w:r>
        <w:rPr>
          <w:rFonts w:ascii="Calibri" w:cs="Calibri" w:eastAsia="Calibri" w:hAnsi="Calibri"/>
          <w:b/>
          <w:bCs/>
          <w:sz w:val="22"/>
          <w:szCs w:val="22"/>
        </w:rPr>
        <w:t xml:space="preserve">The cost curve runs in two directions — and we plan for both</w:t>
      </w:r>
    </w:p>
    <w:p>
      <w:pPr>
        <w:spacing w:after="100"/>
      </w:pPr>
      <w:r>
        <w:rPr>
          <w:rFonts w:ascii="Calibri" w:cs="Calibri" w:eastAsia="Calibri" w:hAnsi="Calibri"/>
          <w:sz w:val="21"/>
          <w:szCs w:val="21"/>
        </w:rPr>
        <w:t xml:space="preserve">Per-user cost is not a fixed number; it is the meeting point of two curves. </w:t>
      </w:r>
      <w:r>
        <w:rPr>
          <w:rFonts w:ascii="Calibri" w:cs="Calibri" w:eastAsia="Calibri" w:hAnsi="Calibri"/>
          <w:b/>
          <w:bCs/>
          <w:sz w:val="21"/>
          <w:szCs w:val="21"/>
        </w:rPr>
        <w:t xml:space="preserve">Engineering pushes it down.</w:t>
      </w:r>
      <w:r>
        <w:rPr>
          <w:rFonts w:ascii="Calibri" w:cs="Calibri" w:eastAsia="Calibri" w:hAnsi="Calibri"/>
          <w:sz w:val="21"/>
          <w:szCs w:val="21"/>
        </w:rPr>
        <w:t xml:space="preserve"> A staged efficiency ladder — conversation-prefix caching and retrieval gating (Phase 1), model routing and zero-token static transparency panels (Phase 1–2), and ultimately distilling each validated Representative into a smaller dedicated model with frontier-model escalation for the hardest turns (Phase 2+) — takes the cost of today's service from $17.77 per user per year toward $3–4.50 at scale. The project's adversarial validation battery is what makes the deepest savings safe: every cheaper model must prove it still holds its voice, cites its sources, and confesses its limits before any participant meets it. We distill only validated voices, never drafts.</w:t>
      </w:r>
    </w:p>
    <w:p>
      <w:pPr>
        <w:spacing w:after="100"/>
      </w:pPr>
      <w:r>
        <w:rPr>
          <w:rFonts w:ascii="Calibri" w:cs="Calibri" w:eastAsia="Calibri" w:hAnsi="Calibri"/>
          <w:b/>
          <w:bCs/>
          <w:sz w:val="21"/>
          <w:szCs w:val="21"/>
        </w:rPr>
        <w:t xml:space="preserve">Growth pushes it up.</w:t>
      </w:r>
      <w:r>
        <w:rPr>
          <w:rFonts w:ascii="Calibri" w:cs="Calibri" w:eastAsia="Calibri" w:hAnsi="Calibri"/>
          <w:sz w:val="21"/>
          <w:szCs w:val="21"/>
        </w:rPr>
        <w:t xml:space="preserve"> A maturing ministry serves more richly, and richness costs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4E5F"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Service progression</w:t>
            </w:r>
          </w:p>
        </w:tc>
        <w:tc>
          <w:tcPr>
            <w:tcW w:type="dxa" w:w="3120"/>
            <w:shd w:fill="1F4E5F"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Cost effect per user</w:t>
            </w:r>
          </w:p>
        </w:tc>
        <w:tc>
          <w:tcPr>
            <w:tcW w:type="dxa" w:w="3120"/>
            <w:shd w:fill="1F4E5F"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How it's absorbed</w:t>
            </w:r>
          </w:p>
        </w:tc>
      </w:tr>
      <w:tr>
        <w:tc>
          <w:tcPr>
            <w:tcW w:type="dxa" w:w="3120"/>
            <w:shd w:fill="F2F6F7" w:val="clear"/>
            <w:tcMar>
              <w:top w:type="dxa" w:w="50"/>
              <w:left w:type="dxa" w:w="90"/>
              <w:bottom w:type="dxa" w:w="50"/>
              <w:right w:type="dxa" w:w="90"/>
            </w:tcMar>
          </w:tcPr>
          <w:p>
            <w:pPr>
              <w:spacing w:after="0"/>
            </w:pPr>
            <w:r>
              <w:rPr>
                <w:rFonts w:ascii="Calibri" w:cs="Calibri" w:eastAsia="Calibri" w:hAnsi="Calibri"/>
                <w:b/>
                <w:bCs/>
                <w:sz w:val="19"/>
                <w:szCs w:val="19"/>
              </w:rPr>
              <w:t xml:space="preserve">Voice at the Table</w:t>
            </w:r>
          </w:p>
        </w:tc>
        <w:tc>
          <w:tcPr>
            <w:tcW w:type="dxa" w:w="312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+$19–58/user/yr</w:t>
            </w:r>
          </w:p>
        </w:tc>
        <w:tc>
          <w:tcPr>
            <w:tcW w:type="dxa" w:w="312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Ships to paid tiers first; free tier gains it as efficiency savings cover it</w:t>
            </w:r>
          </w:p>
        </w:tc>
      </w:tr>
      <w:tr>
        <w:tc>
          <w:tcPr>
            <w:tcW w:type="dxa" w:w="3120"/>
            <w:tcMar>
              <w:top w:type="dxa" w:w="50"/>
              <w:left w:type="dxa" w:w="90"/>
              <w:bottom w:type="dxa" w:w="50"/>
              <w:right w:type="dxa" w:w="90"/>
            </w:tcMar>
          </w:tcPr>
          <w:p>
            <w:pPr>
              <w:spacing w:after="0"/>
            </w:pPr>
            <w:r>
              <w:rPr>
                <w:rFonts w:ascii="Calibri" w:cs="Calibri" w:eastAsia="Calibri" w:hAnsi="Calibri"/>
                <w:b/>
                <w:bCs/>
                <w:sz w:val="19"/>
                <w:szCs w:val="19"/>
              </w:rPr>
              <w:t xml:space="preserve">Fuller tables (3–5 Representatives)</w:t>
            </w:r>
          </w:p>
        </w:tc>
        <w:tc>
          <w:tcPr>
            <w:tcW w:type="dxa" w:w="312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Raises the per-turn multiplier on those turns</w:t>
            </w:r>
          </w:p>
        </w:tc>
        <w:tc>
          <w:tcPr>
            <w:tcW w:type="dxa" w:w="312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A supporter/institutional-tier depth feature</w:t>
            </w:r>
          </w:p>
        </w:tc>
      </w:tr>
      <w:tr>
        <w:tc>
          <w:tcPr>
            <w:tcW w:type="dxa" w:w="3120"/>
            <w:shd w:fill="F2F6F7" w:val="clear"/>
            <w:tcMar>
              <w:top w:type="dxa" w:w="50"/>
              <w:left w:type="dxa" w:w="90"/>
              <w:bottom w:type="dxa" w:w="50"/>
              <w:right w:type="dxa" w:w="90"/>
            </w:tcMar>
          </w:tcPr>
          <w:p>
            <w:pPr>
              <w:spacing w:after="0"/>
            </w:pPr>
            <w:r>
              <w:rPr>
                <w:rFonts w:ascii="Calibri" w:cs="Calibri" w:eastAsia="Calibri" w:hAnsi="Calibri"/>
                <w:b/>
                <w:bCs/>
                <w:sz w:val="19"/>
                <w:szCs w:val="19"/>
              </w:rPr>
              <w:t xml:space="preserve">Deeper engagement as the product matures</w:t>
            </w:r>
          </w:p>
        </w:tc>
        <w:tc>
          <w:tcPr>
            <w:tcW w:type="dxa" w:w="312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More hours per user — the largest upward force, and a sign of success</w:t>
            </w:r>
          </w:p>
        </w:tc>
        <w:tc>
          <w:tcPr>
            <w:tcW w:type="dxa" w:w="312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Free tier stays session-bounded; unbounded depth is what supporters buy</w:t>
            </w:r>
          </w:p>
        </w:tc>
      </w:tr>
      <w:tr>
        <w:tc>
          <w:tcPr>
            <w:tcW w:type="dxa" w:w="3120"/>
            <w:tcMar>
              <w:top w:type="dxa" w:w="50"/>
              <w:left w:type="dxa" w:w="90"/>
              <w:bottom w:type="dxa" w:w="50"/>
              <w:right w:type="dxa" w:w="90"/>
            </w:tcMar>
          </w:tcPr>
          <w:p>
            <w:pPr>
              <w:spacing w:after="0"/>
            </w:pPr>
            <w:r>
              <w:rPr>
                <w:rFonts w:ascii="Calibri" w:cs="Calibri" w:eastAsia="Calibri" w:hAnsi="Calibri"/>
                <w:b/>
                <w:bCs/>
                <w:sz w:val="19"/>
                <w:szCs w:val="19"/>
              </w:rPr>
              <w:t xml:space="preserve">More worlds (toward 9+)</w:t>
            </w:r>
          </w:p>
        </w:tc>
        <w:tc>
          <w:tcPr>
            <w:tcW w:type="dxa" w:w="312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Runtime cost per world ≈ negligible; build + scholarly review are one-time Bucket B</w:t>
            </w:r>
          </w:p>
        </w:tc>
        <w:tc>
          <w:tcPr>
            <w:tcW w:type="dxa" w:w="312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Grant- and partner-funded, per world</w:t>
            </w:r>
          </w:p>
        </w:tc>
      </w:tr>
      <w:tr>
        <w:tc>
          <w:tcPr>
            <w:tcW w:type="dxa" w:w="3120"/>
            <w:shd w:fill="F2F6F7" w:val="clear"/>
            <w:tcMar>
              <w:top w:type="dxa" w:w="50"/>
              <w:left w:type="dxa" w:w="90"/>
              <w:bottom w:type="dxa" w:w="50"/>
              <w:right w:type="dxa" w:w="90"/>
            </w:tcMar>
          </w:tcPr>
          <w:p>
            <w:pPr>
              <w:spacing w:after="0"/>
            </w:pPr>
            <w:r>
              <w:rPr>
                <w:rFonts w:ascii="Calibri" w:cs="Calibri" w:eastAsia="Calibri" w:hAnsi="Calibri"/>
                <w:b/>
                <w:bCs/>
                <w:sz w:val="19"/>
                <w:szCs w:val="19"/>
              </w:rPr>
              <w:t xml:space="preserve">Group / classroom mode</w:t>
            </w:r>
          </w:p>
        </w:tc>
        <w:tc>
          <w:tcPr>
            <w:tcW w:type="dxa" w:w="312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Cost per participant falls — one table, many chairs</w:t>
            </w:r>
          </w:p>
        </w:tc>
        <w:tc>
          <w:tcPr>
            <w:tcW w:type="dxa" w:w="312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Improves academic &amp; church package economics outright</w:t>
            </w:r>
          </w:p>
        </w:tc>
      </w:tr>
    </w:tbl>
    <w:p>
      <w:pPr>
        <w:spacing w:after="100"/>
      </w:pPr>
      <w:r>
        <w:rPr>
          <w:rFonts w:ascii="Calibri" w:cs="Calibri" w:eastAsia="Calibri" w:hAnsi="Calibri"/>
          <w:b/>
          <w:bCs/>
          <w:sz w:val="21"/>
          <w:szCs w:val="21"/>
        </w:rPr>
        <w:t xml:space="preserve">The straightforward planning consequence: </w:t>
      </w:r>
      <w:r>
        <w:rPr>
          <w:rFonts w:ascii="Calibri" w:cs="Calibri" w:eastAsia="Calibri" w:hAnsi="Calibri"/>
          <w:sz w:val="21"/>
          <w:szCs w:val="21"/>
        </w:rPr>
        <w:t xml:space="preserve">mature per-user cost is a band, roughly </w:t>
      </w:r>
      <w:r>
        <w:rPr>
          <w:rFonts w:ascii="Calibri" w:cs="Calibri" w:eastAsia="Calibri" w:hAnsi="Calibri"/>
          <w:b/>
          <w:bCs/>
          <w:sz w:val="21"/>
          <w:szCs w:val="21"/>
        </w:rPr>
        <w:t xml:space="preserve">$8–25 per user per year</w:t>
      </w:r>
      <w:r>
        <w:rPr>
          <w:rFonts w:ascii="Calibri" w:cs="Calibri" w:eastAsia="Calibri" w:hAnsi="Calibri"/>
          <w:sz w:val="21"/>
          <w:szCs w:val="21"/>
        </w:rPr>
        <w:t xml:space="preserve"> depending on service mix and which efficiency tiers are landed — not the single $12 of today's text-first service. The funding vision holds the two curves in deliberate tension: </w:t>
      </w:r>
      <w:r>
        <w:rPr>
          <w:rFonts w:ascii="Calibri" w:cs="Calibri" w:eastAsia="Calibri" w:hAnsi="Calibri"/>
          <w:b/>
          <w:bCs/>
          <w:sz w:val="21"/>
          <w:szCs w:val="21"/>
        </w:rPr>
        <w:t xml:space="preserve">efficiency engineering is funded by gifts, because each is a one-time investment that permanently lowers the cost of every free seat; service richness is funded by the paid tiers that receive it first.</w:t>
      </w:r>
      <w:r>
        <w:rPr>
          <w:rFonts w:ascii="Calibri" w:cs="Calibri" w:eastAsia="Calibri" w:hAnsi="Calibri"/>
          <w:sz w:val="21"/>
          <w:szCs w:val="21"/>
        </w:rPr>
        <w:t xml:space="preserve"> Depth and voice may be gated; transparency never is. Done right, growth makes the access-for-all commitment structurally cheaper to keep, not harder — at full efficiency, the same dollar that keeps one seeker at the Table today keeps three.</w:t>
      </w:r>
    </w:p>
    <w:p>
      <w:r>
        <w:br w:type="page"/>
      </w:r>
    </w:p>
    <w:p>
      <w:pPr>
        <w:pBdr>
          <w:bottom w:val="single" w:color="1F4E5F" w:sz="6" w:space="4"/>
        </w:pBdr>
        <w:spacing w:after="80" w:before="60"/>
      </w:pPr>
      <w:r>
        <w:rPr>
          <w:rFonts w:ascii="Calibri" w:cs="Calibri" w:eastAsia="Calibri" w:hAnsi="Calibri"/>
          <w:b/>
          <w:bCs/>
          <w:caps/>
          <w:color w:val="1F4E5F"/>
          <w:sz w:val="24"/>
          <w:szCs w:val="24"/>
        </w:rPr>
        <w:t xml:space="preserve">Two Ways to Fund It — Both Keep the Same Heart</w:t>
      </w:r>
    </w:p>
    <w:p>
      <w:pPr>
        <w:spacing w:after="100"/>
      </w:pPr>
      <w:r>
        <w:rPr>
          <w:rFonts w:ascii="Calibri" w:cs="Calibri" w:eastAsia="Calibri" w:hAnsi="Calibri"/>
          <w:sz w:val="21"/>
          <w:szCs w:val="21"/>
        </w:rPr>
        <w:t xml:space="preserve">The commitment that does not change between tracks: </w:t>
      </w:r>
      <w:r>
        <w:rPr>
          <w:rFonts w:ascii="Calibri" w:cs="Calibri" w:eastAsia="Calibri" w:hAnsi="Calibri"/>
          <w:b/>
          <w:bCs/>
          <w:sz w:val="21"/>
          <w:szCs w:val="21"/>
        </w:rPr>
        <w:t xml:space="preserve">lay access to open encounter is never paywalled, and transparency is never gated.</w:t>
      </w:r>
      <w:r>
        <w:rPr>
          <w:rFonts w:ascii="Calibri" w:cs="Calibri" w:eastAsia="Calibri" w:hAnsi="Calibri"/>
          <w:sz w:val="21"/>
          <w:szCs w:val="21"/>
        </w:rPr>
        <w:t xml:space="preserve"> The tracks differ in where the money comes from, not in what a seeker receives.</w:t>
      </w:r>
    </w:p>
    <w:p>
      <w:pPr>
        <w:spacing w:after="60" w:before="140"/>
      </w:pPr>
      <w:r>
        <w:rPr>
          <w:rFonts w:ascii="Calibri" w:cs="Calibri" w:eastAsia="Calibri" w:hAnsi="Calibri"/>
          <w:b/>
          <w:bCs/>
          <w:sz w:val="22"/>
          <w:szCs w:val="22"/>
        </w:rPr>
        <w:t xml:space="preserve">Track A — Pure Ministry (access-for-all, partner-funded)</w:t>
      </w:r>
    </w:p>
    <w:p>
      <w:pPr>
        <w:spacing w:after="100"/>
      </w:pPr>
      <w:r>
        <w:rPr>
          <w:rFonts w:ascii="Calibri" w:cs="Calibri" w:eastAsia="Calibri" w:hAnsi="Calibri"/>
          <w:sz w:val="21"/>
          <w:szCs w:val="21"/>
        </w:rPr>
        <w:t xml:space="preserve">Everything free for everyone; the entire cost carried by ministry partners — individuals, churches, and eventually grants. The unit economics make this unusually concrete for donors:</w:t>
      </w:r>
    </w:p>
    <w:p>
      <w:pPr>
        <w:pStyle w:val="ListParagraph"/>
        <w:numPr>
          <w:ilvl w:val="0"/>
          <w:numId w:val="2"/>
        </w:numPr>
        <w:spacing w:after="60"/>
      </w:pPr>
      <w:r>
        <w:rPr>
          <w:rFonts w:ascii="Calibri" w:cs="Calibri" w:eastAsia="Calibri" w:hAnsi="Calibri"/>
          <w:b/>
          <w:bCs/>
          <w:sz w:val="21"/>
          <w:szCs w:val="21"/>
        </w:rPr>
        <w:t xml:space="preserve">$1/month keeps one seeker at the Table for a year</w:t>
      </w:r>
      <w:r>
        <w:rPr>
          <w:rFonts w:ascii="Calibri" w:cs="Calibri" w:eastAsia="Calibri" w:hAnsi="Calibri"/>
          <w:sz w:val="21"/>
          <w:szCs w:val="21"/>
        </w:rPr>
        <w:t xml:space="preserve"> (usage cost, text-first, optimized).</w:t>
      </w:r>
    </w:p>
    <w:p>
      <w:pPr>
        <w:pStyle w:val="ListParagraph"/>
        <w:numPr>
          <w:ilvl w:val="0"/>
          <w:numId w:val="2"/>
        </w:numPr>
        <w:spacing w:after="60"/>
      </w:pPr>
      <w:r>
        <w:rPr>
          <w:rFonts w:ascii="Calibri" w:cs="Calibri" w:eastAsia="Calibri" w:hAnsi="Calibri"/>
          <w:sz w:val="21"/>
          <w:szCs w:val="21"/>
        </w:rPr>
        <w:t xml:space="preserve">$25/month sponsors an entire small group's year of encounters.</w:t>
      </w:r>
    </w:p>
    <w:p>
      <w:pPr>
        <w:pStyle w:val="ListParagraph"/>
        <w:numPr>
          <w:ilvl w:val="0"/>
          <w:numId w:val="2"/>
        </w:numPr>
        <w:spacing w:after="60"/>
      </w:pPr>
      <w:r>
        <w:rPr>
          <w:rFonts w:ascii="Calibri" w:cs="Calibri" w:eastAsia="Calibri" w:hAnsi="Calibri"/>
          <w:sz w:val="21"/>
          <w:szCs w:val="21"/>
        </w:rPr>
        <w:t xml:space="preserve">$2,500 funds a scholarly reviewer — the credibility of the whole library.</w:t>
      </w:r>
    </w:p>
    <w:p>
      <w:pPr>
        <w:pStyle w:val="ListParagraph"/>
        <w:numPr>
          <w:ilvl w:val="0"/>
          <w:numId w:val="2"/>
        </w:numPr>
        <w:spacing w:after="60"/>
      </w:pPr>
      <w:r>
        <w:rPr>
          <w:rFonts w:ascii="Calibri" w:cs="Calibri" w:eastAsia="Calibri" w:hAnsi="Calibri"/>
          <w:b/>
          <w:bCs/>
          <w:sz w:val="21"/>
          <w:szCs w:val="21"/>
        </w:rPr>
        <w:t xml:space="preserve">$3,500 sponsors an entire world</w:t>
      </w:r>
      <w:r>
        <w:rPr>
          <w:rFonts w:ascii="Calibri" w:cs="Calibri" w:eastAsia="Calibri" w:hAnsi="Calibri"/>
          <w:sz w:val="21"/>
          <w:szCs w:val="21"/>
        </w:rPr>
        <w:t xml:space="preserve"> — its construction and its scholarly review — with recognition in that world's own documentation. A church can put its name on the Desert Fathers.</w:t>
      </w:r>
    </w:p>
    <w:p>
      <w:pPr>
        <w:pStyle w:val="ListParagraph"/>
        <w:numPr>
          <w:ilvl w:val="0"/>
          <w:numId w:val="2"/>
        </w:numPr>
        <w:spacing w:after="60"/>
      </w:pPr>
      <w:r>
        <w:rPr>
          <w:rFonts w:ascii="Calibri" w:cs="Calibri" w:eastAsia="Calibri" w:hAnsi="Calibri"/>
          <w:sz w:val="21"/>
          <w:szCs w:val="21"/>
        </w:rPr>
        <w:t xml:space="preserve">$12,000 funds the independent audit that stands between prototype and public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4E5F"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Track A targets</w:t>
            </w:r>
          </w:p>
        </w:tc>
        <w:tc>
          <w:tcPr>
            <w:tcW w:type="dxa" w:w="3120"/>
            <w:shd w:fill="1F4E5F"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Prototype 2</w:t>
            </w:r>
          </w:p>
        </w:tc>
        <w:tc>
          <w:tcPr>
            <w:tcW w:type="dxa" w:w="3120"/>
            <w:shd w:fill="1F4E5F"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Phase 1 Year 1 (midpoint)</w:t>
            </w:r>
          </w:p>
        </w:tc>
      </w:tr>
      <w:tr>
        <w:tc>
          <w:tcPr>
            <w:tcW w:type="dxa" w:w="3120"/>
            <w:shd w:fill="F2F6F7" w:val="clear"/>
            <w:tcMar>
              <w:top w:type="dxa" w:w="50"/>
              <w:left w:type="dxa" w:w="90"/>
              <w:bottom w:type="dxa" w:w="50"/>
              <w:right w:type="dxa" w:w="90"/>
            </w:tcMar>
          </w:tcPr>
          <w:p>
            <w:pPr>
              <w:spacing w:after="0"/>
            </w:pPr>
            <w:r>
              <w:rPr>
                <w:rFonts w:ascii="Calibri" w:cs="Calibri" w:eastAsia="Calibri" w:hAnsi="Calibri"/>
                <w:b/>
                <w:bCs/>
                <w:sz w:val="19"/>
                <w:szCs w:val="19"/>
              </w:rPr>
              <w:t xml:space="preserve">Founding partners (one-time gifts)</w:t>
            </w:r>
          </w:p>
        </w:tc>
        <w:tc>
          <w:tcPr>
            <w:tcW w:type="dxa" w:w="312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$4,000 (4–8 gifts)</w:t>
            </w:r>
          </w:p>
        </w:tc>
        <w:tc>
          <w:tcPr>
            <w:tcW w:type="dxa" w:w="312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$15,000 (10–20 gifts)</w:t>
            </w:r>
          </w:p>
        </w:tc>
      </w:tr>
      <w:tr>
        <w:tc>
          <w:tcPr>
            <w:tcW w:type="dxa" w:w="3120"/>
            <w:tcMar>
              <w:top w:type="dxa" w:w="50"/>
              <w:left w:type="dxa" w:w="90"/>
              <w:bottom w:type="dxa" w:w="50"/>
              <w:right w:type="dxa" w:w="90"/>
            </w:tcMar>
          </w:tcPr>
          <w:p>
            <w:pPr>
              <w:spacing w:after="0"/>
            </w:pPr>
            <w:r>
              <w:rPr>
                <w:rFonts w:ascii="Calibri" w:cs="Calibri" w:eastAsia="Calibri" w:hAnsi="Calibri"/>
                <w:b/>
                <w:bCs/>
                <w:sz w:val="19"/>
                <w:szCs w:val="19"/>
              </w:rPr>
              <w:t xml:space="preserve">Monthly partners ($25–100/mo)</w:t>
            </w:r>
          </w:p>
        </w:tc>
        <w:tc>
          <w:tcPr>
            <w:tcW w:type="dxa" w:w="312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$1,500 (5–10 partners)</w:t>
            </w:r>
          </w:p>
        </w:tc>
        <w:tc>
          <w:tcPr>
            <w:tcW w:type="dxa" w:w="312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$21,000 (30–50 partners)</w:t>
            </w:r>
          </w:p>
        </w:tc>
      </w:tr>
      <w:tr>
        <w:tc>
          <w:tcPr>
            <w:tcW w:type="dxa" w:w="3120"/>
            <w:shd w:fill="F2F6F7" w:val="clear"/>
            <w:tcMar>
              <w:top w:type="dxa" w:w="50"/>
              <w:left w:type="dxa" w:w="90"/>
              <w:bottom w:type="dxa" w:w="50"/>
              <w:right w:type="dxa" w:w="90"/>
            </w:tcMar>
          </w:tcPr>
          <w:p>
            <w:pPr>
              <w:spacing w:after="0"/>
            </w:pPr>
            <w:r>
              <w:rPr>
                <w:rFonts w:ascii="Calibri" w:cs="Calibri" w:eastAsia="Calibri" w:hAnsi="Calibri"/>
                <w:b/>
                <w:bCs/>
                <w:sz w:val="19"/>
                <w:szCs w:val="19"/>
              </w:rPr>
              <w:t xml:space="preserve">Church partners ($1,000–2,500/yr)</w:t>
            </w:r>
          </w:p>
        </w:tc>
        <w:tc>
          <w:tcPr>
            <w:tcW w:type="dxa" w:w="312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$2,000 (1–2 churches)</w:t>
            </w:r>
          </w:p>
        </w:tc>
        <w:tc>
          <w:tcPr>
            <w:tcW w:type="dxa" w:w="312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$19,000 (8–12 churches)</w:t>
            </w:r>
          </w:p>
        </w:tc>
      </w:tr>
      <w:tr>
        <w:tc>
          <w:tcPr>
            <w:tcW w:type="dxa" w:w="3120"/>
            <w:shd w:fill="E8EEF0" w:val="clear"/>
            <w:tcMar>
              <w:top w:type="dxa" w:w="50"/>
              <w:left w:type="dxa" w:w="90"/>
              <w:bottom w:type="dxa" w:w="50"/>
              <w:right w:type="dxa" w:w="90"/>
            </w:tcMar>
          </w:tcPr>
          <w:p>
            <w:pPr>
              <w:spacing w:after="0"/>
            </w:pPr>
            <w:r>
              <w:rPr>
                <w:rFonts w:ascii="Calibri" w:cs="Calibri" w:eastAsia="Calibri" w:hAnsi="Calibri"/>
                <w:b/>
                <w:bCs/>
                <w:sz w:val="19"/>
                <w:szCs w:val="19"/>
              </w:rPr>
              <w:t xml:space="preserve">Total vs. need</w:t>
            </w:r>
          </w:p>
        </w:tc>
        <w:tc>
          <w:tcPr>
            <w:tcW w:type="dxa" w:w="3120"/>
            <w:shd w:fill="E8EEF0"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$7,500 vs. $7,570</w:t>
            </w:r>
          </w:p>
        </w:tc>
        <w:tc>
          <w:tcPr>
            <w:tcW w:type="dxa" w:w="3120"/>
            <w:shd w:fill="E8EEF0"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$55,000 vs. $55,100</w:t>
            </w:r>
          </w:p>
        </w:tc>
      </w:tr>
    </w:tbl>
    <w:p>
      <w:pPr>
        <w:spacing w:after="60" w:before="140"/>
      </w:pPr>
      <w:r>
        <w:rPr>
          <w:rFonts w:ascii="Calibri" w:cs="Calibri" w:eastAsia="Calibri" w:hAnsi="Calibri"/>
          <w:b/>
          <w:bCs/>
          <w:sz w:val="22"/>
          <w:szCs w:val="22"/>
        </w:rPr>
        <w:t xml:space="preserve">Track B — Free Entry, Paid Depth (self-sustaining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50"/>
        <w:gridCol w:w="2050"/>
        <w:gridCol w:w="2060"/>
      </w:tblGrid>
      <w:tr>
        <w:trPr>
          <w:tblHeader/>
        </w:trPr>
        <w:tc>
          <w:tcPr>
            <w:tcW w:type="dxa" w:w="3200"/>
            <w:shd w:fill="1F4E5F"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Tier</w:t>
            </w:r>
          </w:p>
        </w:tc>
        <w:tc>
          <w:tcPr>
            <w:tcW w:type="dxa" w:w="2050"/>
            <w:shd w:fill="1F4E5F"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Price</w:t>
            </w:r>
          </w:p>
        </w:tc>
        <w:tc>
          <w:tcPr>
            <w:tcW w:type="dxa" w:w="2050"/>
            <w:shd w:fill="1F4E5F"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Who</w:t>
            </w:r>
          </w:p>
        </w:tc>
        <w:tc>
          <w:tcPr>
            <w:tcW w:type="dxa" w:w="2060"/>
            <w:shd w:fill="1F4E5F"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What's included</w:t>
            </w:r>
          </w:p>
        </w:tc>
      </w:tr>
      <w:tr>
        <w:tc>
          <w:tcPr>
            <w:tcW w:type="dxa" w:w="3200"/>
            <w:shd w:fill="F2F6F7" w:val="clear"/>
            <w:tcMar>
              <w:top w:type="dxa" w:w="50"/>
              <w:left w:type="dxa" w:w="90"/>
              <w:bottom w:type="dxa" w:w="50"/>
              <w:right w:type="dxa" w:w="90"/>
            </w:tcMar>
          </w:tcPr>
          <w:p>
            <w:pPr>
              <w:spacing w:after="0"/>
            </w:pPr>
            <w:r>
              <w:rPr>
                <w:rFonts w:ascii="Calibri" w:cs="Calibri" w:eastAsia="Calibri" w:hAnsi="Calibri"/>
                <w:b/>
                <w:bCs/>
                <w:sz w:val="19"/>
                <w:szCs w:val="19"/>
              </w:rPr>
              <w:t xml:space="preserve">Open (free)</w:t>
            </w:r>
          </w:p>
        </w:tc>
        <w:tc>
          <w:tcPr>
            <w:tcW w:type="dxa" w:w="205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$0</w:t>
            </w:r>
          </w:p>
        </w:tc>
        <w:tc>
          <w:tcPr>
            <w:tcW w:type="dxa" w:w="205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Any seeker</w:t>
            </w:r>
          </w:p>
        </w:tc>
        <w:tc>
          <w:tcPr>
            <w:tcW w:type="dxa" w:w="206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Full encounters, bounded sessions/month; complete transparency apparatus, always</w:t>
            </w:r>
          </w:p>
        </w:tc>
      </w:tr>
      <w:tr>
        <w:tc>
          <w:tcPr>
            <w:tcW w:type="dxa" w:w="3200"/>
            <w:tcMar>
              <w:top w:type="dxa" w:w="50"/>
              <w:left w:type="dxa" w:w="90"/>
              <w:bottom w:type="dxa" w:w="50"/>
              <w:right w:type="dxa" w:w="90"/>
            </w:tcMar>
          </w:tcPr>
          <w:p>
            <w:pPr>
              <w:spacing w:after="0"/>
            </w:pPr>
            <w:r>
              <w:rPr>
                <w:rFonts w:ascii="Calibri" w:cs="Calibri" w:eastAsia="Calibri" w:hAnsi="Calibri"/>
                <w:b/>
                <w:bCs/>
                <w:sz w:val="19"/>
                <w:szCs w:val="19"/>
              </w:rPr>
              <w:t xml:space="preserve">Supporter</w:t>
            </w:r>
          </w:p>
        </w:tc>
        <w:tc>
          <w:tcPr>
            <w:tcW w:type="dxa" w:w="205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$8/mo or $80/yr</w:t>
            </w:r>
          </w:p>
        </w:tc>
        <w:tc>
          <w:tcPr>
            <w:tcW w:type="dxa" w:w="205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Individuals who can give</w:t>
            </w:r>
          </w:p>
        </w:tc>
        <w:tc>
          <w:tcPr>
            <w:tcW w:type="dxa" w:w="206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Unbounded depth, all worlds, early access; voice when it ships</w:t>
            </w:r>
          </w:p>
        </w:tc>
      </w:tr>
      <w:tr>
        <w:tc>
          <w:tcPr>
            <w:tcW w:type="dxa" w:w="3200"/>
            <w:shd w:fill="F2F6F7" w:val="clear"/>
            <w:tcMar>
              <w:top w:type="dxa" w:w="50"/>
              <w:left w:type="dxa" w:w="90"/>
              <w:bottom w:type="dxa" w:w="50"/>
              <w:right w:type="dxa" w:w="90"/>
            </w:tcMar>
          </w:tcPr>
          <w:p>
            <w:pPr>
              <w:spacing w:after="0"/>
            </w:pPr>
            <w:r>
              <w:rPr>
                <w:rFonts w:ascii="Calibri" w:cs="Calibri" w:eastAsia="Calibri" w:hAnsi="Calibri"/>
                <w:b/>
                <w:bCs/>
                <w:sz w:val="19"/>
                <w:szCs w:val="19"/>
              </w:rPr>
              <w:t xml:space="preserve">Academic package</w:t>
            </w:r>
          </w:p>
        </w:tc>
        <w:tc>
          <w:tcPr>
            <w:tcW w:type="dxa" w:w="205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$750–1,500/yr</w:t>
            </w:r>
          </w:p>
        </w:tc>
        <w:tc>
          <w:tcPr>
            <w:tcW w:type="dxa" w:w="205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Seminary &amp; college courses</w:t>
            </w:r>
          </w:p>
        </w:tc>
        <w:tc>
          <w:tcPr>
            <w:tcW w:type="dxa" w:w="206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Classroom cohorts, instructor transcripts, syllabus-aligned world sets</w:t>
            </w:r>
          </w:p>
        </w:tc>
      </w:tr>
      <w:tr>
        <w:tc>
          <w:tcPr>
            <w:tcW w:type="dxa" w:w="3200"/>
            <w:tcMar>
              <w:top w:type="dxa" w:w="50"/>
              <w:left w:type="dxa" w:w="90"/>
              <w:bottom w:type="dxa" w:w="50"/>
              <w:right w:type="dxa" w:w="90"/>
            </w:tcMar>
          </w:tcPr>
          <w:p>
            <w:pPr>
              <w:spacing w:after="0"/>
            </w:pPr>
            <w:r>
              <w:rPr>
                <w:rFonts w:ascii="Calibri" w:cs="Calibri" w:eastAsia="Calibri" w:hAnsi="Calibri"/>
                <w:b/>
                <w:bCs/>
                <w:sz w:val="19"/>
                <w:szCs w:val="19"/>
              </w:rPr>
              <w:t xml:space="preserve">Church package</w:t>
            </w:r>
          </w:p>
        </w:tc>
        <w:tc>
          <w:tcPr>
            <w:tcW w:type="dxa" w:w="205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$1,000–2,500/yr</w:t>
            </w:r>
          </w:p>
        </w:tc>
        <w:tc>
          <w:tcPr>
            <w:tcW w:type="dxa" w:w="205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Congregations (by size)</w:t>
            </w:r>
          </w:p>
        </w:tc>
        <w:tc>
          <w:tcPr>
            <w:tcW w:type="dxa" w:w="206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Congregation-wide access, small-group guides, formation pathways</w:t>
            </w:r>
          </w:p>
        </w:tc>
      </w:tr>
    </w:tbl>
    <w:p>
      <w:pPr>
        <w:spacing w:after="100"/>
      </w:pPr>
      <w:r>
        <w:rPr>
          <w:rFonts w:ascii="Calibri" w:cs="Calibri" w:eastAsia="Calibri" w:hAnsi="Calibri"/>
          <w:b/>
          <w:bCs/>
          <w:sz w:val="21"/>
          <w:szCs w:val="21"/>
        </w:rPr>
        <w:t xml:space="preserve">Midpoint-scenario revenue test (1,500 active users): </w:t>
      </w:r>
      <w:r>
        <w:rPr>
          <w:rFonts w:ascii="Calibri" w:cs="Calibri" w:eastAsia="Calibri" w:hAnsi="Calibri"/>
          <w:sz w:val="21"/>
          <w:szCs w:val="21"/>
        </w:rPr>
        <w:t xml:space="preserve">3–4% supporter conversion (50 × $80 = $4,000) + 8 academic packages ($9,000) + 10 church packages ($15,000) = </w:t>
      </w:r>
      <w:r>
        <w:rPr>
          <w:rFonts w:ascii="Calibri" w:cs="Calibri" w:eastAsia="Calibri" w:hAnsi="Calibri"/>
          <w:b/>
          <w:bCs/>
          <w:sz w:val="21"/>
          <w:szCs w:val="21"/>
        </w:rPr>
        <w:t xml:space="preserve">$28,000</w:t>
      </w:r>
      <w:r>
        <w:rPr>
          <w:rFonts w:ascii="Calibri" w:cs="Calibri" w:eastAsia="Calibri" w:hAnsi="Calibri"/>
          <w:sz w:val="21"/>
          <w:szCs w:val="21"/>
        </w:rPr>
        <w:t xml:space="preserve"> — which covers all usage cost (Bucket A, $18,400) with margin, while gifts and grants carry the fixed ministry costs (Bucket B). That division is principled, not accidental: usage revenue scales with usage cost; one-time ministry infrastructure is funded as ministry.</w:t>
      </w:r>
    </w:p>
    <w:p>
      <w:pPr>
        <w:spacing w:after="60" w:before="140"/>
      </w:pPr>
      <w:r>
        <w:rPr>
          <w:rFonts w:ascii="Calibri" w:cs="Calibri" w:eastAsia="Calibri" w:hAnsi="Calibri"/>
          <w:b/>
          <w:bCs/>
          <w:sz w:val="22"/>
          <w:szCs w:val="22"/>
        </w:rPr>
        <w:t xml:space="preserve">Recommendation — sequence them, don't choose forever</w:t>
      </w:r>
    </w:p>
    <w:p>
      <w:pPr>
        <w:pStyle w:val="ListParagraph"/>
        <w:numPr>
          <w:ilvl w:val="0"/>
          <w:numId w:val="2"/>
        </w:numPr>
        <w:spacing w:after="60"/>
      </w:pPr>
      <w:r>
        <w:rPr>
          <w:rFonts w:ascii="Calibri" w:cs="Calibri" w:eastAsia="Calibri" w:hAnsi="Calibri"/>
          <w:b/>
          <w:bCs/>
          <w:sz w:val="21"/>
          <w:szCs w:val="21"/>
        </w:rPr>
        <w:t xml:space="preserve">Now through Prototype 2: Track A only.</w:t>
      </w:r>
      <w:r>
        <w:rPr>
          <w:rFonts w:ascii="Calibri" w:cs="Calibri" w:eastAsia="Calibri" w:hAnsi="Calibri"/>
          <w:sz w:val="21"/>
          <w:szCs w:val="21"/>
        </w:rPr>
        <w:t xml:space="preserve"> Partner gifts fund the gate. Charging anyone before academic validation and the audit would put revenue ahead of integrity.</w:t>
      </w:r>
    </w:p>
    <w:p>
      <w:pPr>
        <w:pStyle w:val="ListParagraph"/>
        <w:numPr>
          <w:ilvl w:val="0"/>
          <w:numId w:val="2"/>
        </w:numPr>
        <w:spacing w:after="60"/>
      </w:pPr>
      <w:r>
        <w:rPr>
          <w:rFonts w:ascii="Calibri" w:cs="Calibri" w:eastAsia="Calibri" w:hAnsi="Calibri"/>
          <w:b/>
          <w:bCs/>
          <w:sz w:val="21"/>
          <w:szCs w:val="21"/>
        </w:rPr>
        <w:t xml:space="preserve">At Phase 1 launch: Track B tiers activate on top of Track A partners.</w:t>
      </w:r>
      <w:r>
        <w:rPr>
          <w:rFonts w:ascii="Calibri" w:cs="Calibri" w:eastAsia="Calibri" w:hAnsi="Calibri"/>
          <w:sz w:val="21"/>
          <w:szCs w:val="21"/>
        </w:rPr>
        <w:t xml:space="preserve"> The two converge into one model — institutions and supporters fund the Table; every seeker sits at it free. Each institutional package quietly underwrites hundreds of free seats, and is told so plainly — kingdom access is part of what they're buying.</w:t>
      </w:r>
    </w:p>
    <w:p>
      <w:r>
        <w:br w:type="page"/>
      </w:r>
    </w:p>
    <w:p>
      <w:pPr>
        <w:pBdr>
          <w:bottom w:val="single" w:color="1F4E5F" w:sz="6" w:space="4"/>
        </w:pBdr>
        <w:spacing w:after="80" w:before="60"/>
      </w:pPr>
      <w:r>
        <w:rPr>
          <w:rFonts w:ascii="Calibri" w:cs="Calibri" w:eastAsia="Calibri" w:hAnsi="Calibri"/>
          <w:b/>
          <w:bCs/>
          <w:caps/>
          <w:color w:val="1F4E5F"/>
          <w:sz w:val="24"/>
          <w:szCs w:val="24"/>
        </w:rPr>
        <w:t xml:space="preserve">Stewardship &amp; Accountability</w:t>
      </w:r>
    </w:p>
    <w:p>
      <w:pPr>
        <w:pStyle w:val="ListParagraph"/>
        <w:numPr>
          <w:ilvl w:val="0"/>
          <w:numId w:val="2"/>
        </w:numPr>
        <w:spacing w:after="60"/>
      </w:pPr>
      <w:r>
        <w:rPr>
          <w:rFonts w:ascii="Calibri" w:cs="Calibri" w:eastAsia="Calibri" w:hAnsi="Calibri"/>
          <w:sz w:val="21"/>
          <w:szCs w:val="21"/>
        </w:rPr>
        <w:t xml:space="preserve">Every workstream keeps a dated decision log — funding, testing, product — recording not just what was decided but why. These are available to any serious partner.</w:t>
      </w:r>
    </w:p>
    <w:p>
      <w:pPr>
        <w:pStyle w:val="ListParagraph"/>
        <w:numPr>
          <w:ilvl w:val="0"/>
          <w:numId w:val="2"/>
        </w:numPr>
        <w:spacing w:after="60"/>
      </w:pPr>
      <w:r>
        <w:rPr>
          <w:rFonts w:ascii="Calibri" w:cs="Calibri" w:eastAsia="Calibri" w:hAnsi="Calibri"/>
          <w:sz w:val="21"/>
          <w:szCs w:val="21"/>
        </w:rPr>
        <w:t xml:space="preserve">The constitution (36 articles) governs content, testing ethics, transparency, and review, and binds the founder as much as the system.</w:t>
      </w:r>
    </w:p>
    <w:p>
      <w:pPr>
        <w:pStyle w:val="ListParagraph"/>
        <w:numPr>
          <w:ilvl w:val="0"/>
          <w:numId w:val="2"/>
        </w:numPr>
        <w:spacing w:after="60"/>
      </w:pPr>
      <w:r>
        <w:rPr>
          <w:rFonts w:ascii="Calibri" w:cs="Calibri" w:eastAsia="Calibri" w:hAnsi="Calibri"/>
          <w:sz w:val="21"/>
          <w:szCs w:val="21"/>
        </w:rPr>
        <w:t xml:space="preserve">External scholarly review (Article 31) is an aspirational Year 2 goal, not yet budgeted or underway — disclosed honestly as not-yet-done, never overclaimed. An independent pre-public audit remains budgeted. Neither is ever self-performed.</w:t>
      </w:r>
    </w:p>
    <w:p>
      <w:pPr>
        <w:pStyle w:val="ListParagraph"/>
        <w:numPr>
          <w:ilvl w:val="0"/>
          <w:numId w:val="2"/>
        </w:numPr>
        <w:spacing w:after="60"/>
      </w:pPr>
      <w:r>
        <w:rPr>
          <w:rFonts w:ascii="Calibri" w:cs="Calibri" w:eastAsia="Calibri" w:hAnsi="Calibri"/>
          <w:sz w:val="21"/>
          <w:szCs w:val="21"/>
        </w:rPr>
        <w:t>Funds are currently received through the founder's LLC while the corporate bank account is being finalized; the entity itself is decided — Faithways Studio, Inc., a Colorado Public Benefit Corporation — and financial records are shared with partners either way.</w:t>
      </w:r>
    </w:p>
    <w:p>
      <w:pPr>
        <w:pStyle w:val="ListParagraph"/>
        <w:numPr>
          <w:ilvl w:val="0"/>
          <w:numId w:val="2"/>
        </w:numPr>
        <w:spacing w:after="60"/>
      </w:pPr>
      <w:r>
        <w:rPr>
          <w:rFonts w:ascii="Calibri" w:cs="Calibri" w:eastAsia="Calibri" w:hAnsi="Calibri"/>
          <w:sz w:val="21"/>
          <w:szCs w:val="21"/>
        </w:rPr>
        <w:t xml:space="preserve">No founder stipend appears anywhere in this budget, by the founder's own instruction. When the work can responsibly support one, it will be added as a visible, board-approved line — never absorbed silently.</w:t>
      </w:r>
    </w:p>
    <w:p>
      <w:pPr>
        <w:pBdr>
          <w:bottom w:val="single" w:color="1F4E5F" w:sz="6" w:space="4"/>
        </w:pBdr>
        <w:spacing w:after="80" w:before="200"/>
      </w:pPr>
      <w:r>
        <w:rPr>
          <w:rFonts w:ascii="Calibri" w:cs="Calibri" w:eastAsia="Calibri" w:hAnsi="Calibri"/>
          <w:b/>
          <w:bCs/>
          <w:caps/>
          <w:color w:val="1F4E5F"/>
          <w:sz w:val="24"/>
          <w:szCs w:val="24"/>
        </w:rPr>
        <w:t xml:space="preserve">Team</w:t>
      </w:r>
    </w:p>
    <w:p>
      <w:pPr>
        <w:spacing w:after="100"/>
      </w:pPr>
      <w:r>
        <w:rPr>
          <w:rFonts w:ascii="Calibri" w:cs="Calibri" w:eastAsia="Calibri" w:hAnsi="Calibri"/>
          <w:b/>
          <w:bCs/>
          <w:sz w:val="21"/>
          <w:szCs w:val="21"/>
        </w:rPr>
        <w:t xml:space="preserve">Mark Chadwick (founder)</w:t>
      </w:r>
      <w:r>
        <w:rPr>
          <w:rFonts w:ascii="Calibri" w:cs="Calibri" w:eastAsia="Calibri" w:hAnsi="Calibri"/>
          <w:sz w:val="21"/>
          <w:szCs w:val="21"/>
        </w:rPr>
        <w:t xml:space="preserve"> — 40 years in global ministry: Bible translation (Wycliffe, Papua New Guinea), twelve years of organizational consulting and facilitation at Compassion International across 28 field offices, global training development at Samaritan's Purse (30+ languages, 6,000+ volunteers), pastor, and founder of Equivice LLC. MA in Organizational Leadership; IAF Certified Professional Facilitator (2003–2018). Self-taught AI builder — this system, its governance, and its validation apparatus are his own hands-on work, with operational coaching from his son, a professional engineer. Scholarly reviewers (Article 31) and an independent auditor complete the accountability circle.</w:t>
      </w:r>
    </w:p>
    <w:p>
      <w:pPr>
        <w:pBdr>
          <w:bottom w:val="single" w:color="1F4E5F" w:sz="6" w:space="4"/>
        </w:pBdr>
        <w:spacing w:after="80" w:before="200"/>
      </w:pPr>
      <w:r>
        <w:rPr>
          <w:rFonts w:ascii="Calibri" w:cs="Calibri" w:eastAsia="Calibri" w:hAnsi="Calibri"/>
          <w:b/>
          <w:bCs/>
          <w:caps/>
          <w:color w:val="1F4E5F"/>
          <w:sz w:val="24"/>
          <w:szCs w:val="24"/>
        </w:rPr>
        <w:t xml:space="preserve">Risks, Named Plainly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5F"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Risk</w:t>
            </w:r>
          </w:p>
        </w:tc>
        <w:tc>
          <w:tcPr>
            <w:tcW w:type="dxa" w:w="4680"/>
            <w:shd w:fill="1F4E5F"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How it's met</w:t>
            </w:r>
          </w:p>
        </w:tc>
      </w:tr>
      <w:tr>
        <w:tc>
          <w:tcPr>
            <w:tcW w:type="dxa" w:w="4680"/>
            <w:shd w:fill="F2F6F7" w:val="clear"/>
            <w:tcMar>
              <w:top w:type="dxa" w:w="50"/>
              <w:left w:type="dxa" w:w="90"/>
              <w:bottom w:type="dxa" w:w="50"/>
              <w:right w:type="dxa" w:w="90"/>
            </w:tcMar>
          </w:tcPr>
          <w:p>
            <w:pPr>
              <w:spacing w:after="0"/>
            </w:pPr>
            <w:r>
              <w:rPr>
                <w:rFonts w:ascii="Calibri" w:cs="Calibri" w:eastAsia="Calibri" w:hAnsi="Calibri"/>
                <w:b/>
                <w:bCs/>
                <w:sz w:val="19"/>
                <w:szCs w:val="19"/>
              </w:rPr>
              <w:t xml:space="preserve">"AI speaking for the church" skepticism</w:t>
            </w:r>
          </w:p>
        </w:tc>
        <w:tc>
          <w:tcPr>
            <w:tcW w:type="dxa" w:w="468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The transparency apparatus is the answer: every claim inspectable, confidence levels visible, external review budgeted, limitations stated in onboarding</w:t>
            </w:r>
          </w:p>
        </w:tc>
      </w:tr>
      <w:tr>
        <w:tc>
          <w:tcPr>
            <w:tcW w:type="dxa" w:w="4680"/>
            <w:tcMar>
              <w:top w:type="dxa" w:w="50"/>
              <w:left w:type="dxa" w:w="90"/>
              <w:bottom w:type="dxa" w:w="50"/>
              <w:right w:type="dxa" w:w="90"/>
            </w:tcMar>
          </w:tcPr>
          <w:p>
            <w:pPr>
              <w:spacing w:after="0"/>
            </w:pPr>
            <w:r>
              <w:rPr>
                <w:rFonts w:ascii="Calibri" w:cs="Calibri" w:eastAsia="Calibri" w:hAnsi="Calibri"/>
                <w:b/>
                <w:bCs/>
                <w:sz w:val="19"/>
                <w:szCs w:val="19"/>
              </w:rPr>
              <w:t xml:space="preserve">Adoption slower than midpoint</w:t>
            </w:r>
          </w:p>
        </w:tc>
        <w:tc>
          <w:tcPr>
            <w:tcW w:type="dxa" w:w="468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Costs scale down with usage (Bucket A is per-user); the minimum scenario is fully survivable at $18K</w:t>
            </w:r>
          </w:p>
        </w:tc>
      </w:tr>
      <w:tr>
        <w:tc>
          <w:tcPr>
            <w:tcW w:type="dxa" w:w="4680"/>
            <w:shd w:fill="F2F6F7" w:val="clear"/>
            <w:tcMar>
              <w:top w:type="dxa" w:w="50"/>
              <w:left w:type="dxa" w:w="90"/>
              <w:bottom w:type="dxa" w:w="50"/>
              <w:right w:type="dxa" w:w="90"/>
            </w:tcMar>
          </w:tcPr>
          <w:p>
            <w:pPr>
              <w:spacing w:after="0"/>
            </w:pPr>
            <w:r>
              <w:rPr>
                <w:rFonts w:ascii="Calibri" w:cs="Calibri" w:eastAsia="Calibri" w:hAnsi="Calibri"/>
                <w:b/>
                <w:bCs/>
                <w:sz w:val="19"/>
                <w:szCs w:val="19"/>
              </w:rPr>
              <w:t xml:space="preserve">Adoption faster than budget</w:t>
            </w:r>
          </w:p>
        </w:tc>
        <w:tc>
          <w:tcPr>
            <w:tcW w:type="dxa" w:w="468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Free-tier session bounds cap exposure; Track B revenue and partner asks activate with growth</w:t>
            </w:r>
          </w:p>
        </w:tc>
      </w:tr>
      <w:tr>
        <w:tc>
          <w:tcPr>
            <w:tcW w:type="dxa" w:w="4680"/>
            <w:tcMar>
              <w:top w:type="dxa" w:w="50"/>
              <w:left w:type="dxa" w:w="90"/>
              <w:bottom w:type="dxa" w:w="50"/>
              <w:right w:type="dxa" w:w="90"/>
            </w:tcMar>
          </w:tcPr>
          <w:p>
            <w:pPr>
              <w:spacing w:after="0"/>
            </w:pPr>
            <w:r>
              <w:rPr>
                <w:rFonts w:ascii="Calibri" w:cs="Calibri" w:eastAsia="Calibri" w:hAnsi="Calibri"/>
                <w:b/>
                <w:bCs/>
                <w:sz w:val="19"/>
                <w:szCs w:val="19"/>
              </w:rPr>
              <w:t xml:space="preserve">Solo-founder concentration</w:t>
            </w:r>
          </w:p>
        </w:tc>
        <w:tc>
          <w:tcPr>
            <w:tcW w:type="dxa" w:w="468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Everything is written down (constitution, logs, templates, validation suites) — deliberately built so the work outlives any one person's hours; audit and reviewers are external by rule</w:t>
            </w:r>
          </w:p>
        </w:tc>
      </w:tr>
      <w:tr>
        <w:tc>
          <w:tcPr>
            <w:tcW w:type="dxa" w:w="4680"/>
            <w:shd w:fill="F2F6F7" w:val="clear"/>
            <w:tcMar>
              <w:top w:type="dxa" w:w="50"/>
              <w:left w:type="dxa" w:w="90"/>
              <w:bottom w:type="dxa" w:w="50"/>
              <w:right w:type="dxa" w:w="90"/>
            </w:tcMar>
          </w:tcPr>
          <w:p>
            <w:pPr>
              <w:spacing w:after="0"/>
            </w:pPr>
            <w:r>
              <w:rPr>
                <w:rFonts w:ascii="Calibri" w:cs="Calibri" w:eastAsia="Calibri" w:hAnsi="Calibri"/>
                <w:b/>
                <w:bCs/>
                <w:sz w:val="19"/>
                <w:szCs w:val="19"/>
              </w:rPr>
              <w:t xml:space="preserve">Model price/behavior drift</w:t>
            </w:r>
          </w:p>
        </w:tc>
        <w:tc>
          <w:tcPr>
            <w:tcW w:type="dxa" w:w="468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Multi-model architecture via Bedrock; caching discipline; unit economics re-benchmarked at each stage gate</w:t>
            </w:r>
          </w:p>
        </w:tc>
      </w:tr>
    </w:tbl>
    <w:p>
      <w:pPr>
        <w:pBdr>
          <w:bottom w:val="single" w:color="1F4E5F" w:sz="6" w:space="4"/>
        </w:pBdr>
        <w:spacing w:after="80" w:before="200"/>
      </w:pPr>
      <w:r>
        <w:rPr>
          <w:rFonts w:ascii="Calibri" w:cs="Calibri" w:eastAsia="Calibri" w:hAnsi="Calibri"/>
          <w:b/>
          <w:bCs/>
          <w:caps/>
          <w:color w:val="1F4E5F"/>
          <w:sz w:val="24"/>
          <w:szCs w:val="24"/>
        </w:rPr>
        <w:t xml:space="preserve">The Ask</w:t>
      </w:r>
    </w:p>
    <w:p>
      <w:pPr>
        <w:spacing w:after="100"/>
      </w:pPr>
      <w:r>
        <w:rPr>
          <w:rFonts w:ascii="Calibri" w:cs="Calibri" w:eastAsia="Calibri" w:hAnsi="Calibri"/>
          <w:sz w:val="21"/>
          <w:szCs w:val="21"/>
        </w:rPr>
        <w:t xml:space="preserve">Three ways in, sized to conviction:</w:t>
      </w:r>
    </w:p>
    <w:p>
      <w:pPr>
        <w:pStyle w:val="ListParagraph"/>
        <w:numPr>
          <w:ilvl w:val="0"/>
          <w:numId w:val="2"/>
        </w:numPr>
        <w:spacing w:after="60"/>
      </w:pPr>
      <w:r>
        <w:rPr>
          <w:rFonts w:ascii="Calibri" w:cs="Calibri" w:eastAsia="Calibri" w:hAnsi="Calibri"/>
          <w:b/>
          <w:bCs/>
          <w:sz w:val="21"/>
          <w:szCs w:val="21"/>
        </w:rPr>
        <w:t xml:space="preserve">Fund the next gate — $7,500</w:t>
      </w:r>
      <w:r>
        <w:rPr>
          <w:rFonts w:ascii="Calibri" w:cs="Calibri" w:eastAsia="Calibri" w:hAnsi="Calibri"/>
          <w:sz w:val="21"/>
          <w:szCs w:val="21"/>
        </w:rPr>
        <w:t xml:space="preserve"> underwrites Prototype 2 completely: a hundred real people at the Table, five to six worlds, and the project's first external academic validation.</w:t>
      </w:r>
    </w:p>
    <w:p>
      <w:pPr>
        <w:pStyle w:val="ListParagraph"/>
        <w:numPr>
          <w:ilvl w:val="0"/>
          <w:numId w:val="2"/>
        </w:numPr>
        <w:spacing w:after="60"/>
      </w:pPr>
      <w:r>
        <w:rPr>
          <w:rFonts w:ascii="Calibri" w:cs="Calibri" w:eastAsia="Calibri" w:hAnsi="Calibri"/>
          <w:b/>
          <w:bCs/>
          <w:sz w:val="21"/>
          <w:szCs w:val="21"/>
        </w:rPr>
        <w:t xml:space="preserve">Fund the launch — $55,000</w:t>
      </w:r>
      <w:r>
        <w:rPr>
          <w:rFonts w:ascii="Calibri" w:cs="Calibri" w:eastAsia="Calibri" w:hAnsi="Calibri"/>
          <w:sz w:val="21"/>
          <w:szCs w:val="21"/>
        </w:rPr>
        <w:t xml:space="preserve"> (or any share of it) carries Phase 1's first public year at the midpoint scenario: audit, deepened review, hosting, and every seeker's seat.</w:t>
      </w:r>
    </w:p>
    <w:p>
      <w:pPr>
        <w:pStyle w:val="ListParagraph"/>
        <w:numPr>
          <w:ilvl w:val="0"/>
          <w:numId w:val="2"/>
        </w:numPr>
        <w:spacing w:after="60"/>
      </w:pPr>
      <w:r>
        <w:rPr>
          <w:rFonts w:ascii="Calibri" w:cs="Calibri" w:eastAsia="Calibri" w:hAnsi="Calibri"/>
          <w:b/>
          <w:bCs/>
          <w:sz w:val="21"/>
          <w:szCs w:val="21"/>
        </w:rPr>
        <w:t xml:space="preserve">Fund a piece you believe in</w:t>
      </w:r>
      <w:r>
        <w:rPr>
          <w:rFonts w:ascii="Calibri" w:cs="Calibri" w:eastAsia="Calibri" w:hAnsi="Calibri"/>
          <w:sz w:val="21"/>
          <w:szCs w:val="21"/>
        </w:rPr>
        <w:t xml:space="preserve"> — a reviewer ($2,500), the audit ($12,000), a church partnership ($1,000–2,500), or $1/month per seeker, one seeker at a time.</w:t>
      </w:r>
    </w:p>
    <w:p>
      <w:pPr>
        <w:spacing w:after="100"/>
      </w:pPr>
      <w:r>
        <w:rPr>
          <w:rFonts w:ascii="Calibri" w:cs="Calibri" w:eastAsia="Calibri" w:hAnsi="Calibri"/>
          <w:b/>
          <w:bCs/>
          <w:sz w:val="21"/>
          <w:szCs w:val="21"/>
        </w:rPr>
        <w:t xml:space="preserve">And before any of it: </w:t>
      </w:r>
      <w:r>
        <w:rPr>
          <w:rFonts w:ascii="Calibri" w:cs="Calibri" w:eastAsia="Calibri" w:hAnsi="Calibri"/>
          <w:sz w:val="21"/>
          <w:szCs w:val="21"/>
        </w:rPr>
        <w:t xml:space="preserve">come and join us at the Table. Serious partners are invited to a guided sitting with a Representative — twenty minutes of real conversation with the second century is a better argument than anything in this packet.</w:t>
      </w:r>
    </w:p>
    <w:p>
      <w:pPr>
        <w:spacing w:after="100"/>
      </w:pPr>
      <w:r>
        <w:rPr>
          <w:rFonts w:ascii="Calibri" w:cs="Calibri" w:eastAsia="Calibri" w:hAnsi="Calibri"/>
          <w:sz w:val="21"/>
          <w:szCs w:val="21"/>
        </w:rPr>
        <w:t xml:space="preserve">Every partner receives the decision logs' transparency: quarterly written updates, real numbers, and the same rule the Representatives live under — nothing smoothed over.</w:t>
      </w:r>
    </w:p>
    <w:p>
      <w:r>
        <w:br w:type="page"/>
      </w:r>
    </w:p>
    <w:p>
      <w:pPr>
        <w:pBdr>
          <w:bottom w:val="single" w:color="1F4E5F" w:sz="6" w:space="4"/>
        </w:pBdr>
        <w:spacing w:after="80" w:before="60"/>
      </w:pPr>
      <w:r>
        <w:rPr>
          <w:rFonts w:ascii="Calibri" w:cs="Calibri" w:eastAsia="Calibri" w:hAnsi="Calibri"/>
          <w:b/>
          <w:bCs/>
          <w:caps/>
          <w:color w:val="1F4E5F"/>
          <w:sz w:val="24"/>
          <w:szCs w:val="24"/>
        </w:rPr>
        <w:t xml:space="preserve">Appendix A — Unit Economics &amp;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5F"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Assumption / price</w:t>
            </w:r>
          </w:p>
        </w:tc>
        <w:tc>
          <w:tcPr>
            <w:tcW w:type="dxa" w:w="4680"/>
            <w:shd w:fill="1F4E5F" w:val="clear"/>
            <w:tcMar>
              <w:top w:type="dxa" w:w="50"/>
              <w:left w:type="dxa" w:w="90"/>
              <w:bottom w:type="dxa" w:w="50"/>
              <w:right w:type="dxa" w:w="90"/>
            </w:tcMar>
          </w:tcPr>
          <w:p>
            <w:pPr>
              <w:spacing w:after="0"/>
            </w:pPr>
            <w:r>
              <w:rPr>
                <w:rFonts w:ascii="Calibri" w:cs="Calibri" w:eastAsia="Calibri" w:hAnsi="Calibri"/>
                <w:b/>
                <w:bCs/>
                <w:color w:val="FFFFFF"/>
                <w:sz w:val="19"/>
                <w:szCs w:val="19"/>
              </w:rPr>
              <w:t xml:space="preserve">Value &amp; source</w:t>
            </w:r>
          </w:p>
        </w:tc>
      </w:tr>
      <w:tr>
        <w:tc>
          <w:tcPr>
            <w:tcW w:type="dxa" w:w="4680"/>
            <w:shd w:fill="F2F6F7" w:val="clear"/>
            <w:tcMar>
              <w:top w:type="dxa" w:w="50"/>
              <w:left w:type="dxa" w:w="90"/>
              <w:bottom w:type="dxa" w:w="50"/>
              <w:right w:type="dxa" w:w="90"/>
            </w:tcMar>
          </w:tcPr>
          <w:p>
            <w:pPr>
              <w:spacing w:after="0"/>
            </w:pPr>
            <w:r>
              <w:rPr>
                <w:rFonts w:ascii="Calibri" w:cs="Calibri" w:eastAsia="Calibri" w:hAnsi="Calibri"/>
                <w:b/>
                <w:bCs/>
                <w:sz w:val="19"/>
                <w:szCs w:val="19"/>
              </w:rPr>
              <w:t xml:space="preserve">Claude Sonnet on Amazon Bedrock</w:t>
            </w:r>
          </w:p>
        </w:tc>
        <w:tc>
          <w:tcPr>
            <w:tcW w:type="dxa" w:w="468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$3 / M input tokens, $15 / M output; cache reads 0.1× input (aws.amazon.com/bedrock/pricing, accessed 2026-07)</w:t>
            </w:r>
          </w:p>
        </w:tc>
      </w:tr>
      <w:tr>
        <w:tc>
          <w:tcPr>
            <w:tcW w:type="dxa" w:w="4680"/>
            <w:tcMar>
              <w:top w:type="dxa" w:w="50"/>
              <w:left w:type="dxa" w:w="90"/>
              <w:bottom w:type="dxa" w:w="50"/>
              <w:right w:type="dxa" w:w="90"/>
            </w:tcMar>
          </w:tcPr>
          <w:p>
            <w:pPr>
              <w:spacing w:after="0"/>
            </w:pPr>
            <w:r>
              <w:rPr>
                <w:rFonts w:ascii="Calibri" w:cs="Calibri" w:eastAsia="Calibri" w:hAnsi="Calibri"/>
                <w:b/>
                <w:bCs/>
                <w:sz w:val="19"/>
                <w:szCs w:val="19"/>
              </w:rPr>
              <w:t xml:space="preserve">Tokens per conversational turn</w:t>
            </w:r>
          </w:p>
        </w:tc>
        <w:tc>
          <w:tcPr>
            <w:tcW w:type="dxa" w:w="468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~6,700 cacheable (world capsule, priority layer, system) + ~4,900 live (retrieval, transcript); 200 output — from the project's own engineering specification</w:t>
            </w:r>
          </w:p>
        </w:tc>
      </w:tr>
      <w:tr>
        <w:tc>
          <w:tcPr>
            <w:tcW w:type="dxa" w:w="4680"/>
            <w:shd w:fill="F2F6F7" w:val="clear"/>
            <w:tcMar>
              <w:top w:type="dxa" w:w="50"/>
              <w:left w:type="dxa" w:w="90"/>
              <w:bottom w:type="dxa" w:w="50"/>
              <w:right w:type="dxa" w:w="90"/>
            </w:tcMar>
          </w:tcPr>
          <w:p>
            <w:pPr>
              <w:spacing w:after="0"/>
            </w:pPr>
            <w:r>
              <w:rPr>
                <w:rFonts w:ascii="Calibri" w:cs="Calibri" w:eastAsia="Calibri" w:hAnsi="Calibri"/>
                <w:b/>
                <w:bCs/>
                <w:sz w:val="19"/>
                <w:szCs w:val="19"/>
              </w:rPr>
              <w:t xml:space="preserve">Usage pattern</w:t>
            </w:r>
          </w:p>
        </w:tc>
        <w:tc>
          <w:tcPr>
            <w:tcW w:type="dxa" w:w="468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20 turns/hour, 2 hours/user/month, 1.3 avg Representatives per turn (multi-world tables)</w:t>
            </w:r>
          </w:p>
        </w:tc>
      </w:tr>
      <w:tr>
        <w:tc>
          <w:tcPr>
            <w:tcW w:type="dxa" w:w="4680"/>
            <w:tcMar>
              <w:top w:type="dxa" w:w="50"/>
              <w:left w:type="dxa" w:w="90"/>
              <w:bottom w:type="dxa" w:w="50"/>
              <w:right w:type="dxa" w:w="90"/>
            </w:tcMar>
          </w:tcPr>
          <w:p>
            <w:pPr>
              <w:spacing w:after="0"/>
            </w:pPr>
            <w:r>
              <w:rPr>
                <w:rFonts w:ascii="Calibri" w:cs="Calibri" w:eastAsia="Calibri" w:hAnsi="Calibri"/>
                <w:b/>
                <w:bCs/>
                <w:sz w:val="19"/>
                <w:szCs w:val="19"/>
              </w:rPr>
              <w:t xml:space="preserve">Cost per turn (optimized)</w:t>
            </w:r>
          </w:p>
        </w:tc>
        <w:tc>
          <w:tcPr>
            <w:tcW w:type="dxa" w:w="468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$0.026 — cached fixed tokens + live tokens + output, × multi-Rep factor</w:t>
            </w:r>
          </w:p>
        </w:tc>
      </w:tr>
      <w:tr>
        <w:tc>
          <w:tcPr>
            <w:tcW w:type="dxa" w:w="4680"/>
            <w:shd w:fill="F2F6F7" w:val="clear"/>
            <w:tcMar>
              <w:top w:type="dxa" w:w="50"/>
              <w:left w:type="dxa" w:w="90"/>
              <w:bottom w:type="dxa" w:w="50"/>
              <w:right w:type="dxa" w:w="90"/>
            </w:tcMar>
          </w:tcPr>
          <w:p>
            <w:pPr>
              <w:spacing w:after="0"/>
            </w:pPr>
            <w:r>
              <w:rPr>
                <w:rFonts w:ascii="Calibri" w:cs="Calibri" w:eastAsia="Calibri" w:hAnsi="Calibri"/>
                <w:b/>
                <w:bCs/>
                <w:sz w:val="19"/>
                <w:szCs w:val="19"/>
              </w:rPr>
              <w:t xml:space="preserve">Cost per user</w:t>
            </w:r>
          </w:p>
        </w:tc>
        <w:tc>
          <w:tcPr>
            <w:tcW w:type="dxa" w:w="468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$1.02/month · ~$12.29/year (text-first, caching on); ~$23.60/yr unoptimized ceiling</w:t>
            </w:r>
          </w:p>
        </w:tc>
      </w:tr>
      <w:tr>
        <w:tc>
          <w:tcPr>
            <w:tcW w:type="dxa" w:w="4680"/>
            <w:tcMar>
              <w:top w:type="dxa" w:w="50"/>
              <w:left w:type="dxa" w:w="90"/>
              <w:bottom w:type="dxa" w:w="50"/>
              <w:right w:type="dxa" w:w="90"/>
            </w:tcMar>
          </w:tcPr>
          <w:p>
            <w:pPr>
              <w:spacing w:after="0"/>
            </w:pPr>
            <w:r>
              <w:rPr>
                <w:rFonts w:ascii="Calibri" w:cs="Calibri" w:eastAsia="Calibri" w:hAnsi="Calibri"/>
                <w:b/>
                <w:bCs/>
                <w:sz w:val="19"/>
                <w:szCs w:val="19"/>
              </w:rPr>
              <w:t xml:space="preserve">Voice (deferred)</w:t>
            </w:r>
          </w:p>
        </w:tc>
        <w:tc>
          <w:tcPr>
            <w:tcW w:type="dxa" w:w="468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+$19.44/user/yr (Google Chirp 3 HD) to +$57.60 (ElevenLabs) — why Phase 1 launches text-first</w:t>
            </w:r>
          </w:p>
        </w:tc>
      </w:tr>
      <w:tr>
        <w:tc>
          <w:tcPr>
            <w:tcW w:type="dxa" w:w="4680"/>
            <w:shd w:fill="F2F6F7" w:val="clear"/>
            <w:tcMar>
              <w:top w:type="dxa" w:w="50"/>
              <w:left w:type="dxa" w:w="90"/>
              <w:bottom w:type="dxa" w:w="50"/>
              <w:right w:type="dxa" w:w="90"/>
            </w:tcMar>
          </w:tcPr>
          <w:p>
            <w:pPr>
              <w:spacing w:after="0"/>
            </w:pPr>
            <w:r>
              <w:rPr>
                <w:rFonts w:ascii="Calibri" w:cs="Calibri" w:eastAsia="Calibri" w:hAnsi="Calibri"/>
                <w:b/>
                <w:bCs/>
                <w:sz w:val="19"/>
                <w:szCs w:val="19"/>
              </w:rPr>
              <w:t xml:space="preserve">World construction AI cost</w:t>
            </w:r>
          </w:p>
        </w:tc>
        <w:tc>
          <w:tcPr>
            <w:tcW w:type="dxa" w:w="468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$4–14 per world (Modeled) — build cost is human care, not compute</w:t>
            </w:r>
          </w:p>
        </w:tc>
      </w:tr>
      <w:tr>
        <w:tc>
          <w:tcPr>
            <w:tcW w:type="dxa" w:w="4680"/>
            <w:tcMar>
              <w:top w:type="dxa" w:w="50"/>
              <w:left w:type="dxa" w:w="90"/>
              <w:bottom w:type="dxa" w:w="50"/>
              <w:right w:type="dxa" w:w="90"/>
            </w:tcMar>
          </w:tcPr>
          <w:p>
            <w:pPr>
              <w:spacing w:after="0"/>
            </w:pPr>
            <w:r>
              <w:rPr>
                <w:rFonts w:ascii="Calibri" w:cs="Calibri" w:eastAsia="Calibri" w:hAnsi="Calibri"/>
                <w:b/>
                <w:bCs/>
                <w:sz w:val="19"/>
                <w:szCs w:val="19"/>
              </w:rPr>
              <w:t xml:space="preserve">Reviewer honoraria</w:t>
            </w:r>
          </w:p>
        </w:tc>
        <w:tc>
          <w:tcPr>
            <w:tcW w:type="dxa" w:w="468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$500–2,000 published norm for 20–30 hr academic program reviews; budgeted $2,000–3,500 for deeper scope (Chronicle of Higher Education; university review-office guidelines)</w:t>
            </w:r>
          </w:p>
        </w:tc>
      </w:tr>
      <w:tr>
        <w:tc>
          <w:tcPr>
            <w:tcW w:type="dxa" w:w="4680"/>
            <w:shd w:fill="F2F6F7" w:val="clear"/>
            <w:tcMar>
              <w:top w:type="dxa" w:w="50"/>
              <w:left w:type="dxa" w:w="90"/>
              <w:bottom w:type="dxa" w:w="50"/>
              <w:right w:type="dxa" w:w="90"/>
            </w:tcMar>
          </w:tcPr>
          <w:p>
            <w:pPr>
              <w:spacing w:after="0"/>
            </w:pPr>
            <w:r>
              <w:rPr>
                <w:rFonts w:ascii="Calibri" w:cs="Calibri" w:eastAsia="Calibri" w:hAnsi="Calibri"/>
                <w:b/>
                <w:bCs/>
                <w:sz w:val="19"/>
                <w:szCs w:val="19"/>
              </w:rPr>
              <w:t xml:space="preserve">Engineering rates</w:t>
            </w:r>
          </w:p>
        </w:tc>
        <w:tc>
          <w:tcPr>
            <w:tcW w:type="dxa" w:w="4680"/>
            <w:shd w:fill="F2F6F7" w:val="clear"/>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$125–200/hr freelance AI-integration range (market rate guides, accessed 2026-07)</w:t>
            </w:r>
          </w:p>
        </w:tc>
      </w:tr>
      <w:tr>
        <w:tc>
          <w:tcPr>
            <w:tcW w:type="dxa" w:w="4680"/>
            <w:tcMar>
              <w:top w:type="dxa" w:w="50"/>
              <w:left w:type="dxa" w:w="90"/>
              <w:bottom w:type="dxa" w:w="50"/>
              <w:right w:type="dxa" w:w="90"/>
            </w:tcMar>
          </w:tcPr>
          <w:p>
            <w:pPr>
              <w:spacing w:after="0"/>
            </w:pPr>
            <w:r>
              <w:rPr>
                <w:rFonts w:ascii="Calibri" w:cs="Calibri" w:eastAsia="Calibri" w:hAnsi="Calibri"/>
                <w:b/>
                <w:bCs/>
                <w:sz w:val="19"/>
                <w:szCs w:val="19"/>
              </w:rPr>
              <w:t xml:space="preserve">Founder spend to date</w:t>
            </w:r>
          </w:p>
        </w:tc>
        <w:tc>
          <w:tcPr>
            <w:tcW w:type="dxa" w:w="4680"/>
            <w:tcMar>
              <w:top w:type="dxa" w:w="50"/>
              <w:left w:type="dxa" w:w="90"/>
              <w:bottom w:type="dxa" w:w="50"/>
              <w:right w:type="dxa" w:w="90"/>
            </w:tcMar>
          </w:tcPr>
          <w:p>
            <w:pPr>
              <w:spacing w:after="0"/>
            </w:pPr>
            <w:r>
              <w:rPr>
                <w:rFonts w:ascii="Calibri" w:cs="Calibri" w:eastAsia="Calibri" w:hAnsi="Calibri"/>
                <w:b w:val="false"/>
                <w:bCs w:val="false"/>
                <w:sz w:val="19"/>
                <w:szCs w:val="19"/>
              </w:rPr>
              <w:t xml:space="preserve">$750 actual (API credits, AI access) + Prototype 1 at $65–100</w:t>
            </w:r>
          </w:p>
        </w:tc>
      </w:tr>
    </w:tbl>
    <w:p>
      <w:pPr>
        <w:spacing w:after="0"/>
      </w:pPr>
      <w:r>
        <w:rPr>
          <w:rFonts w:ascii="Calibri" w:cs="Calibri" w:eastAsia="Calibri" w:hAnsi="Calibri"/>
          <w:i/>
          <w:iCs/>
          <w:sz w:val="20"/>
          <w:szCs w:val="20"/>
        </w:rPr>
        <w:t xml:space="preserve">Full recalculating models live in the project's budget workbooks (CiC_Phase1_Budget and Build-Approach Proposals, July 2026), where every assumption is a labeled input with a stated confidence level. Prototype 1 and 2 actuals will replace modeled figures at each gate — partners receive the updates.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2026-07-16T01:15:19.317Z</dcterms:created>
  <dcterms:modified xsi:type="dcterms:W3CDTF">2026-07-16T01:15:19.317Z</dcterms:modified>
</cp:coreProperties>
</file>

<file path=docProps/custom.xml><?xml version="1.0" encoding="utf-8"?>
<Properties xmlns="http://schemas.openxmlformats.org/officeDocument/2006/custom-properties" xmlns:vt="http://schemas.openxmlformats.org/officeDocument/2006/docPropsVTypes"/>
</file>