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b/>
          <w:bCs/>
          <w:color w:val="1F3864"/>
          <w:sz w:val="36"/>
          <w:szCs w:val="36"/>
        </w:rPr>
        <w:t xml:space="preserve">CHURCH IN CONVERSATION</w:t>
      </w:r>
    </w:p>
    <w:p>
      <w:pPr>
        <w:spacing w:after="40"/>
        <w:jc w:val="center"/>
      </w:pPr>
      <w:r>
        <w:rPr>
          <w:sz w:val="28"/>
          <w:szCs w:val="28"/>
        </w:rPr>
        <w:t xml:space="preserve">The Organizational Covenant — Living the Convictions</w:t>
      </w:r>
    </w:p>
    <w:p>
      <w:pPr>
        <w:spacing w:after="260"/>
        <w:jc w:val="center"/>
      </w:pPr>
      <w:r>
        <w:rPr>
          <w:i/>
          <w:iCs/>
          <w:sz w:val="20"/>
          <w:szCs w:val="20"/>
        </w:rPr>
        <w:t xml:space="preserve">DRAFT V0.1 · July 16, 2026 · Charter input for the nonprofit-formation thread · Ministry/Organization</w:t>
      </w:r>
    </w:p>
    <w:p>
      <w:pPr>
        <w:pStyle w:val="Heading1"/>
        <w:spacing w:after="120" w:before="300"/>
      </w:pPr>
      <w:r>
        <w:rPr>
          <w:color w:val="1F3864"/>
        </w:rPr>
        <w:t xml:space="preserve">Why This Covenant Exists</w:t>
      </w:r>
    </w:p>
    <w:p>
      <w:pPr>
        <w:spacing w:after="120"/>
      </w:pPr>
      <w:r>
        <w:t xml:space="preserve">The Constitution governs the encounter — what a Representative may and may not do. This covenant governs </w:t>
      </w:r>
      <w:r>
        <w:rPr>
          <w:b/>
          <w:bCs/>
        </w:rPr>
        <w:t xml:space="preserve">us</w:t>
      </w:r>
      <w:r>
        <w:t xml:space="preserve"> — what the ministry itself may and may not do as it raises money, chooses partners, measures its work, paces itself, and grows. It exists because of two fears the founder named plainly on July 16, 2026, and which this document is built to answer:</w:t>
      </w:r>
    </w:p>
    <w:p>
      <w:pPr>
        <w:spacing w:after="120"/>
        <w:ind w:left="240"/>
      </w:pPr>
      <w:r>
        <w:rPr>
          <w:i/>
          <w:iCs/>
        </w:rPr>
        <w:t xml:space="preserve">“That the pressure for growth would put pressure on the convictions and heart — that we as a ministry live our convictions, not just design for our convictions.”</w:t>
      </w:r>
    </w:p>
    <w:p>
      <w:pPr>
        <w:spacing w:after="120"/>
        <w:ind w:left="240"/>
      </w:pPr>
      <w:r>
        <w:rPr>
          <w:i/>
          <w:iCs/>
        </w:rPr>
        <w:t xml:space="preserve">“That we are not trusting God to be working, and we start designing for impact rather than witness. Churches and schools will want their agendas served; funding will want outcomes served.”</w:t>
      </w:r>
    </w:p>
    <w:p>
      <w:pPr>
        <w:spacing w:after="120"/>
      </w:pPr>
      <w:r>
        <w:t xml:space="preserve">Growth pressure never reaches the product first. It arrives through the organization — a funder’s framing request, a partner’s timeline, a board member’s instincts, a hire’s enthusiasm — long before it reaches a Representative’s voice. So the organization binds itself in writing, the same way it bound the encounter. Nearly every article below is a practice this project has already kept under no pressure but its own convictions; this covenant gathers them into one discipline so they survive the founder’s presence, the board’s turnover, and the arrival of money.</w:t>
      </w:r>
    </w:p>
    <w:p>
      <w:pPr>
        <w:pStyle w:val="Heading1"/>
        <w:spacing w:after="120" w:before="300"/>
      </w:pPr>
      <w:r>
        <w:rPr>
          <w:color w:val="1F3864"/>
        </w:rPr>
        <w:t xml:space="preserve">Article 1 — Witness, Not Impact</w:t>
      </w:r>
    </w:p>
    <w:p>
      <w:pPr>
        <w:spacing w:after="120"/>
      </w:pPr>
      <w:r>
        <w:t xml:space="preserve">We are witnesses to what God is doing, never producers of it. We measure qualitatively to tell the story of what God is doing, and quantitatively to learn how to be better stewards. We never measure how great we are, or how great the program is. We do not claim, promise, project, or sell spiritual outcomes to any funder, partner, or audience. What we honestly report is what we own: the conditions we created (the Encounter-Success Standard’s four conditions), the reach we stewarded (encounters held, worlds validated, access provided), the resources we handled, and the stories participants choose to tell. Whether anyone was changed, and in what direction, belongs to them and to God. The harvest was never the sower’s to produce, so it is not ours to count — or to sell. (1 Cor 3:6–7)</w:t>
      </w:r>
    </w:p>
    <w:p>
      <w:pPr>
        <w:spacing w:after="160"/>
        <w:ind w:left="240"/>
      </w:pPr>
      <w:r>
        <w:rPr>
          <w:b/>
          <w:bCs/>
          <w:i/>
          <w:iCs/>
          <w:sz w:val="21"/>
          <w:szCs w:val="21"/>
        </w:rPr>
        <w:t xml:space="preserve">The test: </w:t>
      </w:r>
      <w:r>
        <w:rPr>
          <w:i/>
          <w:iCs/>
          <w:sz w:val="21"/>
          <w:szCs w:val="21"/>
        </w:rPr>
        <w:t xml:space="preserve">If a funding application, report, or pitch would read differently because we promised an outcome God owns, we rewrite it or decline the funding.</w:t>
      </w:r>
    </w:p>
    <w:p>
      <w:pPr>
        <w:pStyle w:val="Heading1"/>
        <w:spacing w:after="120" w:before="300"/>
      </w:pPr>
      <w:r>
        <w:rPr>
          <w:color w:val="1F3864"/>
        </w:rPr>
        <w:t xml:space="preserve">Article 2 — Money Buys Access, Never Voice</w:t>
      </w:r>
    </w:p>
    <w:p>
      <w:pPr>
        <w:spacing w:after="120"/>
      </w:pPr>
      <w:r>
        <w:t xml:space="preserve">Every dollar exists to widen the Table. No gift, grant, license, or sponsorship — of any size — selects worlds, shapes a Representative, softens a world’s testimony, gates the transparency apparatus, or touches participant data. Named-world sponsorship confers honor, not influence. A gift with strings on content, testimony, or data is declined regardless of amount, and the decline is recorded without resentment: the giver was not wrong to have an agenda; we are simply not able to serve it.</w:t>
      </w:r>
    </w:p>
    <w:p>
      <w:pPr>
        <w:spacing w:after="160"/>
        <w:ind w:left="240"/>
      </w:pPr>
      <w:r>
        <w:rPr>
          <w:b/>
          <w:bCs/>
          <w:i/>
          <w:iCs/>
          <w:sz w:val="21"/>
          <w:szCs w:val="21"/>
        </w:rPr>
        <w:t xml:space="preserve">The test: </w:t>
      </w:r>
      <w:r>
        <w:rPr>
          <w:i/>
          <w:iCs/>
          <w:sz w:val="21"/>
          <w:szCs w:val="21"/>
        </w:rPr>
        <w:t xml:space="preserve">Could the giver, reading our books and our build records, find any place their money changed what a world says? If yes, the covenant is broken.</w:t>
      </w:r>
    </w:p>
    <w:p>
      <w:pPr>
        <w:pStyle w:val="Heading1"/>
        <w:spacing w:after="120" w:before="300"/>
      </w:pPr>
      <w:r>
        <w:rPr>
          <w:color w:val="1F3864"/>
        </w:rPr>
        <w:t xml:space="preserve">Article 3 — Partners Receive the Whole Story</w:t>
      </w:r>
    </w:p>
    <w:p>
      <w:pPr>
        <w:spacing w:after="120"/>
      </w:pPr>
      <w:r>
        <w:t xml:space="preserve">Every funder, partner, and institution sees one complete picture — the same picture. No audience-tailored partial narratives; no version of the story that omits what is unfinished, uncertain, or failed. Failures are reported to partners alongside successes. Institutions that adopt CiC are told before they sign: the Representatives will not serve a tradition’s agenda, defend its distinctives, or nudge students toward its conclusions — a witness who argues has stopped witnessing. A partner who needs that is a partner we honor and decline.</w:t>
      </w:r>
    </w:p>
    <w:p>
      <w:pPr>
        <w:spacing w:after="160"/>
        <w:ind w:left="240"/>
      </w:pPr>
      <w:r>
        <w:rPr>
          <w:b/>
          <w:bCs/>
          <w:i/>
          <w:iCs/>
          <w:sz w:val="21"/>
          <w:szCs w:val="21"/>
        </w:rPr>
        <w:t xml:space="preserve">The test: </w:t>
      </w:r>
      <w:r>
        <w:rPr>
          <w:i/>
          <w:iCs/>
          <w:sz w:val="21"/>
          <w:szCs w:val="21"/>
        </w:rPr>
        <w:t xml:space="preserve">If two partners compared the materials we gave them, would either feel managed? </w:t>
      </w:r>
    </w:p>
    <w:p>
      <w:pPr>
        <w:pStyle w:val="Heading1"/>
        <w:spacing w:after="120" w:before="300"/>
      </w:pPr>
      <w:r>
        <w:rPr>
          <w:color w:val="1F3864"/>
        </w:rPr>
        <w:t xml:space="preserve">Article 4 — No Single Hand on the Till</w:t>
      </w:r>
    </w:p>
    <w:p>
      <w:pPr>
        <w:spacing w:after="120"/>
      </w:pPr>
      <w:r>
        <w:t xml:space="preserve">The long-term funding structure is deliberately many small hands: a broad base of individual supporters and monthly partners — the crowd — precisely because a crowd of small gifts cannot capture an agenda, and because a ministry funded by the many it serves answers to its mission rather than to its largest check. Institutional money (church partners, licenses, grants) is honored scaffolding: it builds what the crowd will later sustain. From Phase 1 onward we hold a diversification discipline — no single funding source should exceed roughly one quarter of the annual operating budget, and where early-stage reality requires an exception, it is named openly as temporary, with the plan to dilute it. The supporter base’s share of funding should grow at every stage.</w:t>
      </w:r>
    </w:p>
    <w:p>
      <w:pPr>
        <w:spacing w:after="160"/>
        <w:ind w:left="240"/>
      </w:pPr>
      <w:r>
        <w:rPr>
          <w:b/>
          <w:bCs/>
          <w:i/>
          <w:iCs/>
          <w:sz w:val="21"/>
          <w:szCs w:val="21"/>
        </w:rPr>
        <w:t xml:space="preserve">The test: </w:t>
      </w:r>
      <w:r>
        <w:rPr>
          <w:i/>
          <w:iCs/>
          <w:sz w:val="21"/>
          <w:szCs w:val="21"/>
        </w:rPr>
        <w:t xml:space="preserve">Is there any single funder whose withdrawal — or whose displeasure — would tempt us to bend Articles 1–3? Then we are over-concentrated, whatever the percentage says.</w:t>
      </w:r>
    </w:p>
    <w:p>
      <w:pPr>
        <w:pStyle w:val="Heading1"/>
        <w:spacing w:after="120" w:before="300"/>
      </w:pPr>
      <w:r>
        <w:rPr>
          <w:color w:val="1F3864"/>
        </w:rPr>
        <w:t xml:space="preserve">Article 5 — Pace Belongs to the Mission</w:t>
      </w:r>
    </w:p>
    <w:p>
      <w:pPr>
        <w:spacing w:after="120"/>
      </w:pPr>
      <w:r>
        <w:t xml:space="preserve">No partner timeline, grant deadline, launch date, or growth target compresses a review gate, ships an unvalidated world, or substitutes internal review for the external scholarly accountability the Constitution requires. Where efficiency and rigor conflict, rigor governs — in the organization’s calendar exactly as in the build. Deferrals are documented, never hidden.</w:t>
      </w:r>
    </w:p>
    <w:p>
      <w:pPr>
        <w:spacing w:after="160"/>
        <w:ind w:left="240"/>
      </w:pPr>
      <w:r>
        <w:rPr>
          <w:b/>
          <w:bCs/>
          <w:i/>
          <w:iCs/>
          <w:sz w:val="21"/>
          <w:szCs w:val="21"/>
        </w:rPr>
        <w:t xml:space="preserve">The test: </w:t>
      </w:r>
      <w:r>
        <w:rPr>
          <w:i/>
          <w:iCs/>
          <w:sz w:val="21"/>
          <w:szCs w:val="21"/>
        </w:rPr>
        <w:t xml:space="preserve">Has any date ever mattered more than a gate? The record should show the gate won every time.</w:t>
      </w:r>
    </w:p>
    <w:p>
      <w:pPr>
        <w:pStyle w:val="Heading1"/>
        <w:spacing w:after="120" w:before="300"/>
      </w:pPr>
      <w:r>
        <w:rPr>
          <w:color w:val="1F3864"/>
        </w:rPr>
        <w:t xml:space="preserve">Article 6 — Measurement Discipline</w:t>
      </w:r>
    </w:p>
    <w:p>
      <w:pPr>
        <w:spacing w:after="120"/>
      </w:pPr>
      <w:r>
        <w:t xml:space="preserve">The three-tier policy is canonical: learning metrics measured freely; engagement numbers tracked as learning and cost signals but never as targets; recruitment and conversion never measured at all — the number is never built, rather than trusting ourselves to ignore it. We measure what stewardship requires, and refuse what pride would feed on.</w:t>
      </w:r>
    </w:p>
    <w:p>
      <w:pPr>
        <w:spacing w:after="160"/>
        <w:ind w:left="240"/>
      </w:pPr>
      <w:r>
        <w:rPr>
          <w:b/>
          <w:bCs/>
          <w:i/>
          <w:iCs/>
          <w:sz w:val="21"/>
          <w:szCs w:val="21"/>
        </w:rPr>
        <w:t xml:space="preserve">The test: </w:t>
      </w:r>
      <w:r>
        <w:rPr>
          <w:i/>
          <w:iCs/>
          <w:sz w:val="21"/>
          <w:szCs w:val="21"/>
        </w:rPr>
        <w:t xml:space="preserve">Does any dashboard, report, or grant deliverable contain a number that asks to go up in a direction the convictions forbid us to push?</w:t>
      </w:r>
    </w:p>
    <w:p>
      <w:pPr>
        <w:pStyle w:val="Heading1"/>
        <w:spacing w:after="120" w:before="300"/>
      </w:pPr>
      <w:r>
        <w:rPr>
          <w:color w:val="1F3864"/>
        </w:rPr>
        <w:t xml:space="preserve">Article 7 — People Who Love What It Is</w:t>
      </w:r>
    </w:p>
    <w:p>
      <w:pPr>
        <w:spacing w:after="120"/>
      </w:pPr>
      <w:r>
        <w:t xml:space="preserve">Board seats, staff roles, and load-bearing volunteer positions go to people who love what this thing </w:t>
      </w:r>
      <w:r>
        <w:rPr>
          <w:b/>
          <w:bCs/>
        </w:rPr>
        <w:t xml:space="preserve">is</w:t>
      </w:r>
      <w:r>
        <w:t xml:space="preserve"> — not people whose deepest instincts must be perpetually fought, however gifted or generous. Agreement to this covenant is a condition of board service and employment. The board exists to protect the Table, not the chair: these commitments bind the founder exactly as they bind everyone after him.</w:t>
      </w:r>
    </w:p>
    <w:p>
      <w:pPr>
        <w:spacing w:after="160"/>
        <w:ind w:left="240"/>
      </w:pPr>
      <w:r>
        <w:rPr>
          <w:b/>
          <w:bCs/>
          <w:i/>
          <w:iCs/>
          <w:sz w:val="21"/>
          <w:szCs w:val="21"/>
        </w:rPr>
        <w:t xml:space="preserve">The test: </w:t>
      </w:r>
      <w:r>
        <w:rPr>
          <w:i/>
          <w:iCs/>
          <w:sz w:val="21"/>
          <w:szCs w:val="21"/>
        </w:rPr>
        <w:t xml:space="preserve">For each person in a governing role: if the founder left tomorrow, would this person defend these articles or renegotiate them?</w:t>
      </w:r>
    </w:p>
    <w:p>
      <w:pPr>
        <w:pStyle w:val="Heading1"/>
        <w:spacing w:after="120" w:before="300"/>
      </w:pPr>
      <w:r>
        <w:rPr>
          <w:color w:val="1F3864"/>
        </w:rPr>
        <w:t xml:space="preserve">Standing and Revision</w:t>
      </w:r>
    </w:p>
    <w:p>
      <w:pPr>
        <w:spacing w:after="120"/>
      </w:pPr>
      <w:r>
        <w:t xml:space="preserve">This covenant is charter input: the nonprofit-formation thread carries its substance into the articles of incorporation and bylaws (mission-lock provisions, gift-acceptance policy, board covenant), where it acquires legal force. Until then it binds by adoption. It is revised the way the Constitution is revised — for governance gaps and genuine correction, never because a funder, partner, or growth opportunity finds it inconvenient. The moment an article becomes costly is the moment it is doing its work.</w:t>
      </w:r>
    </w:p>
    <w:p>
      <w:pPr>
        <w:spacing w:after="120"/>
      </w:pPr>
      <w:r>
        <w:rPr>
          <w:i/>
          <w:iCs/>
        </w:rPr>
        <w:t xml:space="preserve">Draft V0.1 — for Mark’s markup. Built from decisions already recorded in the funding decision log (one-master-packet 2026-07-15; measurement policy and scriptural grounding 2026-07-15; board-candidate discipline 2026-07-15; structure decision 2026-07-15; witness-not-recruitment, Constitution Art. 24; Encounter-Success Standard, Art. 6) and from Mark’s own words of 2026-07-16.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2026-07-16T13:16:24.720Z</dcterms:created>
  <dcterms:modified xsi:type="dcterms:W3CDTF">2026-07-16T13:16:24.721Z</dcterms:modified>
</cp:coreProperties>
</file>

<file path=docProps/custom.xml><?xml version="1.0" encoding="utf-8"?>
<Properties xmlns="http://schemas.openxmlformats.org/officeDocument/2006/custom-properties" xmlns:vt="http://schemas.openxmlformats.org/officeDocument/2006/docPropsVTypes"/>
</file>