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doc_04-historical-gravity-discovery"/>
      <w:r>
        <w:t xml:space="preserve">Doc_04 — Historical Gravity Discovery</w:t>
      </w:r>
      <w:bookmarkEnd w:id="20"/>
    </w:p>
    <w:p>
      <w:pPr>
        <w:pStyle w:val="Heading2"/>
      </w:pPr>
      <w:bookmarkStart w:id="21" w:name="X489262c40f1fb73c52678aea9ee571b46d69319"/>
      <w:r>
        <w:t xml:space="preserve">Nicene-Cappadocian Formation World (cappadocian) — Church in Conversation V7</w:t>
      </w:r>
      <w:bookmarkEnd w:id="21"/>
    </w:p>
    <w:p>
      <w:pPr>
        <w:pStyle w:val="FirstParagraph"/>
      </w:pPr>
      <w:r>
        <w:rPr>
          <w:b/>
        </w:rPr>
        <w:t xml:space="preserve">Step:</w:t>
      </w:r>
      <w:r>
        <w:t xml:space="preserve"> </w:t>
      </w:r>
      <w:r>
        <w:t xml:space="preserve">4 of 10 ·</w:t>
      </w:r>
      <w:r>
        <w:t xml:space="preserve"> </w:t>
      </w:r>
      <w:r>
        <w:rPr>
          <w:b/>
        </w:rPr>
        <w:t xml:space="preserve">Governed by:</w:t>
      </w:r>
      <w:r>
        <w:t xml:space="preserve"> </w:t>
      </w:r>
      <w:r>
        <w:t xml:space="preserve">Construction Framework Part III; Forces Framework Step 4; Constitution Articles 21, 22</w:t>
      </w:r>
      <w:r>
        <w:t xml:space="preserve"> </w:t>
      </w:r>
      <w:r>
        <w:rPr>
          <w:b/>
        </w:rPr>
        <w:t xml:space="preserve">Status:</w:t>
      </w:r>
      <w:r>
        <w:t xml:space="preserve"> </w:t>
      </w:r>
      <w:r>
        <w:t xml:space="preserve">Complete, unreviewed. This document also adjudicates, on the evidence, the cross-build differentiation question logged at Phase Status (the medium blur risk with Alexandria and the Teacher-Bishop divergence) and the candidate distinctives named in this build’s assignment (the communal-ascetic project, the family-network texture, Trinitarian labor as lived formation, the region’s relation to imperial church politics). Each was treated as a candidate among candidates, generated and tested like the rest — none was ratified by instruction.</w:t>
      </w:r>
    </w:p>
    <w:p>
      <w:r>
        <w:pict>
          <v:rect style="width:0;height:1.5pt" o:hralign="center" o:hrstd="t" o:hr="t"/>
        </w:pict>
      </w:r>
    </w:p>
    <w:p>
      <w:pPr>
        <w:pStyle w:val="Heading2"/>
      </w:pPr>
      <w:bookmarkStart w:id="22" w:name="X674f4465944ae047f844764c3a87902142edd93"/>
      <w:r>
        <w:t xml:space="preserve">1. Candidate Generation (traceable to Doc_02 evidence streams)</w:t>
      </w:r>
      <w:bookmarkEnd w:id="22"/>
    </w:p>
    <w:p>
      <w:pPr>
        <w:pStyle w:val="FirstParagraph"/>
      </w:pPr>
      <w:r>
        <w:t xml:space="preserve">Candidates were generated from recurrence across multiple evidence streams, not general impression. Each lists its streams; single-stream or single-author candidates are AG-flagged at generation, per the Framework.</w:t>
      </w:r>
    </w:p>
    <w:p>
      <w:pPr>
        <w:numPr>
          <w:ilvl w:val="0"/>
          <w:numId w:val="1001"/>
        </w:numPr>
        <w:pStyle w:val="Compact"/>
      </w:pPr>
      <w:r>
        <w:rPr>
          <w:b/>
        </w:rPr>
        <w:t xml:space="preserve">The Triune God confessed at the edge of the knowable</w:t>
      </w:r>
      <w:r>
        <w:t xml:space="preserve"> </w:t>
      </w:r>
      <w:r>
        <w:t xml:space="preserve">(in the world’s own words: the akatalēptos God rightly glorified — right doxa against those who would define him and those who would demote the Spirit). Streams: dogmatic-polemical corpus (both Contra Eunomium projects; the Theological Orations; On the Holy Spirit); liturgical-customary evidence (the doxology controversy; the baptismal formula argued as doctrine’s warrant; the unwritten-customs argument); conciliar-credal stream (Nicaea’s defense; 381 and its creed; the communion law); catechetical stream (the Catechetical Oration; baptismal orations); even the crowd stream (Nyssen’s money-changers complaint — the argument reached the marketplace).</w:t>
      </w:r>
    </w:p>
    <w:p>
      <w:pPr>
        <w:numPr>
          <w:ilvl w:val="0"/>
          <w:numId w:val="1001"/>
        </w:numPr>
        <w:pStyle w:val="Compact"/>
      </w:pPr>
      <w:r>
        <w:rPr>
          <w:b/>
        </w:rPr>
        <w:t xml:space="preserve">The ascetic reordering of life toward koinōnia and the poor</w:t>
      </w:r>
      <w:r>
        <w:t xml:space="preserve"> </w:t>
      </w:r>
      <w:r>
        <w:t xml:space="preserve">(renunciation ordered into common life with a guest-door: household → sisterhood/brotherhood → poorhouse). Streams: ascetic-legislative corpus (the Asketikon; the embedded community questions); the Gangra canons (the disorder that ordering answered); philanthropic institutions (the Basileias — letters and Or. 43); the poverty homilies (famine, barns, usury — Basil and Nyssen; Nazianzen’s On the Love of the Poor); formation narrative (the Vita’s household-become-community).</w:t>
      </w:r>
    </w:p>
    <w:p>
      <w:pPr>
        <w:numPr>
          <w:ilvl w:val="0"/>
          <w:numId w:val="1001"/>
        </w:numPr>
        <w:pStyle w:val="Compact"/>
      </w:pPr>
      <w:r>
        <w:rPr>
          <w:b/>
        </w:rPr>
        <w:t xml:space="preserve">Paideia converted</w:t>
      </w:r>
      <w:r>
        <w:t xml:space="preserve"> </w:t>
      </w:r>
      <w:r>
        <w:t xml:space="preserve">(the Greek formation ladder repossessed for Christ: Athens used, the classics as bee-flowers, rhetoric in the pulpit; the counter-pressures — Julian’s edict outside,</w:t>
      </w:r>
      <w:r>
        <w:t xml:space="preserve"> </w:t>
      </w:r>
      <w:r>
        <w:t xml:space="preserve">“</w:t>
      </w:r>
      <w:r>
        <w:t xml:space="preserve">fishermen’s simplicity</w:t>
      </w:r>
      <w:r>
        <w:t xml:space="preserve">”</w:t>
      </w:r>
      <w:r>
        <w:t xml:space="preserve"> </w:t>
      </w:r>
      <w:r>
        <w:t xml:space="preserve">impatience inside). Streams: Address to Young Men; the invectives against Julian and the school-edict crisis; the Libanius correspondence; the whole corpus’s rhetorical fabric; the anti-Eunomian method itself (logic disciplined by reverence against logic worshipped).</w:t>
      </w:r>
    </w:p>
    <w:p>
      <w:pPr>
        <w:numPr>
          <w:ilvl w:val="0"/>
          <w:numId w:val="1001"/>
        </w:numPr>
        <w:pStyle w:val="Compact"/>
      </w:pPr>
      <w:r>
        <w:rPr>
          <w:b/>
        </w:rPr>
        <w:t xml:space="preserve">The martyrs’ land</w:t>
      </w:r>
      <w:r>
        <w:t xml:space="preserve"> </w:t>
      </w:r>
      <w:r>
        <w:t xml:space="preserve">(the last persecutions’ dead as patrons: the Forty, Gordius, Mamas, Julitta; the panēgyris calendar; family relics). Streams: festal homilies (multiple authors); the Vita’s estate-shrine and relic notices; the region’s founding confessor-memory (grandparents’ generation).</w:t>
      </w:r>
    </w:p>
    <w:p>
      <w:pPr>
        <w:numPr>
          <w:ilvl w:val="0"/>
          <w:numId w:val="1001"/>
        </w:numPr>
        <w:pStyle w:val="Compact"/>
      </w:pPr>
      <w:r>
        <w:rPr>
          <w:b/>
        </w:rPr>
        <w:t xml:space="preserve">The household as formation lineage</w:t>
      </w:r>
      <w:r>
        <w:t xml:space="preserve"> </w:t>
      </w:r>
      <w:r>
        <w:t xml:space="preserve">(the Christian gentry family as the world’s seminary: grandmother to mother to sister to brothers; leadership emerging from converted households; the funeral orations’ domestic saints). Streams: Vita Macrinae; the funeral orations on family (Caesarius, Gorgonia, the elder Gregory); Basil’s own account of his formation inheritance (the grandmother’s Thaumaturgan teaching — letters at work level); the sheer prosopography of the world’s leadership (one family: three bishops, one didaskalos, one monk).</w:t>
      </w:r>
    </w:p>
    <w:p>
      <w:pPr>
        <w:numPr>
          <w:ilvl w:val="0"/>
          <w:numId w:val="1001"/>
        </w:numPr>
        <w:pStyle w:val="Compact"/>
      </w:pPr>
      <w:r>
        <w:rPr>
          <w:b/>
        </w:rPr>
        <w:t xml:space="preserve">The bishop as public patron under famine and empire</w:t>
      </w:r>
      <w:r>
        <w:t xml:space="preserve"> </w:t>
      </w:r>
      <w:r>
        <w:t xml:space="preserve">(grain, tax appeals, the poorhouse, the prefect’s bench, the governor’s mercy sought). Streams: famine homilies; correspondence with officials; Or. 43’s public-Basil narrative; the canonical letters (discipline as governance).</w:t>
      </w:r>
    </w:p>
    <w:p>
      <w:pPr>
        <w:numPr>
          <w:ilvl w:val="0"/>
          <w:numId w:val="1001"/>
        </w:numPr>
        <w:pStyle w:val="Compact"/>
      </w:pPr>
      <w:r>
        <w:rPr>
          <w:b/>
        </w:rPr>
        <w:t xml:space="preserve">Hēsychia against the summons</w:t>
      </w:r>
      <w:r>
        <w:t xml:space="preserve"> </w:t>
      </w:r>
      <w:r>
        <w:t xml:space="preserve">(the pull between stillness and office: the Pontus retreat against the metropolis; flight from ordination; the philosopher conscripted). Streams: Basil’s early letters (the retreat ideal) against his career; Nazianzen’s Oration 2, the flight narratives, De vita sua, the Sasima wound; Nyssen the unwilling administrator (Basil’s own complaints of his brother’s unfitness). AG flag at generation: articulated almost wholly by the three authors about themselves — but it is also</w:t>
      </w:r>
      <w:r>
        <w:t xml:space="preserve"> </w:t>
      </w:r>
      <w:r>
        <w:rPr>
          <w:i/>
        </w:rPr>
        <w:t xml:space="preserve">enacted</w:t>
      </w:r>
      <w:r>
        <w:t xml:space="preserve"> </w:t>
      </w:r>
      <w:r>
        <w:t xml:space="preserve">in their documented careers, which is evidence of a different kind than self-description.</w:t>
      </w:r>
    </w:p>
    <w:p>
      <w:pPr>
        <w:numPr>
          <w:ilvl w:val="0"/>
          <w:numId w:val="1001"/>
        </w:numPr>
        <w:pStyle w:val="Compact"/>
      </w:pPr>
      <w:r>
        <w:rPr>
          <w:b/>
        </w:rPr>
        <w:t xml:space="preserve">The contested church under the contested empire</w:t>
      </w:r>
      <w:r>
        <w:t xml:space="preserve"> </w:t>
      </w:r>
      <w:r>
        <w:t xml:space="preserve">(the situation: reign-by-reign policy swings — Constantius, Julian, Valens, Theodosius; exiles and depositions; the provincial division of 372; the Nicene minority’s long endurance to sudden victory). Streams: imperial-legal stream; the exile correspondence; the Constantinople mission; the invectives; Or. 43’s Valens material.</w:t>
      </w:r>
    </w:p>
    <w:p>
      <w:pPr>
        <w:numPr>
          <w:ilvl w:val="0"/>
          <w:numId w:val="1001"/>
        </w:numPr>
        <w:pStyle w:val="Compact"/>
      </w:pPr>
      <w:r>
        <w:rPr>
          <w:b/>
        </w:rPr>
        <w:t xml:space="preserve">Grief schooled by resurrection</w:t>
      </w:r>
      <w:r>
        <w:t xml:space="preserve"> </w:t>
      </w:r>
      <w:r>
        <w:t xml:space="preserve">(the era’s dense consolation culture: funeral orations, deathbed dialogues, consolation letters, infant-death treatises). Streams: consolatory corpus across all three authors; the Vita’s deathbed; the family’s serial bereavements as the texts’ occasions. AG flag: genre-dense but circle-internal — is it the world’s or this bereaved family’s?</w:t>
      </w:r>
    </w:p>
    <w:p>
      <w:r>
        <w:pict>
          <v:rect style="width:0;height:1.5pt" o:hralign="center" o:hrstd="t" o:hr="t"/>
        </w:pict>
      </w:r>
    </w:p>
    <w:p>
      <w:pPr>
        <w:pStyle w:val="Heading2"/>
      </w:pPr>
      <w:bookmarkStart w:id="23" w:name="the-six-tests-summary-matrix"/>
      <w:r>
        <w:t xml:space="preserve">2. The Six Tests (summary matrix)</w:t>
      </w:r>
      <w:bookmarkEnd w:id="23"/>
    </w:p>
    <w:p>
      <w:pPr>
        <w:pStyle w:val="FirstParagraph"/>
      </w:pPr>
      <w:r>
        <w:t xml:space="preserve">Scores: strong / moderate / weak, argued in prose below the matrix for the decisive cases.</w:t>
      </w:r>
    </w:p>
    <w:tbl>
      <w:tblPr>
        <w:tblStyle w:val="Table"/>
        <w:tblW w:type="pct" w:w="4999.999999999999"/>
        <w:tblLook w:firstRow="1"/>
      </w:tblPr>
      <w:tblGrid>
        <w:gridCol w:w="1131"/>
        <w:gridCol w:w="1131"/>
        <w:gridCol w:w="1131"/>
        <w:gridCol w:w="1131"/>
        <w:gridCol w:w="1131"/>
        <w:gridCol w:w="1131"/>
        <w:gridCol w:w="1131"/>
      </w:tblGrid>
      <w:tr>
        <w:trPr>
          <w:cnfStyle w:firstRow="1"/>
        </w:trPr>
        <w:tc>
          <w:tcPr>
            <w:tcBorders>
              <w:bottom w:val="single"/>
            </w:tcBorders>
            <w:vAlign w:val="bottom"/>
          </w:tcPr>
          <w:p>
            <w:pPr>
              <w:pStyle w:val="Compact"/>
              <w:jc w:val="left"/>
            </w:pPr>
            <w:r>
              <w:t xml:space="preserve">Candidate</w:t>
            </w:r>
          </w:p>
        </w:tc>
        <w:tc>
          <w:tcPr>
            <w:tcBorders>
              <w:bottom w:val="single"/>
            </w:tcBorders>
            <w:vAlign w:val="bottom"/>
          </w:tcPr>
          <w:p>
            <w:pPr>
              <w:pStyle w:val="Compact"/>
              <w:jc w:val="left"/>
            </w:pPr>
            <w:r>
              <w:t xml:space="preserve">Repetition</w:t>
            </w:r>
          </w:p>
        </w:tc>
        <w:tc>
          <w:tcPr>
            <w:tcBorders>
              <w:bottom w:val="single"/>
            </w:tcBorders>
            <w:vAlign w:val="bottom"/>
          </w:tcPr>
          <w:p>
            <w:pPr>
              <w:pStyle w:val="Compact"/>
              <w:jc w:val="left"/>
            </w:pPr>
            <w:r>
              <w:t xml:space="preserve">Dependency</w:t>
            </w:r>
          </w:p>
        </w:tc>
        <w:tc>
          <w:tcPr>
            <w:tcBorders>
              <w:bottom w:val="single"/>
            </w:tcBorders>
            <w:vAlign w:val="bottom"/>
          </w:tcPr>
          <w:p>
            <w:pPr>
              <w:pStyle w:val="Compact"/>
              <w:jc w:val="left"/>
            </w:pPr>
            <w:r>
              <w:t xml:space="preserve">Formation</w:t>
            </w:r>
          </w:p>
        </w:tc>
        <w:tc>
          <w:tcPr>
            <w:tcBorders>
              <w:bottom w:val="single"/>
            </w:tcBorders>
            <w:vAlign w:val="bottom"/>
          </w:tcPr>
          <w:p>
            <w:pPr>
              <w:pStyle w:val="Compact"/>
              <w:jc w:val="left"/>
            </w:pPr>
            <w:r>
              <w:t xml:space="preserve">Explanatory</w:t>
            </w:r>
          </w:p>
        </w:tc>
        <w:tc>
          <w:tcPr>
            <w:tcBorders>
              <w:bottom w:val="single"/>
            </w:tcBorders>
            <w:vAlign w:val="bottom"/>
          </w:tcPr>
          <w:p>
            <w:pPr>
              <w:pStyle w:val="Compact"/>
              <w:jc w:val="left"/>
            </w:pPr>
            <w:r>
              <w:t xml:space="preserve">Persistence</w:t>
            </w:r>
          </w:p>
        </w:tc>
        <w:tc>
          <w:tcPr>
            <w:tcBorders>
              <w:bottom w:val="single"/>
            </w:tcBorders>
            <w:vAlign w:val="bottom"/>
          </w:tcPr>
          <w:p>
            <w:pPr>
              <w:pStyle w:val="Compact"/>
              <w:jc w:val="left"/>
            </w:pPr>
            <w:r>
              <w:t xml:space="preserve">Interaction</w:t>
            </w:r>
          </w:p>
        </w:tc>
      </w:tr>
      <w:tr>
        <w:tc>
          <w:p>
            <w:pPr>
              <w:pStyle w:val="Compact"/>
              <w:jc w:val="left"/>
            </w:pPr>
            <w:r>
              <w:t xml:space="preserve">1 Triune God at the edge of the knowable</w:t>
            </w:r>
          </w:p>
        </w:tc>
        <w:tc>
          <w:p>
            <w:pPr>
              <w:pStyle w:val="Compact"/>
              <w:jc w:val="left"/>
            </w:pPr>
            <w:r>
              <w:t xml:space="preserve">strong</w:t>
            </w:r>
          </w:p>
        </w:tc>
        <w:tc>
          <w:p>
            <w:pPr>
              <w:pStyle w:val="Compact"/>
              <w:jc w:val="left"/>
            </w:pPr>
            <w:r>
              <w:t xml:space="preserve">strong</w:t>
            </w:r>
          </w:p>
        </w:tc>
        <w:tc>
          <w:p>
            <w:pPr>
              <w:pStyle w:val="Compact"/>
              <w:jc w:val="left"/>
            </w:pPr>
            <w:r>
              <w:t xml:space="preserve">strong</w:t>
            </w:r>
          </w:p>
        </w:tc>
        <w:tc>
          <w:p>
            <w:pPr>
              <w:pStyle w:val="Compact"/>
              <w:jc w:val="left"/>
            </w:pPr>
            <w:r>
              <w:t xml:space="preserve">strong</w:t>
            </w:r>
          </w:p>
        </w:tc>
        <w:tc>
          <w:p>
            <w:pPr>
              <w:pStyle w:val="Compact"/>
              <w:jc w:val="left"/>
            </w:pPr>
            <w:r>
              <w:t xml:space="preserve">strong</w:t>
            </w:r>
          </w:p>
        </w:tc>
        <w:tc>
          <w:p>
            <w:pPr>
              <w:pStyle w:val="Compact"/>
              <w:jc w:val="left"/>
            </w:pPr>
            <w:r>
              <w:t xml:space="preserve">strong</w:t>
            </w:r>
          </w:p>
        </w:tc>
      </w:tr>
      <w:tr>
        <w:tc>
          <w:p>
            <w:pPr>
              <w:pStyle w:val="Compact"/>
              <w:jc w:val="left"/>
            </w:pPr>
            <w:r>
              <w:t xml:space="preserve">2 Ascetic reordering toward koinōnia and the poor</w:t>
            </w:r>
          </w:p>
        </w:tc>
        <w:tc>
          <w:p>
            <w:pPr>
              <w:pStyle w:val="Compact"/>
              <w:jc w:val="left"/>
            </w:pPr>
            <w:r>
              <w:t xml:space="preserve">strong</w:t>
            </w:r>
          </w:p>
        </w:tc>
        <w:tc>
          <w:p>
            <w:pPr>
              <w:pStyle w:val="Compact"/>
              <w:jc w:val="left"/>
            </w:pPr>
            <w:r>
              <w:t xml:space="preserve">strong</w:t>
            </w:r>
          </w:p>
        </w:tc>
        <w:tc>
          <w:p>
            <w:pPr>
              <w:pStyle w:val="Compact"/>
              <w:jc w:val="left"/>
            </w:pPr>
            <w:r>
              <w:t xml:space="preserve">strong</w:t>
            </w:r>
          </w:p>
        </w:tc>
        <w:tc>
          <w:p>
            <w:pPr>
              <w:pStyle w:val="Compact"/>
              <w:jc w:val="left"/>
            </w:pPr>
            <w:r>
              <w:t xml:space="preserve">strong</w:t>
            </w:r>
          </w:p>
        </w:tc>
        <w:tc>
          <w:p>
            <w:pPr>
              <w:pStyle w:val="Compact"/>
              <w:jc w:val="left"/>
            </w:pPr>
            <w:r>
              <w:t xml:space="preserve">strong</w:t>
            </w:r>
          </w:p>
        </w:tc>
        <w:tc>
          <w:p>
            <w:pPr>
              <w:pStyle w:val="Compact"/>
              <w:jc w:val="left"/>
            </w:pPr>
            <w:r>
              <w:t xml:space="preserve">strong</w:t>
            </w:r>
          </w:p>
        </w:tc>
      </w:tr>
      <w:tr>
        <w:tc>
          <w:p>
            <w:pPr>
              <w:pStyle w:val="Compact"/>
              <w:jc w:val="left"/>
            </w:pPr>
            <w:r>
              <w:t xml:space="preserve">3 Paideia converted</w:t>
            </w:r>
          </w:p>
        </w:tc>
        <w:tc>
          <w:p>
            <w:pPr>
              <w:pStyle w:val="Compact"/>
              <w:jc w:val="left"/>
            </w:pPr>
            <w:r>
              <w:t xml:space="preserve">strong</w:t>
            </w:r>
          </w:p>
        </w:tc>
        <w:tc>
          <w:p>
            <w:pPr>
              <w:pStyle w:val="Compact"/>
              <w:jc w:val="left"/>
            </w:pPr>
            <w:r>
              <w:t xml:space="preserve">moderate–strong</w:t>
            </w:r>
          </w:p>
        </w:tc>
        <w:tc>
          <w:p>
            <w:pPr>
              <w:pStyle w:val="Compact"/>
              <w:jc w:val="left"/>
            </w:pPr>
            <w:r>
              <w:t xml:space="preserve">strong (where present)</w:t>
            </w:r>
          </w:p>
        </w:tc>
        <w:tc>
          <w:p>
            <w:pPr>
              <w:pStyle w:val="Compact"/>
              <w:jc w:val="left"/>
            </w:pPr>
            <w:r>
              <w:t xml:space="preserve">strong</w:t>
            </w:r>
          </w:p>
        </w:tc>
        <w:tc>
          <w:p>
            <w:pPr>
              <w:pStyle w:val="Compact"/>
              <w:jc w:val="left"/>
            </w:pPr>
            <w:r>
              <w:rPr>
                <w:b/>
              </w:rPr>
              <w:t xml:space="preserve">moderate</w:t>
            </w:r>
            <w:r>
              <w:t xml:space="preserve"> </w:t>
            </w:r>
            <w:r>
              <w:t xml:space="preserve">(elite-bounded)</w:t>
            </w:r>
          </w:p>
        </w:tc>
        <w:tc>
          <w:p>
            <w:pPr>
              <w:pStyle w:val="Compact"/>
              <w:jc w:val="left"/>
            </w:pPr>
            <w:r>
              <w:t xml:space="preserve">strong</w:t>
            </w:r>
          </w:p>
        </w:tc>
      </w:tr>
      <w:tr>
        <w:tc>
          <w:p>
            <w:pPr>
              <w:pStyle w:val="Compact"/>
              <w:jc w:val="left"/>
            </w:pPr>
            <w:r>
              <w:t xml:space="preserve">4 The martyrs’ land</w:t>
            </w:r>
          </w:p>
        </w:tc>
        <w:tc>
          <w:p>
            <w:pPr>
              <w:pStyle w:val="Compact"/>
              <w:jc w:val="left"/>
            </w:pPr>
            <w:r>
              <w:t xml:space="preserve">strong</w:t>
            </w:r>
          </w:p>
        </w:tc>
        <w:tc>
          <w:p>
            <w:pPr>
              <w:pStyle w:val="Compact"/>
              <w:jc w:val="left"/>
            </w:pPr>
            <w:r>
              <w:t xml:space="preserve">moderate</w:t>
            </w:r>
          </w:p>
        </w:tc>
        <w:tc>
          <w:p>
            <w:pPr>
              <w:pStyle w:val="Compact"/>
              <w:jc w:val="left"/>
            </w:pPr>
            <w:r>
              <w:t xml:space="preserve">strong</w:t>
            </w:r>
          </w:p>
        </w:tc>
        <w:tc>
          <w:p>
            <w:pPr>
              <w:pStyle w:val="Compact"/>
              <w:jc w:val="left"/>
            </w:pPr>
            <w:r>
              <w:t xml:space="preserve">moderate</w:t>
            </w:r>
          </w:p>
        </w:tc>
        <w:tc>
          <w:p>
            <w:pPr>
              <w:pStyle w:val="Compact"/>
              <w:jc w:val="left"/>
            </w:pPr>
            <w:r>
              <w:t xml:space="preserve">strong</w:t>
            </w:r>
          </w:p>
        </w:tc>
        <w:tc>
          <w:p>
            <w:pPr>
              <w:pStyle w:val="Compact"/>
              <w:jc w:val="left"/>
            </w:pPr>
            <w:r>
              <w:t xml:space="preserve">strong</w:t>
            </w:r>
          </w:p>
        </w:tc>
      </w:tr>
      <w:tr>
        <w:tc>
          <w:p>
            <w:pPr>
              <w:pStyle w:val="Compact"/>
              <w:jc w:val="left"/>
            </w:pPr>
            <w:r>
              <w:t xml:space="preserve">5 Household as formation lineage</w:t>
            </w:r>
          </w:p>
        </w:tc>
        <w:tc>
          <w:p>
            <w:pPr>
              <w:pStyle w:val="Compact"/>
              <w:jc w:val="left"/>
            </w:pPr>
            <w:r>
              <w:t xml:space="preserve">strong</w:t>
            </w:r>
          </w:p>
        </w:tc>
        <w:tc>
          <w:p>
            <w:pPr>
              <w:pStyle w:val="Compact"/>
              <w:jc w:val="left"/>
            </w:pPr>
            <w:r>
              <w:t xml:space="preserve">moderate</w:t>
            </w:r>
          </w:p>
        </w:tc>
        <w:tc>
          <w:p>
            <w:pPr>
              <w:pStyle w:val="Compact"/>
              <w:jc w:val="left"/>
            </w:pPr>
            <w:r>
              <w:t xml:space="preserve">strong (where visible)</w:t>
            </w:r>
          </w:p>
        </w:tc>
        <w:tc>
          <w:p>
            <w:pPr>
              <w:pStyle w:val="Compact"/>
              <w:jc w:val="left"/>
            </w:pPr>
            <w:r>
              <w:t xml:space="preserve">strong</w:t>
            </w:r>
          </w:p>
        </w:tc>
        <w:tc>
          <w:p>
            <w:pPr>
              <w:pStyle w:val="Compact"/>
              <w:jc w:val="left"/>
            </w:pPr>
            <w:r>
              <w:rPr>
                <w:b/>
              </w:rPr>
              <w:t xml:space="preserve">moderate</w:t>
            </w:r>
            <w:r>
              <w:t xml:space="preserve"> </w:t>
            </w:r>
            <w:r>
              <w:t xml:space="preserve">(visibility problem)</w:t>
            </w:r>
          </w:p>
        </w:tc>
        <w:tc>
          <w:p>
            <w:pPr>
              <w:pStyle w:val="Compact"/>
              <w:jc w:val="left"/>
            </w:pPr>
            <w:r>
              <w:t xml:space="preserve">strong</w:t>
            </w:r>
          </w:p>
        </w:tc>
      </w:tr>
      <w:tr>
        <w:tc>
          <w:p>
            <w:pPr>
              <w:pStyle w:val="Compact"/>
              <w:jc w:val="left"/>
            </w:pPr>
            <w:r>
              <w:t xml:space="preserve">6 Bishop as public patron</w:t>
            </w:r>
          </w:p>
        </w:tc>
        <w:tc>
          <w:p>
            <w:pPr>
              <w:pStyle w:val="Compact"/>
              <w:jc w:val="left"/>
            </w:pPr>
            <w:r>
              <w:t xml:space="preserve">strong</w:t>
            </w:r>
          </w:p>
        </w:tc>
        <w:tc>
          <w:p>
            <w:pPr>
              <w:pStyle w:val="Compact"/>
              <w:jc w:val="left"/>
            </w:pPr>
            <w:r>
              <w:t xml:space="preserve">moderate</w:t>
            </w:r>
          </w:p>
        </w:tc>
        <w:tc>
          <w:p>
            <w:pPr>
              <w:pStyle w:val="Compact"/>
              <w:jc w:val="left"/>
            </w:pPr>
            <w:r>
              <w:t xml:space="preserve">moderate</w:t>
            </w:r>
          </w:p>
        </w:tc>
        <w:tc>
          <w:p>
            <w:pPr>
              <w:pStyle w:val="Compact"/>
              <w:jc w:val="left"/>
            </w:pPr>
            <w:r>
              <w:t xml:space="preserve">moderate</w:t>
            </w:r>
          </w:p>
        </w:tc>
        <w:tc>
          <w:p>
            <w:pPr>
              <w:pStyle w:val="Compact"/>
              <w:jc w:val="left"/>
            </w:pPr>
            <w:r>
              <w:t xml:space="preserve">strong</w:t>
            </w:r>
          </w:p>
        </w:tc>
        <w:tc>
          <w:p>
            <w:pPr>
              <w:pStyle w:val="Compact"/>
              <w:jc w:val="left"/>
            </w:pPr>
            <w:r>
              <w:t xml:space="preserve">strong</w:t>
            </w:r>
          </w:p>
        </w:tc>
      </w:tr>
      <w:tr>
        <w:tc>
          <w:p>
            <w:pPr>
              <w:pStyle w:val="Compact"/>
              <w:jc w:val="left"/>
            </w:pPr>
            <w:r>
              <w:t xml:space="preserve">7 Hēsychia against the summons</w:t>
            </w:r>
          </w:p>
        </w:tc>
        <w:tc>
          <w:p>
            <w:pPr>
              <w:pStyle w:val="Compact"/>
              <w:jc w:val="left"/>
            </w:pPr>
            <w:r>
              <w:t xml:space="preserve">strong</w:t>
            </w:r>
          </w:p>
        </w:tc>
        <w:tc>
          <w:p>
            <w:pPr>
              <w:pStyle w:val="Compact"/>
              <w:jc w:val="left"/>
            </w:pPr>
            <w:r>
              <w:t xml:space="preserve">moderate</w:t>
            </w:r>
          </w:p>
        </w:tc>
        <w:tc>
          <w:p>
            <w:pPr>
              <w:pStyle w:val="Compact"/>
              <w:jc w:val="left"/>
            </w:pPr>
            <w:r>
              <w:t xml:space="preserve">strong (for the formed core)</w:t>
            </w:r>
          </w:p>
        </w:tc>
        <w:tc>
          <w:p>
            <w:pPr>
              <w:pStyle w:val="Compact"/>
              <w:jc w:val="left"/>
            </w:pPr>
            <w:r>
              <w:t xml:space="preserve">strong</w:t>
            </w:r>
          </w:p>
        </w:tc>
        <w:tc>
          <w:p>
            <w:pPr>
              <w:pStyle w:val="Compact"/>
              <w:jc w:val="left"/>
            </w:pPr>
            <w:r>
              <w:rPr>
                <w:b/>
              </w:rPr>
              <w:t xml:space="preserve">moderate</w:t>
            </w:r>
            <w:r>
              <w:t xml:space="preserve"> </w:t>
            </w:r>
            <w:r>
              <w:t xml:space="preserve">(author-bounded)</w:t>
            </w:r>
          </w:p>
        </w:tc>
        <w:tc>
          <w:p>
            <w:pPr>
              <w:pStyle w:val="Compact"/>
              <w:jc w:val="left"/>
            </w:pPr>
            <w:r>
              <w:t xml:space="preserve">strong</w:t>
            </w:r>
          </w:p>
        </w:tc>
      </w:tr>
      <w:tr>
        <w:tc>
          <w:p>
            <w:pPr>
              <w:pStyle w:val="Compact"/>
              <w:jc w:val="left"/>
            </w:pPr>
            <w:r>
              <w:t xml:space="preserve">8 Contested church under contested empire</w:t>
            </w:r>
          </w:p>
        </w:tc>
        <w:tc>
          <w:p>
            <w:pPr>
              <w:pStyle w:val="Compact"/>
              <w:jc w:val="left"/>
            </w:pPr>
            <w:r>
              <w:t xml:space="preserve">strong</w:t>
            </w:r>
          </w:p>
        </w:tc>
        <w:tc>
          <w:p>
            <w:pPr>
              <w:pStyle w:val="Compact"/>
              <w:jc w:val="left"/>
            </w:pPr>
            <w:r>
              <w:t xml:space="preserve">strong</w:t>
            </w:r>
          </w:p>
        </w:tc>
        <w:tc>
          <w:p>
            <w:pPr>
              <w:pStyle w:val="Compact"/>
              <w:jc w:val="left"/>
            </w:pPr>
            <w:r>
              <w:rPr>
                <w:b/>
              </w:rPr>
              <w:t xml:space="preserve">moderate</w:t>
            </w:r>
          </w:p>
        </w:tc>
        <w:tc>
          <w:p>
            <w:pPr>
              <w:pStyle w:val="Compact"/>
              <w:jc w:val="left"/>
            </w:pPr>
            <w:r>
              <w:t xml:space="preserve">strong</w:t>
            </w:r>
          </w:p>
        </w:tc>
        <w:tc>
          <w:p>
            <w:pPr>
              <w:pStyle w:val="Compact"/>
              <w:jc w:val="left"/>
            </w:pPr>
            <w:r>
              <w:t xml:space="preserve">strong</w:t>
            </w:r>
          </w:p>
        </w:tc>
        <w:tc>
          <w:p>
            <w:pPr>
              <w:pStyle w:val="Compact"/>
              <w:jc w:val="left"/>
            </w:pPr>
            <w:r>
              <w:t xml:space="preserve">strong</w:t>
            </w:r>
          </w:p>
        </w:tc>
      </w:tr>
      <w:tr>
        <w:tc>
          <w:p>
            <w:pPr>
              <w:pStyle w:val="Compact"/>
              <w:jc w:val="left"/>
            </w:pPr>
            <w:r>
              <w:t xml:space="preserve">9 Grief schooled by resurrection</w:t>
            </w:r>
          </w:p>
        </w:tc>
        <w:tc>
          <w:p>
            <w:pPr>
              <w:pStyle w:val="Compact"/>
              <w:jc w:val="left"/>
            </w:pPr>
            <w:r>
              <w:t xml:space="preserve">strong</w:t>
            </w:r>
          </w:p>
        </w:tc>
        <w:tc>
          <w:p>
            <w:pPr>
              <w:pStyle w:val="Compact"/>
              <w:jc w:val="left"/>
            </w:pPr>
            <w:r>
              <w:t xml:space="preserve">weak–moderate</w:t>
            </w:r>
          </w:p>
        </w:tc>
        <w:tc>
          <w:p>
            <w:pPr>
              <w:pStyle w:val="Compact"/>
              <w:jc w:val="left"/>
            </w:pPr>
            <w:r>
              <w:t xml:space="preserve">strong (where it operates)</w:t>
            </w:r>
          </w:p>
        </w:tc>
        <w:tc>
          <w:p>
            <w:pPr>
              <w:pStyle w:val="Compact"/>
              <w:jc w:val="left"/>
            </w:pPr>
            <w:r>
              <w:t xml:space="preserve">moderate</w:t>
            </w:r>
          </w:p>
        </w:tc>
        <w:tc>
          <w:p>
            <w:pPr>
              <w:pStyle w:val="Compact"/>
              <w:jc w:val="left"/>
            </w:pPr>
            <w:r>
              <w:t xml:space="preserve">moderate</w:t>
            </w:r>
          </w:p>
        </w:tc>
        <w:tc>
          <w:p>
            <w:pPr>
              <w:pStyle w:val="Compact"/>
              <w:jc w:val="left"/>
            </w:pPr>
            <w:r>
              <w:t xml:space="preserve">moderate–strong</w:t>
            </w:r>
          </w:p>
        </w:tc>
      </w:tr>
    </w:tbl>
    <w:p>
      <w:pPr>
        <w:pStyle w:val="BodyText"/>
      </w:pPr>
      <w:r>
        <w:rPr>
          <w:b/>
        </w:rPr>
        <w:t xml:space="preserve">On Candidate 1’s Formation score (the decisive positive case).</w:t>
      </w:r>
      <w:r>
        <w:t xml:space="preserve"> </w:t>
      </w:r>
      <w:r>
        <w:t xml:space="preserve">The risk was that Trinitarian doctrine would test as a</w:t>
      </w:r>
      <w:r>
        <w:t xml:space="preserve"> </w:t>
      </w:r>
      <w:r>
        <w:rPr>
          <w:i/>
        </w:rPr>
        <w:t xml:space="preserve">conclusion</w:t>
      </w:r>
      <w:r>
        <w:t xml:space="preserve"> </w:t>
      </w:r>
      <w:r>
        <w:t xml:space="preserve">the world reached rather than a force that</w:t>
      </w:r>
      <w:r>
        <w:t xml:space="preserve"> </w:t>
      </w:r>
      <w:r>
        <w:rPr>
          <w:i/>
        </w:rPr>
        <w:t xml:space="preserve">formed</w:t>
      </w:r>
      <w:r>
        <w:t xml:space="preserve"> </w:t>
      </w:r>
      <w:r>
        <w:t xml:space="preserve">people. The evidence says otherwise, in an unusually direct chain: the fight was fought over the words ordinary worship uses (a doxology’s preposition; the baptismal formula), argued</w:t>
      </w:r>
      <w:r>
        <w:t xml:space="preserve"> </w:t>
      </w:r>
      <w:r>
        <w:rPr>
          <w:i/>
        </w:rPr>
        <w:t xml:space="preserve">from</w:t>
      </w:r>
      <w:r>
        <w:t xml:space="preserve"> </w:t>
      </w:r>
      <w:r>
        <w:t xml:space="preserve">worship (</w:t>
      </w:r>
      <w:r>
        <w:t xml:space="preserve">“</w:t>
      </w:r>
      <w:r>
        <w:t xml:space="preserve">we must believe as we are baptized, and glorify as we believe</w:t>
      </w:r>
      <w:r>
        <w:t xml:space="preserve">”</w:t>
      </w:r>
      <w:r>
        <w:t xml:space="preserve"> </w:t>
      </w:r>
      <w:r>
        <w:t xml:space="preserve">— the era’s own logic, work-level), and pressed down to the marketplace (the money-changers complaint — hostile witness to popular doctrinal talk); catechesis, hymn-practice, festal preaching, and canonical discipline all carry it. Whoever was baptized, sang, or kept a feast in this world was being formed</w:t>
      </w:r>
      <w:r>
        <w:t xml:space="preserve"> </w:t>
      </w:r>
      <w:r>
        <w:rPr>
          <w:i/>
        </w:rPr>
        <w:t xml:space="preserve">by</w:t>
      </w:r>
      <w:r>
        <w:t xml:space="preserve"> </w:t>
      </w:r>
      <w:r>
        <w:t xml:space="preserve">the contested confession, not merely alongside it. The Trinitarian-theological labor was itself a lived formation practice — this build’s assignment named that as a candidate distinctive, and the tests confirm it, with the streams listed above as the warrant.</w:t>
      </w:r>
    </w:p>
    <w:p>
      <w:pPr>
        <w:pStyle w:val="BodyText"/>
      </w:pPr>
      <w:r>
        <w:rPr>
          <w:b/>
        </w:rPr>
        <w:t xml:space="preserve">On Candidate 8’s Formation score (the decisive moderation).</w:t>
      </w:r>
      <w:r>
        <w:t xml:space="preserve"> </w:t>
      </w:r>
      <w:r>
        <w:t xml:space="preserve">The imperial contest is everywhere (repetition, dependency, explanatory, persistence all strong): it made exiles, forced the ecumenical diplomacy, conditioned every public act. But the Formation test asks whether the ordinary Christian’s</w:t>
      </w:r>
      <w:r>
        <w:t xml:space="preserve"> </w:t>
      </w:r>
      <w:r>
        <w:rPr>
          <w:i/>
        </w:rPr>
        <w:t xml:space="preserve">becoming</w:t>
      </w:r>
      <w:r>
        <w:t xml:space="preserve"> </w:t>
      </w:r>
      <w:r>
        <w:t xml:space="preserve">runs through it — and the formation instruments the evidence shows (household teaching, baptism, psalmody, festival, brotherhood, alms) are conditioned by the contest, not constituted by it. This mirrors, structurally, the Early Latin build’s finding about its establishment gravity — noted here as a convergent</w:t>
      </w:r>
      <w:r>
        <w:t xml:space="preserve"> </w:t>
      </w:r>
      <w:r>
        <w:rPr>
          <w:i/>
        </w:rPr>
        <w:t xml:space="preserve">pattern across builds</w:t>
      </w:r>
      <w:r>
        <w:t xml:space="preserve"> </w:t>
      </w:r>
      <w:r>
        <w:t xml:space="preserve">(situational gravities recur), not as a template imported: the scoring was done on this world’s evidence first, and the parallel observed after.</w:t>
      </w:r>
    </w:p>
    <w:p>
      <w:pPr>
        <w:pStyle w:val="BodyText"/>
      </w:pPr>
      <w:r>
        <w:rPr>
          <w:b/>
        </w:rPr>
        <w:t xml:space="preserve">On Candidate 5 (the assignment’s family-network candidate).</w:t>
      </w:r>
      <w:r>
        <w:t xml:space="preserve"> </w:t>
      </w:r>
      <w:r>
        <w:t xml:space="preserve">Repetition is strong but the</w:t>
      </w:r>
      <w:r>
        <w:t xml:space="preserve"> </w:t>
      </w:r>
      <w:r>
        <w:rPr>
          <w:i/>
        </w:rPr>
        <w:t xml:space="preserve">visibility</w:t>
      </w:r>
      <w:r>
        <w:t xml:space="preserve"> </w:t>
      </w:r>
      <w:r>
        <w:t xml:space="preserve">is suspect: the family-formation evidence is overwhelmingly one family’s self-memorialization (Vita; funeral orations; Basil on his grandmother). Is the household-lineage the world’s formation pattern, or this family’s — projected onto the world by the accident that this family wrote the record? Against-the-grain controls exist but are modest: the elder Gregory’s household (a different family — Nonna forming her Hypsistarian husband and her children); Basil’s canonical and homiletic asides assuming household religious formation; the enrolled widows/virgins implying household-based female estates. Verdict: the</w:t>
      </w:r>
      <w:r>
        <w:t xml:space="preserve"> </w:t>
      </w:r>
      <w:r>
        <w:rPr>
          <w:i/>
        </w:rPr>
        <w:t xml:space="preserve">pattern</w:t>
      </w:r>
      <w:r>
        <w:t xml:space="preserve"> </w:t>
      </w:r>
      <w:r>
        <w:t xml:space="preserve">(formation begins in the believing household, and the region’s leadership rose from such households) is Widely Accepted; its</w:t>
      </w:r>
      <w:r>
        <w:t xml:space="preserve"> </w:t>
      </w:r>
      <w:r>
        <w:rPr>
          <w:i/>
        </w:rPr>
        <w:t xml:space="preserve">centrality as an organizing gravity</w:t>
      </w:r>
      <w:r>
        <w:t xml:space="preserve"> </w:t>
      </w:r>
      <w:r>
        <w:t xml:space="preserve">cannot be established beyond the writing families — the Persistence test scores moderate for exactly this reason, and the classification below reflects it. The family texture is real, distinctive, and partly a transmission artifact — the distinction Doc_01 §5 demanded is hereby made rather than collapsed.</w:t>
      </w:r>
    </w:p>
    <w:p>
      <w:pPr>
        <w:pStyle w:val="BodyText"/>
      </w:pPr>
      <w:r>
        <w:rPr>
          <w:b/>
        </w:rPr>
        <w:t xml:space="preserve">On Candidate 7 (hēsychia against the summons).</w:t>
      </w:r>
      <w:r>
        <w:t xml:space="preserve"> </w:t>
      </w:r>
      <w:r>
        <w:t xml:space="preserve">The AG risk named at generation stands: as</w:t>
      </w:r>
      <w:r>
        <w:t xml:space="preserve"> </w:t>
      </w:r>
      <w:r>
        <w:rPr>
          <w:i/>
        </w:rPr>
        <w:t xml:space="preserve">discourse</w:t>
      </w:r>
      <w:r>
        <w:t xml:space="preserve">, it is three authors writing about themselves. But the Interaction and Explanatory tests rescue it: it is enacted in documented careers (retreats really taken, ordinations really fled and really submitted to, the Sasima rupture really suffered); it explains otherwise-odd public facts (why the world’s greatest rhetor spent his prime in flight; why its metropolitan kept writing longingly of a riverbank he never returned to); and it interacts with nearly every other candidate (it is the ascetic candidate’s interior cost, the paideia candidate’s renunciation problem, the patron-bishop candidate’s shadow). It is a genuine tensional force of the world’s formed core — with its social breadth honestly bounded (the plateau farmer was not fleeing ordination).</w:t>
      </w:r>
    </w:p>
    <w:p>
      <w:r>
        <w:pict>
          <v:rect style="width:0;height:1.5pt" o:hralign="center" o:hrstd="t" o:hr="t"/>
        </w:pict>
      </w:r>
    </w:p>
    <w:p>
      <w:pPr>
        <w:pStyle w:val="Heading2"/>
      </w:pPr>
      <w:bookmarkStart w:id="24" w:name="confidencegravity-cross-check"/>
      <w:r>
        <w:t xml:space="preserve">3. Confidence/Gravity Cross-Check</w:t>
      </w:r>
      <w:bookmarkEnd w:id="24"/>
    </w:p>
    <w:p>
      <w:pPr>
        <w:numPr>
          <w:ilvl w:val="0"/>
          <w:numId w:val="1002"/>
        </w:numPr>
        <w:pStyle w:val="Compact"/>
      </w:pPr>
      <w:r>
        <w:t xml:space="preserve">Candidates 1 and 2: organizing strength strong; underlying evidence Documented–Widely Accepted across genuinely independent streams (dogmatic, liturgical, legislative, homiletic, institutional). Eligible for Primary.</w:t>
      </w:r>
    </w:p>
    <w:p>
      <w:pPr>
        <w:numPr>
          <w:ilvl w:val="0"/>
          <w:numId w:val="1002"/>
        </w:numPr>
        <w:pStyle w:val="Compact"/>
      </w:pPr>
      <w:r>
        <w:t xml:space="preserve">Candidate 8: organizing strength strong; evidence Documented. Eligible for Primary as the world’s situation-gravity, with the Formation-test moderation carried visibly (per Early Latin’s precedent, the canonical vocabulary remains Primary/Supporting/Tensional;</w:t>
      </w:r>
      <w:r>
        <w:t xml:space="preserve"> </w:t>
      </w:r>
      <w:r>
        <w:t xml:space="preserve">“</w:t>
      </w:r>
      <w:r>
        <w:t xml:space="preserve">situational</w:t>
      </w:r>
      <w:r>
        <w:t xml:space="preserve">”</w:t>
      </w:r>
      <w:r>
        <w:t xml:space="preserve"> </w:t>
      </w:r>
      <w:r>
        <w:t xml:space="preserve">is an annotation within Primary, and the alternative Supporting classification is explicitly flagged for external review).</w:t>
      </w:r>
    </w:p>
    <w:p>
      <w:pPr>
        <w:numPr>
          <w:ilvl w:val="0"/>
          <w:numId w:val="1002"/>
        </w:numPr>
        <w:pStyle w:val="Compact"/>
      </w:pPr>
      <w:r>
        <w:t xml:space="preserve">Candidate 3: strong organizer of the</w:t>
      </w:r>
      <w:r>
        <w:t xml:space="preserve"> </w:t>
      </w:r>
      <w:r>
        <w:rPr>
          <w:i/>
        </w:rPr>
        <w:t xml:space="preserve">documented</w:t>
      </w:r>
      <w:r>
        <w:t xml:space="preserve"> </w:t>
      </w:r>
      <w:r>
        <w:t xml:space="preserve">world; but the documented world is the lettered world — the Persistence moderation (elite-bounded) is an evidential-visibility problem the Framework requires us to respect. Classified Supporting despite its brilliance in the record; the discrepancy between apparent organizing strength (in the surviving texts) and ecological breadth (in the lived world) is stated, not resolved by upgrade.</w:t>
      </w:r>
    </w:p>
    <w:p>
      <w:pPr>
        <w:numPr>
          <w:ilvl w:val="0"/>
          <w:numId w:val="1002"/>
        </w:numPr>
        <w:pStyle w:val="Compact"/>
      </w:pPr>
      <w:r>
        <w:t xml:space="preserve">Candidate 4: evidence Documented (cult, feasts, homilies); dependency on it is real but narrower than in the Latin West (the calendar and the countryside’s festival life, rather than the whole formation system). Supporting.</w:t>
      </w:r>
    </w:p>
    <w:p>
      <w:pPr>
        <w:numPr>
          <w:ilvl w:val="0"/>
          <w:numId w:val="1002"/>
        </w:numPr>
        <w:pStyle w:val="Compact"/>
      </w:pPr>
      <w:r>
        <w:t xml:space="preserve">Candidate 5: per §2 — Supporting, with the transmission-artifact caveat carried in the entry itself.</w:t>
      </w:r>
    </w:p>
    <w:p>
      <w:pPr>
        <w:numPr>
          <w:ilvl w:val="0"/>
          <w:numId w:val="1002"/>
        </w:numPr>
        <w:pStyle w:val="Compact"/>
      </w:pPr>
      <w:r>
        <w:t xml:space="preserve">Candidate 9: genre-dense, formation-real where it operates, but dependency is weak-moderate (the world’s formation system does not run through grief as its mechanism) and the circle-internal AG flag stands. Classified as a</w:t>
      </w:r>
      <w:r>
        <w:t xml:space="preserve"> </w:t>
      </w:r>
      <w:r>
        <w:rPr>
          <w:b/>
        </w:rPr>
        <w:t xml:space="preserve">register</w:t>
      </w:r>
      <w:r>
        <w:t xml:space="preserve"> </w:t>
      </w:r>
      <w:r>
        <w:t xml:space="preserve">of the world’s emotional ecology (carried to Doc_05/Doc_07) rather than a gravity — recorded honestly as a demotion-by-test, since the builder’s initial instinct favored it.</w:t>
      </w:r>
    </w:p>
    <w:p>
      <w:r>
        <w:pict>
          <v:rect style="width:0;height:1.5pt" o:hralign="center" o:hrstd="t" o:hr="t"/>
        </w:pict>
      </w:r>
    </w:p>
    <w:p>
      <w:pPr>
        <w:pStyle w:val="Heading2"/>
      </w:pPr>
      <w:bookmarkStart w:id="25" w:name="X056e5d556a3471bb3f6698ccdff4559cb3e22a6"/>
      <w:r>
        <w:t xml:space="preserve">4. Forces Test (how candidates behave under the Doc_01/Doc_02 forces)</w:t>
      </w:r>
      <w:bookmarkEnd w:id="25"/>
    </w:p>
    <w:p>
      <w:pPr>
        <w:numPr>
          <w:ilvl w:val="0"/>
          <w:numId w:val="1003"/>
        </w:numPr>
        <w:pStyle w:val="Compact"/>
      </w:pPr>
      <w:r>
        <w:rPr>
          <w:b/>
        </w:rPr>
        <w:t xml:space="preserve">The Triune confession</w:t>
      </w:r>
      <w:r>
        <w:t xml:space="preserve"> </w:t>
      </w:r>
      <w:r>
        <w:t xml:space="preserve">sharpens under every hostile force and relaxes under none: Homoian court pressure produces the doxology stand and the treatise; Eunomian confidence produces the incomprehensibility precision; the ascetic rupture (Eustathius) produces the pneumatological line in the sand. Under the Theodosian settlement it wins — and the world’s distinct militancy dissolves with the victory (see Doc_08 Cell 3A): the gravity’s own success ends the world. That full life-cycle marks an organizing force of the first order.</w:t>
      </w:r>
    </w:p>
    <w:p>
      <w:pPr>
        <w:numPr>
          <w:ilvl w:val="0"/>
          <w:numId w:val="1003"/>
        </w:numPr>
        <w:pStyle w:val="Compact"/>
      </w:pPr>
      <w:r>
        <w:rPr>
          <w:b/>
        </w:rPr>
        <w:t xml:space="preserve">The ascetic-philanthropic reordering</w:t>
      </w:r>
      <w:r>
        <w:t xml:space="preserve"> </w:t>
      </w:r>
      <w:r>
        <w:t xml:space="preserve">absorbs the radical ferment (Gangra’s disorder becomes the ordered brotherhood), answers the famine (the poorhouse), and disciplines wealth (the homilies) — it takes every social force the period throws and converts it into formation structure. It also survives the world’s end (the Rules outlive the region’s moment) — the mark of substance rather than situation.</w:t>
      </w:r>
    </w:p>
    <w:p>
      <w:pPr>
        <w:numPr>
          <w:ilvl w:val="0"/>
          <w:numId w:val="1003"/>
        </w:numPr>
        <w:pStyle w:val="Compact"/>
      </w:pPr>
      <w:r>
        <w:rPr>
          <w:b/>
        </w:rPr>
        <w:t xml:space="preserve">Paideia converted</w:t>
      </w:r>
      <w:r>
        <w:t xml:space="preserve"> </w:t>
      </w:r>
      <w:r>
        <w:t xml:space="preserve">is forced into self-consciousness by Julian (the edict makes the classics a battlefield) and by Eunomius (dialectic worshipped requires dialectic disciplined) — its two great crises are both external provocations, confirming it as a real force while explaining its elite boundary.</w:t>
      </w:r>
    </w:p>
    <w:p>
      <w:pPr>
        <w:numPr>
          <w:ilvl w:val="0"/>
          <w:numId w:val="1003"/>
        </w:numPr>
        <w:pStyle w:val="Compact"/>
      </w:pPr>
      <w:r>
        <w:rPr>
          <w:b/>
        </w:rPr>
        <w:t xml:space="preserve">The martyrs’ land</w:t>
      </w:r>
      <w:r>
        <w:t xml:space="preserve"> </w:t>
      </w:r>
      <w:r>
        <w:t xml:space="preserve">is the last persecutions’ direct deposit; the imperial peace transposes it (dying remembered, not expected) — same transposition-structure the Latin build found, but with a regional inflection: here the memory is</w:t>
      </w:r>
      <w:r>
        <w:t xml:space="preserve"> </w:t>
      </w:r>
      <w:r>
        <w:rPr>
          <w:i/>
        </w:rPr>
        <w:t xml:space="preserve">fresh</w:t>
      </w:r>
      <w:r>
        <w:t xml:space="preserve"> </w:t>
      </w:r>
      <w:r>
        <w:t xml:space="preserve">(grandparents, not great-great-grandparents) and</w:t>
      </w:r>
      <w:r>
        <w:t xml:space="preserve"> </w:t>
      </w:r>
      <w:r>
        <w:rPr>
          <w:i/>
        </w:rPr>
        <w:t xml:space="preserve">familial</w:t>
      </w:r>
      <w:r>
        <w:t xml:space="preserve"> </w:t>
      </w:r>
      <w:r>
        <w:t xml:space="preserve">(relics in the estate chapel).</w:t>
      </w:r>
    </w:p>
    <w:p>
      <w:pPr>
        <w:numPr>
          <w:ilvl w:val="0"/>
          <w:numId w:val="1003"/>
        </w:numPr>
        <w:pStyle w:val="Compact"/>
      </w:pPr>
      <w:r>
        <w:rPr>
          <w:b/>
        </w:rPr>
        <w:t xml:space="preserve">Hēsychia against the summons</w:t>
      </w:r>
      <w:r>
        <w:t xml:space="preserve"> </w:t>
      </w:r>
      <w:r>
        <w:t xml:space="preserve">intensifies precisely when the external contest most needs conscripts: the worse the church’s public emergency, the harder the pull on the formed contemplative — the tension is a force-response, not a temperament.</w:t>
      </w:r>
    </w:p>
    <w:p>
      <w:pPr>
        <w:pStyle w:val="Heading2"/>
      </w:pPr>
      <w:bookmarkStart w:id="26" w:name="X08c88a0828081c719453a19e15e13d0f54ef0ea"/>
      <w:r>
        <w:t xml:space="preserve">5. Cross-Register and Cross-Fracture Testing (Article 21; world is strand-singular)</w:t>
      </w:r>
      <w:bookmarkEnd w:id="26"/>
    </w:p>
    <w:p>
      <w:pPr>
        <w:numPr>
          <w:ilvl w:val="0"/>
          <w:numId w:val="1004"/>
        </w:numPr>
        <w:pStyle w:val="Compact"/>
      </w:pPr>
      <w:r>
        <w:rPr>
          <w:b/>
        </w:rPr>
        <w:t xml:space="preserve">Triune confession:</w:t>
      </w:r>
      <w:r>
        <w:t xml:space="preserve"> </w:t>
      </w:r>
      <w:r>
        <w:t xml:space="preserve">household (the creed taught at home — the Thaumaturgan inheritance claim), brotherhood (the Rules’ doctrinal frame; the ascetic critics of Basil’s reserve — evidence the brotherhoods argued pneumatology), congregation (doxology, baptism, festal preaching), see (councils, canons). Across the pneumatological fracture: emphatically — the fracture</w:t>
      </w:r>
      <w:r>
        <w:t xml:space="preserve"> </w:t>
      </w:r>
      <w:r>
        <w:rPr>
          <w:i/>
        </w:rPr>
        <w:t xml:space="preserve">is</w:t>
      </w:r>
      <w:r>
        <w:t xml:space="preserve"> </w:t>
      </w:r>
      <w:r>
        <w:t xml:space="preserve">this gravity contested.</w:t>
      </w:r>
      <w:r>
        <w:t xml:space="preserve"> </w:t>
      </w:r>
      <w:r>
        <w:rPr>
          <w:b/>
        </w:rPr>
        <w:t xml:space="preserve">Cross-register, fracture-defining.</w:t>
      </w:r>
    </w:p>
    <w:p>
      <w:pPr>
        <w:numPr>
          <w:ilvl w:val="0"/>
          <w:numId w:val="1004"/>
        </w:numPr>
        <w:pStyle w:val="Compact"/>
      </w:pPr>
      <w:r>
        <w:rPr>
          <w:b/>
        </w:rPr>
        <w:t xml:space="preserve">Ascetic-philanthropic reordering:</w:t>
      </w:r>
      <w:r>
        <w:t xml:space="preserve"> </w:t>
      </w:r>
      <w:r>
        <w:t xml:space="preserve">household (Annisa’s conversion into community), brotherhood (its native ground), congregation (the poverty homilies address the whole church; the poorhouse serves the city), see (episcopal patronage and regulation). Across the radical-ascetic fracture: both sides share the ascetic conviction — the fracture is over its ordering.</w:t>
      </w:r>
      <w:r>
        <w:t xml:space="preserve"> </w:t>
      </w:r>
      <w:r>
        <w:rPr>
          <w:b/>
        </w:rPr>
        <w:t xml:space="preserve">Cross-register, fracture-defining.</w:t>
      </w:r>
    </w:p>
    <w:p>
      <w:pPr>
        <w:numPr>
          <w:ilvl w:val="0"/>
          <w:numId w:val="1004"/>
        </w:numPr>
        <w:pStyle w:val="Compact"/>
      </w:pPr>
      <w:r>
        <w:rPr>
          <w:b/>
        </w:rPr>
        <w:t xml:space="preserve">Contested church / empire:</w:t>
      </w:r>
      <w:r>
        <w:t xml:space="preserve"> </w:t>
      </w:r>
      <w:r>
        <w:t xml:space="preserve">all registers feel it (exile reaches the see; conscription reaches the contemplative; the festival crowd hears the invective).</w:t>
      </w:r>
      <w:r>
        <w:t xml:space="preserve"> </w:t>
      </w:r>
      <w:r>
        <w:rPr>
          <w:b/>
        </w:rPr>
        <w:t xml:space="preserve">Cross-register.</w:t>
      </w:r>
    </w:p>
    <w:p>
      <w:pPr>
        <w:numPr>
          <w:ilvl w:val="0"/>
          <w:numId w:val="1004"/>
        </w:numPr>
        <w:pStyle w:val="Compact"/>
      </w:pPr>
      <w:r>
        <w:rPr>
          <w:b/>
        </w:rPr>
        <w:t xml:space="preserve">Paideia:</w:t>
      </w:r>
      <w:r>
        <w:t xml:space="preserve"> </w:t>
      </w:r>
      <w:r>
        <w:t xml:space="preserve">see and circle strongly; brotherhood ambivalently (the Rules subordinate secular learning); household variably; countryside barely.</w:t>
      </w:r>
      <w:r>
        <w:t xml:space="preserve"> </w:t>
      </w:r>
      <w:r>
        <w:rPr>
          <w:b/>
        </w:rPr>
        <w:t xml:space="preserve">Register-weighted (elite).</w:t>
      </w:r>
    </w:p>
    <w:p>
      <w:pPr>
        <w:numPr>
          <w:ilvl w:val="0"/>
          <w:numId w:val="1004"/>
        </w:numPr>
        <w:pStyle w:val="Compact"/>
      </w:pPr>
      <w:r>
        <w:rPr>
          <w:b/>
        </w:rPr>
        <w:t xml:space="preserve">Martyrs’ land:</w:t>
      </w:r>
      <w:r>
        <w:t xml:space="preserve"> </w:t>
      </w:r>
      <w:r>
        <w:t xml:space="preserve">congregation and countryside strongest; household (relics); brotherhood (vigils); see (festal preaching).</w:t>
      </w:r>
      <w:r>
        <w:t xml:space="preserve"> </w:t>
      </w:r>
      <w:r>
        <w:rPr>
          <w:b/>
        </w:rPr>
        <w:t xml:space="preserve">Cross-register, popular-weighted</w:t>
      </w:r>
      <w:r>
        <w:t xml:space="preserve"> </w:t>
      </w:r>
      <w:r>
        <w:t xml:space="preserve">— the inverse weighting of paideia, and the two candidates’ complementary skews are themselves ecological information (the world’s high and low registers meet at the shrine and the creed, not at Athens).</w:t>
      </w:r>
    </w:p>
    <w:p>
      <w:pPr>
        <w:numPr>
          <w:ilvl w:val="0"/>
          <w:numId w:val="1004"/>
        </w:numPr>
        <w:pStyle w:val="Compact"/>
      </w:pPr>
      <w:r>
        <w:rPr>
          <w:b/>
        </w:rPr>
        <w:t xml:space="preserve">Household lineage:</w:t>
      </w:r>
      <w:r>
        <w:t xml:space="preserve"> </w:t>
      </w:r>
      <w:r>
        <w:t xml:space="preserve">visible in the writing families; assumed in canons and homilies; invisible where no one wrote.</w:t>
      </w:r>
      <w:r>
        <w:t xml:space="preserve"> </w:t>
      </w:r>
      <w:r>
        <w:rPr>
          <w:b/>
        </w:rPr>
        <w:t xml:space="preserve">Visibility-bounded.</w:t>
      </w:r>
    </w:p>
    <w:p>
      <w:pPr>
        <w:numPr>
          <w:ilvl w:val="0"/>
          <w:numId w:val="1004"/>
        </w:numPr>
        <w:pStyle w:val="Compact"/>
      </w:pPr>
      <w:r>
        <w:rPr>
          <w:b/>
        </w:rPr>
        <w:t xml:space="preserve">Hēsychia/summons:</w:t>
      </w:r>
      <w:r>
        <w:t xml:space="preserve"> </w:t>
      </w:r>
      <w:r>
        <w:t xml:space="preserve">the formed core (ascetics, clergy, the circle); not the plateau’s tension.</w:t>
      </w:r>
      <w:r>
        <w:t xml:space="preserve"> </w:t>
      </w:r>
      <w:r>
        <w:rPr>
          <w:b/>
        </w:rPr>
        <w:t xml:space="preserve">Register-bounded (formed core).</w:t>
      </w:r>
    </w:p>
    <w:p>
      <w:r>
        <w:pict>
          <v:rect style="width:0;height:1.5pt" o:hralign="center" o:hrstd="t" o:hr="t"/>
        </w:pict>
      </w:r>
    </w:p>
    <w:p>
      <w:pPr>
        <w:pStyle w:val="Heading2"/>
      </w:pPr>
      <w:bookmarkStart w:id="27" w:name="classification-the-finding"/>
      <w:r>
        <w:t xml:space="preserve">6. Classification (the finding)</w:t>
      </w:r>
      <w:bookmarkEnd w:id="27"/>
    </w:p>
    <w:p>
      <w:pPr>
        <w:pStyle w:val="FirstParagraph"/>
      </w:pPr>
      <w:r>
        <w:rPr>
          <w:b/>
        </w:rPr>
        <w:t xml:space="preserve">Primary Gravities:</w:t>
      </w:r>
      <w:r>
        <w:t xml:space="preserve"> </w:t>
      </w:r>
      <w:r>
        <w:t xml:space="preserve">1.</w:t>
      </w:r>
      <w:r>
        <w:t xml:space="preserve"> </w:t>
      </w:r>
      <w:r>
        <w:rPr>
          <w:b/>
        </w:rPr>
        <w:t xml:space="preserve">The Triune God confessed at the edge of the knowable</w:t>
      </w:r>
      <w:r>
        <w:t xml:space="preserve"> </w:t>
      </w:r>
      <w:r>
        <w:t xml:space="preserve">— the world’s irreducible doctrinal-doxological core: the incomprehensible God truly named in worship, defended with exactness against definition (Eunomius) and demotion (the Spirit-fighters), such that precision of confession is itself reverence (eusebeia) and the baptismal formula is the community’s charter. (Documented–Widely Accepted; cross-register, fracture-defining.)</w:t>
      </w:r>
      <w:r>
        <w:t xml:space="preserve"> </w:t>
      </w:r>
      <w:r>
        <w:t xml:space="preserve">2.</w:t>
      </w:r>
      <w:r>
        <w:t xml:space="preserve"> </w:t>
      </w:r>
      <w:r>
        <w:rPr>
          <w:b/>
        </w:rPr>
        <w:t xml:space="preserve">The ascetic reordering of life toward koinōnia and the poor</w:t>
      </w:r>
      <w:r>
        <w:t xml:space="preserve"> </w:t>
      </w:r>
      <w:r>
        <w:t xml:space="preserve">— renunciation ordered into common life that faces the city: household become community, community with a guest-door, wealth arraigned in famine, the poor as bearers of the image. (Documented–Widely Accepted; cross-register, fracture-defining.)</w:t>
      </w:r>
      <w:r>
        <w:t xml:space="preserve"> </w:t>
      </w:r>
      <w:r>
        <w:t xml:space="preserve">3.</w:t>
      </w:r>
      <w:r>
        <w:t xml:space="preserve"> </w:t>
      </w:r>
      <w:r>
        <w:rPr>
          <w:b/>
        </w:rPr>
        <w:t xml:space="preserve">The contested church under the contested empire</w:t>
      </w:r>
      <w:r>
        <w:t xml:space="preserve"> </w:t>
      </w:r>
      <w:r>
        <w:t xml:space="preserve">— confirmed as a Primary gravity</w:t>
      </w:r>
      <w:r>
        <w:t xml:space="preserve"> </w:t>
      </w:r>
      <w:r>
        <w:rPr>
          <w:b/>
        </w:rPr>
        <w:t xml:space="preserve">of the world’s situation and self-understanding</w:t>
      </w:r>
      <w:r>
        <w:t xml:space="preserve"> </w:t>
      </w:r>
      <w:r>
        <w:t xml:space="preserve">(annotation within Primary, per the canonical three-class vocabulary; the Formation-test moderation is carried visibly, and the alternative Supporting classification is flagged for external review): reign-by-reign reversal, exile and endurance, minority tenacity to sudden establishment — the condition every other gravity operated inside. (Documented.)</w:t>
      </w:r>
    </w:p>
    <w:p>
      <w:pPr>
        <w:pStyle w:val="BodyText"/>
      </w:pPr>
      <w:r>
        <w:rPr>
          <w:b/>
        </w:rPr>
        <w:t xml:space="preserve">Supporting Gravities:</w:t>
      </w:r>
      <w:r>
        <w:t xml:space="preserve"> </w:t>
      </w:r>
      <w:r>
        <w:t xml:space="preserve">4.</w:t>
      </w:r>
      <w:r>
        <w:t xml:space="preserve"> </w:t>
      </w:r>
      <w:r>
        <w:rPr>
          <w:b/>
        </w:rPr>
        <w:t xml:space="preserve">Paideia converted</w:t>
      </w:r>
      <w:r>
        <w:t xml:space="preserve"> </w:t>
      </w:r>
      <w:r>
        <w:t xml:space="preserve">(elite-register-weighted; its boundary named); 5.</w:t>
      </w:r>
      <w:r>
        <w:t xml:space="preserve"> </w:t>
      </w:r>
      <w:r>
        <w:rPr>
          <w:b/>
        </w:rPr>
        <w:t xml:space="preserve">The martyrs’ land</w:t>
      </w:r>
      <w:r>
        <w:t xml:space="preserve"> </w:t>
      </w:r>
      <w:r>
        <w:t xml:space="preserve">(popular-weighted; the freshest martyr-memory of any world in this project’s current set); 6.</w:t>
      </w:r>
      <w:r>
        <w:t xml:space="preserve"> </w:t>
      </w:r>
      <w:r>
        <w:rPr>
          <w:b/>
        </w:rPr>
        <w:t xml:space="preserve">The household as formation lineage</w:t>
      </w:r>
      <w:r>
        <w:t xml:space="preserve"> </w:t>
      </w:r>
      <w:r>
        <w:t xml:space="preserve">(with the transmission-artifact caveat carried in the entry); 7.</w:t>
      </w:r>
      <w:r>
        <w:t xml:space="preserve"> </w:t>
      </w:r>
      <w:r>
        <w:rPr>
          <w:b/>
        </w:rPr>
        <w:t xml:space="preserve">The bishop as public patron</w:t>
      </w:r>
      <w:r>
        <w:t xml:space="preserve"> </w:t>
      </w:r>
      <w:r>
        <w:t xml:space="preserve">(famine, tax, and bench).</w:t>
      </w:r>
    </w:p>
    <w:p>
      <w:pPr>
        <w:pStyle w:val="BodyText"/>
      </w:pPr>
      <w:r>
        <w:rPr>
          <w:b/>
        </w:rPr>
        <w:t xml:space="preserve">Tensional Gravities:</w:t>
      </w:r>
      <w:r>
        <w:t xml:space="preserve"> </w:t>
      </w:r>
      <w:r>
        <w:t xml:space="preserve">8.</w:t>
      </w:r>
      <w:r>
        <w:t xml:space="preserve"> </w:t>
      </w:r>
      <w:r>
        <w:rPr>
          <w:b/>
        </w:rPr>
        <w:t xml:space="preserve">Hēsychia against the summons</w:t>
      </w:r>
      <w:r>
        <w:t xml:space="preserve"> </w:t>
      </w:r>
      <w:r>
        <w:t xml:space="preserve">(stillness against office — the formed core’s unresolved interior pull, enacted in the world’s most consequential careers); 9.</w:t>
      </w:r>
      <w:r>
        <w:t xml:space="preserve"> </w:t>
      </w:r>
      <w:r>
        <w:rPr>
          <w:b/>
        </w:rPr>
        <w:t xml:space="preserve">Precision against reserve</w:t>
      </w:r>
      <w:r>
        <w:t xml:space="preserve"> </w:t>
      </w:r>
      <w:r>
        <w:t xml:space="preserve">(how much of the confession may be spoken aloud, and when: Basil’s measured oikonomia against the impatience of allies — a documented argument</w:t>
      </w:r>
      <w:r>
        <w:t xml:space="preserve"> </w:t>
      </w:r>
      <w:r>
        <w:rPr>
          <w:i/>
        </w:rPr>
        <w:t xml:space="preserve">within</w:t>
      </w:r>
      <w:r>
        <w:t xml:space="preserve"> </w:t>
      </w:r>
      <w:r>
        <w:t xml:space="preserve">the winning side, distinct from the fight with opponents); 10.</w:t>
      </w:r>
      <w:r>
        <w:t xml:space="preserve"> </w:t>
      </w:r>
      <w:r>
        <w:rPr>
          <w:b/>
        </w:rPr>
        <w:t xml:space="preserve">Renunciation against order</w:t>
      </w:r>
      <w:r>
        <w:t xml:space="preserve"> </w:t>
      </w:r>
      <w:r>
        <w:t xml:space="preserve">(the radical ferment against the disciplined koinōnia — Gangra’s question never fully retired); 11.</w:t>
      </w:r>
      <w:r>
        <w:t xml:space="preserve"> </w:t>
      </w:r>
      <w:r>
        <w:rPr>
          <w:b/>
        </w:rPr>
        <w:t xml:space="preserve">Athens against the fishermen</w:t>
      </w:r>
      <w:r>
        <w:t xml:space="preserve"> </w:t>
      </w:r>
      <w:r>
        <w:t xml:space="preserve">(the learned instrument against the simplicity it serves — felt from both directions: Julian’s expropriation from without, anti-dialectical impatience from within).</w:t>
      </w:r>
    </w:p>
    <w:p>
      <w:pPr>
        <w:pStyle w:val="Heading2"/>
      </w:pPr>
      <w:bookmarkStart w:id="28" w:name="X7c118ea25275c3a21bfa7060942c30b2b42edd9"/>
      <w:r>
        <w:t xml:space="preserve">7. Differentiation Adjudication (the Phase Status blur risk, addressed on the evidence)</w:t>
      </w:r>
      <w:bookmarkEnd w:id="28"/>
    </w:p>
    <w:p>
      <w:pPr>
        <w:pStyle w:val="FirstParagraph"/>
      </w:pPr>
      <w:r>
        <w:rPr>
          <w:b/>
        </w:rPr>
        <w:t xml:space="preserve">Against Alexandria, the divergence is structural, not decorative.</w:t>
      </w:r>
      <w:r>
        <w:t xml:space="preserve"> </w:t>
      </w:r>
      <w:r>
        <w:t xml:space="preserve">(a)</w:t>
      </w:r>
      <w:r>
        <w:t xml:space="preserve"> </w:t>
      </w:r>
      <w:r>
        <w:rPr>
          <w:b/>
        </w:rPr>
        <w:t xml:space="preserve">Formation axis:</w:t>
      </w:r>
      <w:r>
        <w:t xml:space="preserve"> </w:t>
      </w:r>
      <w:r>
        <w:t xml:space="preserve">Alexandria’s documented axis is school-exegetical (text, teacher, ascent through reading); this world’s is doxological-communal (worship’s words, household, brotherhood, festival) — the lexicons barely overlap at their signature terms (this world’s Tier 1 slate has no hermeneutical term in it; the finding emerged from the evidence, not by design). (b)</w:t>
      </w:r>
      <w:r>
        <w:t xml:space="preserve"> </w:t>
      </w:r>
      <w:r>
        <w:rPr>
          <w:b/>
        </w:rPr>
        <w:t xml:space="preserve">The Teacher-Bishop tension resolves oppositely.</w:t>
      </w:r>
      <w:r>
        <w:t xml:space="preserve"> </w:t>
      </w:r>
      <w:r>
        <w:t xml:space="preserve">Alexandria holds the didaskalos and the bishop in institutional tension (a school the church must manage). Here there is no school to manage: the teacher, the ascetic, and the bishop fuse in the same persons — and the tension goes</w:t>
      </w:r>
      <w:r>
        <w:t xml:space="preserve"> </w:t>
      </w:r>
      <w:r>
        <w:rPr>
          <w:i/>
        </w:rPr>
        <w:t xml:space="preserve">inward</w:t>
      </w:r>
      <w:r>
        <w:t xml:space="preserve">, becoming this world’s Tensional Gravity 8 (the philosopher dragged to the chair; the flight literature; Sasima). Alexandria’s tension is between institutions; Cappadocia’s is inside vocations. (c)</w:t>
      </w:r>
      <w:r>
        <w:t xml:space="preserve"> </w:t>
      </w:r>
      <w:r>
        <w:rPr>
          <w:b/>
        </w:rPr>
        <w:t xml:space="preserve">Shared inheritance, different function:</w:t>
      </w:r>
      <w:r>
        <w:t xml:space="preserve"> </w:t>
      </w:r>
      <w:r>
        <w:t xml:space="preserve">Origen is present here as instrument and quarry (anthologized, corrected, used against Eunomius), not as founding contested patrimony; allegory serves preaching and consolation, not a school’s curriculum. (d)</w:t>
      </w:r>
      <w:r>
        <w:t xml:space="preserve"> </w:t>
      </w:r>
      <w:r>
        <w:rPr>
          <w:b/>
        </w:rPr>
        <w:t xml:space="preserve">Blur discipline for the build:</w:t>
      </w:r>
      <w:r>
        <w:t xml:space="preserve"> </w:t>
      </w:r>
      <w:r>
        <w:t xml:space="preserve">the shared Nicene confession is a genuine overlap — the differentiator is</w:t>
      </w:r>
      <w:r>
        <w:t xml:space="preserve"> </w:t>
      </w:r>
      <w:r>
        <w:rPr>
          <w:i/>
        </w:rPr>
        <w:t xml:space="preserve">where the confession lives</w:t>
      </w:r>
      <w:r>
        <w:t xml:space="preserve"> </w:t>
      </w:r>
      <w:r>
        <w:t xml:space="preserve">(here: in a doxology’s preposition and a baptismal formula fought for under a hostile court; the marketplace arguing it), and every downstream document must keep that located texture rather than generic</w:t>
      </w:r>
      <w:r>
        <w:t xml:space="preserve"> </w:t>
      </w:r>
      <w:r>
        <w:t xml:space="preserve">“</w:t>
      </w:r>
      <w:r>
        <w:t xml:space="preserve">Nicene theology.</w:t>
      </w:r>
      <w:r>
        <w:t xml:space="preserve">”</w:t>
      </w:r>
    </w:p>
    <w:p>
      <w:pPr>
        <w:pStyle w:val="Heading2"/>
      </w:pPr>
      <w:bookmarkStart w:id="29" w:name="Xe5e125de0a6293bba1a5a86b05a42ba182725b0"/>
      <w:r>
        <w:t xml:space="preserve">8. Adjudication of the Assignment’s Candidate Distinctives (plain statement)</w:t>
      </w:r>
      <w:bookmarkEnd w:id="29"/>
    </w:p>
    <w:p>
      <w:pPr>
        <w:pStyle w:val="FirstParagraph"/>
      </w:pPr>
      <w:r>
        <w:t xml:space="preserve">The assignment named four candidate distinctives and directed that they be tested, not assumed. Findings:</w:t>
      </w:r>
      <w:r>
        <w:t xml:space="preserve"> </w:t>
      </w:r>
      <w:r>
        <w:rPr>
          <w:b/>
        </w:rPr>
        <w:t xml:space="preserve">(1) Basil’s communal-ascetic project</w:t>
      </w:r>
      <w:r>
        <w:t xml:space="preserve"> </w:t>
      </w:r>
      <w:r>
        <w:t xml:space="preserve">— confirmed, and stronger than proposed: it tests as one of the two substantial Primaries, fused with the philanthropic institutions (the evidence would not permit separating</w:t>
      </w:r>
      <w:r>
        <w:t xml:space="preserve"> </w:t>
      </w:r>
      <w:r>
        <w:t xml:space="preserve">“</w:t>
      </w:r>
      <w:r>
        <w:t xml:space="preserve">monastic project</w:t>
      </w:r>
      <w:r>
        <w:t xml:space="preserve">”</w:t>
      </w:r>
      <w:r>
        <w:t xml:space="preserve"> </w:t>
      </w:r>
      <w:r>
        <w:t xml:space="preserve">from</w:t>
      </w:r>
      <w:r>
        <w:t xml:space="preserve"> </w:t>
      </w:r>
      <w:r>
        <w:t xml:space="preserve">“</w:t>
      </w:r>
      <w:r>
        <w:t xml:space="preserve">love of the poor</w:t>
      </w:r>
      <w:r>
        <w:t xml:space="preserve">”</w:t>
      </w:r>
      <w:r>
        <w:t xml:space="preserve"> </w:t>
      </w:r>
      <w:r>
        <w:t xml:space="preserve">— they are one gravity in the sources).</w:t>
      </w:r>
      <w:r>
        <w:t xml:space="preserve"> </w:t>
      </w:r>
      <w:r>
        <w:rPr>
          <w:b/>
        </w:rPr>
        <w:t xml:space="preserve">(2) The family-network texture</w:t>
      </w:r>
      <w:r>
        <w:t xml:space="preserve"> </w:t>
      </w:r>
      <w:r>
        <w:t xml:space="preserve">— confirmed as real and distinctive but</w:t>
      </w:r>
      <w:r>
        <w:t xml:space="preserve"> </w:t>
      </w:r>
      <w:r>
        <w:rPr>
          <w:i/>
        </w:rPr>
        <w:t xml:space="preserve">bounded</w:t>
      </w:r>
      <w:r>
        <w:t xml:space="preserve">: classified Supporting, not Primary, because its evidential base is substantially the writing family’s self-memorialization (§2, Candidate 5) — the honest version of this distinctive is</w:t>
      </w:r>
      <w:r>
        <w:t xml:space="preserve"> </w:t>
      </w:r>
      <w:r>
        <w:t xml:space="preserve">“</w:t>
      </w:r>
      <w:r>
        <w:t xml:space="preserve">the world’s record is a household’s memory,</w:t>
      </w:r>
      <w:r>
        <w:t xml:space="preserve">”</w:t>
      </w:r>
      <w:r>
        <w:t xml:space="preserve"> </w:t>
      </w:r>
      <w:r>
        <w:t xml:space="preserve">which is as much a transmission finding (Doc_08) as a gravity.</w:t>
      </w:r>
      <w:r>
        <w:t xml:space="preserve"> </w:t>
      </w:r>
      <w:r>
        <w:rPr>
          <w:b/>
        </w:rPr>
        <w:t xml:space="preserve">(3) Trinitarian labor as lived formation</w:t>
      </w:r>
      <w:r>
        <w:t xml:space="preserve"> </w:t>
      </w:r>
      <w:r>
        <w:t xml:space="preserve">— confirmed decisively (§2, Candidate 1): the strongest single finding of this Doc_04.</w:t>
      </w:r>
      <w:r>
        <w:t xml:space="preserve"> </w:t>
      </w:r>
      <w:r>
        <w:rPr>
          <w:b/>
        </w:rPr>
        <w:t xml:space="preserve">(4) Regional distance from the great sees within imperial church politics</w:t>
      </w:r>
      <w:r>
        <w:t xml:space="preserve"> </w:t>
      </w:r>
      <w:r>
        <w:t xml:space="preserve">— confirmed as an</w:t>
      </w:r>
      <w:r>
        <w:t xml:space="preserve"> </w:t>
      </w:r>
      <w:r>
        <w:rPr>
          <w:i/>
        </w:rPr>
        <w:t xml:space="preserve">aspect of the situation-gravity</w:t>
      </w:r>
      <w:r>
        <w:t xml:space="preserve"> </w:t>
      </w:r>
      <w:r>
        <w:t xml:space="preserve">(Primary 3), not a separate gravity: the world’s distance from Alexandria, Antioch, and Rome is the texture of how the contest reached it (letters unanswered, councils far away, an emperor passing through), and it belongs to Primary 3’s documentation rather than to a fourth primary.</w:t>
      </w:r>
    </w:p>
    <w:p>
      <w:pPr>
        <w:pStyle w:val="BodyText"/>
      </w:pPr>
      <w:r>
        <w:rPr>
          <w:i/>
        </w:rPr>
        <w:t xml:space="preserve">No Representative content appears in this document.</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2026-07-03T10:31:56Z</dcterms:created>
  <dcterms:modified xsi:type="dcterms:W3CDTF">2026-07-03T10:31:56Z</dcterms:modified>
</cp:coreProperties>
</file>

<file path=docProps/custom.xml><?xml version="1.0" encoding="utf-8"?>
<Properties xmlns="http://schemas.openxmlformats.org/officeDocument/2006/custom-properties" xmlns:vt="http://schemas.openxmlformats.org/officeDocument/2006/docPropsVTypes"/>
</file>