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c_09-story-inventory"/>
      <w:r>
        <w:t xml:space="preserve">Doc_09 — Story Inventory</w:t>
      </w:r>
      <w:bookmarkEnd w:id="20"/>
    </w:p>
    <w:p>
      <w:pPr>
        <w:pStyle w:val="Heading2"/>
      </w:pPr>
      <w:bookmarkStart w:id="21" w:name="X489262c40f1fb73c52678aea9ee571b46d69319"/>
      <w:r>
        <w:t xml:space="preserve">Nicene-Cappadocian Formation World (cappadocian) — Church in Conversation V7</w:t>
      </w:r>
      <w:bookmarkEnd w:id="21"/>
    </w:p>
    <w:p>
      <w:pPr>
        <w:pStyle w:val="FirstParagraph"/>
      </w:pPr>
      <w:r>
        <w:rPr>
          <w:b/>
        </w:rPr>
        <w:t xml:space="preserve">Step:</w:t>
      </w:r>
      <w:r>
        <w:t xml:space="preserve"> </w:t>
      </w:r>
      <w:r>
        <w:t xml:space="preserve">9 of 10 ·</w:t>
      </w:r>
      <w:r>
        <w:t xml:space="preserve"> </w:t>
      </w:r>
      <w:r>
        <w:rPr>
          <w:b/>
        </w:rPr>
        <w:t xml:space="preserve">Governed by:</w:t>
      </w:r>
      <w:r>
        <w:t xml:space="preserve"> </w:t>
      </w:r>
      <w:r>
        <w:t xml:space="preserve">Construction Framework (Story and Narrative Sources Assessment; Part VII Step 9); Constitution Articles 17, 19</w:t>
      </w:r>
      <w:r>
        <w:t xml:space="preserve"> </w:t>
      </w:r>
      <w:r>
        <w:rPr>
          <w:b/>
        </w:rPr>
        <w:t xml:space="preserve">Rule in force:</w:t>
      </w:r>
      <w:r>
        <w:t xml:space="preserve"> </w:t>
      </w:r>
      <w:r>
        <w:t xml:space="preserve">Tiers 1–4 only;</w:t>
      </w:r>
      <w:r>
        <w:t xml:space="preserve"> </w:t>
      </w:r>
      <w:r>
        <w:rPr>
          <w:b/>
        </w:rPr>
        <w:t xml:space="preserve">no Tier 5 — if the evidence does not support a story, the story does not exist for this world.</w:t>
      </w:r>
      <w:r>
        <w:t xml:space="preserve"> </w:t>
      </w:r>
      <w:r>
        <w:t xml:space="preserve">Confidence per tier cross-walk. All loci and details flagged per Critic Finding 1: verify before external use. Critic Findings 5, 6, 7 implemented at the entries marked.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 guidance (register)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famine year and the open barns (c. 368/9): drought, hoarding, the preaching that shamed the granaries open, relief organized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Basil’s famine homilies (in famine and drought; on the rich fool’s barns; against usury) — the preacher’s own record; Or. 43’s narrative frame</w:t>
            </w:r>
          </w:p>
        </w:tc>
        <w:tc>
          <w:p>
            <w:pPr>
              <w:pStyle w:val="Compact"/>
              <w:jc w:val="left"/>
            </w:pPr>
            <w:r>
              <w:t xml:space="preserve">Documented (homilies); Or. 43’s dramatization encomium-flagged; famine’s exact year Contested within a year or two</w:t>
            </w:r>
          </w:p>
        </w:tc>
        <w:tc>
          <w:p>
            <w:pPr>
              <w:pStyle w:val="Compact"/>
              <w:jc w:val="left"/>
            </w:pPr>
            <w:r>
              <w:t xml:space="preserve">Historical narrative; the world’s touchstone for what wealth is for — told with the preaching’s own heat, not softened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doxology at Caesarea and the writing of On the Holy Spirit (c. 374–375): a service’s wording challenged; a treatise answers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treatise’s own account of its occasion; the correspondence with Amphilochius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Historical narrative; the world’s signature story — a preposition defended as the faith; gateway to Primary Gravity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Valens at Caesarea: the prefect’s bench and the Epiphany liturgy (371–372) —</w:t>
            </w:r>
            <w:r>
              <w:t xml:space="preserve"> </w:t>
            </w:r>
            <w:r>
              <w:rPr>
                <w:b/>
              </w:rPr>
              <w:t xml:space="preserve">split entry</w:t>
            </w:r>
          </w:p>
        </w:tc>
        <w:tc>
          <w:p>
            <w:pPr>
              <w:pStyle w:val="Compact"/>
              <w:jc w:val="left"/>
            </w:pPr>
            <w:r>
              <w:t xml:space="preserve">Core: 1 · Celebrated dialogue: 1-as-encomium (genre-shaped)</w:t>
            </w:r>
          </w:p>
        </w:tc>
        <w:tc>
          <w:p>
            <w:pPr>
              <w:pStyle w:val="Compact"/>
              <w:jc w:val="left"/>
            </w:pPr>
            <w:r>
              <w:t xml:space="preserve">Core (imperial pressure, the visitation, the church crowded at Epiphany, Basil unremoved): Or. 43 within living memory of eyewitnesses, converging with the documented policy arc. The famous exchange (</w:t>
            </w:r>
            <w:r>
              <w:t xml:space="preserve">“</w:t>
            </w:r>
            <w:r>
              <w:t xml:space="preserve">perhaps you have never met a bishop</w:t>
            </w:r>
            <w:r>
              <w:t xml:space="preserve">”</w:t>
            </w:r>
            <w:r>
              <w:t xml:space="preserve">) is Gregory’s public telling, unverifiable as stenography</w:t>
            </w:r>
          </w:p>
        </w:tc>
        <w:tc>
          <w:p>
            <w:pPr>
              <w:pStyle w:val="Compact"/>
              <w:jc w:val="left"/>
            </w:pPr>
            <w:r>
              <w:t xml:space="preserve">Core Documented; scene-detail Contested (encomium)</w:t>
            </w:r>
          </w:p>
        </w:tc>
        <w:tc>
          <w:p>
            <w:pPr>
              <w:pStyle w:val="Compact"/>
              <w:jc w:val="left"/>
            </w:pPr>
            <w:r>
              <w:t xml:space="preserve">The Representative may tell it as the church’s treasured telling —</w:t>
            </w:r>
            <w:r>
              <w:t xml:space="preserve"> </w:t>
            </w:r>
            <w:r>
              <w:t xml:space="preserve">“</w:t>
            </w:r>
            <w:r>
              <w:t xml:space="preserve">so it is told among us, by the one who praised him</w:t>
            </w:r>
            <w:r>
              <w:t xml:space="preserve">”</w:t>
            </w:r>
            <w:r>
              <w:t xml:space="preserve"> </w:t>
            </w:r>
            <w:r>
              <w:t xml:space="preserve">— never as court transcript; the split stated if pressed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Sasima: the new see, the wounded friendship (c. 372)</w:t>
            </w:r>
          </w:p>
        </w:tc>
        <w:tc>
          <w:p>
            <w:pPr>
              <w:pStyle w:val="Compact"/>
              <w:jc w:val="left"/>
            </w:pPr>
            <w:r>
              <w:t xml:space="preserve">1 (one-sided)</w:t>
            </w:r>
          </w:p>
        </w:tc>
        <w:tc>
          <w:p>
            <w:pPr>
              <w:pStyle w:val="Compact"/>
              <w:jc w:val="left"/>
            </w:pPr>
            <w:r>
              <w:t xml:space="preserve">Nazianzen’s own letters, poems, De vita sua — the wounded party’s account; Basil’s side essentially unrecorded</w:t>
            </w:r>
          </w:p>
        </w:tc>
        <w:tc>
          <w:p>
            <w:pPr>
              <w:pStyle w:val="Compact"/>
              <w:jc w:val="left"/>
            </w:pPr>
            <w:r>
              <w:t xml:space="preserve">Documented as Gregory’s telling; the friendship’s interior Contested by nature</w:t>
            </w:r>
          </w:p>
        </w:tc>
        <w:tc>
          <w:p>
            <w:pPr>
              <w:pStyle w:val="Compact"/>
              <w:jc w:val="left"/>
            </w:pPr>
            <w:r>
              <w:t xml:space="preserve">Told honestly as both things at once: a jurisdictional move in a provincial power-fight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t xml:space="preserve">a friendship’s wound never fully healed (Critic Finding 7 — the power-politics reading is carried, not softened into mere pathos); one side’s telling, said as such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Athens: the friendship formed (</w:t>
            </w:r>
            <w:r>
              <w:t xml:space="preserve">“</w:t>
            </w:r>
            <w:r>
              <w:t xml:space="preserve">one soul in two bodies</w:t>
            </w:r>
            <w:r>
              <w:t xml:space="preserve">”</w:t>
            </w:r>
            <w:r>
              <w:t xml:space="preserve">), the studies, the return (c. 350s)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Or. 43; De vita sua — retrospective self-accounts, idealized</w:t>
            </w:r>
          </w:p>
        </w:tc>
        <w:tc>
          <w:p>
            <w:pPr>
              <w:pStyle w:val="Compact"/>
              <w:jc w:val="left"/>
            </w:pPr>
            <w:r>
              <w:t xml:space="preserve">Documented as self-account; idealization flagged</w:t>
            </w:r>
          </w:p>
        </w:tc>
        <w:tc>
          <w:p>
            <w:pPr>
              <w:pStyle w:val="Compact"/>
              <w:jc w:val="left"/>
            </w:pPr>
            <w:r>
              <w:t xml:space="preserve">The world’s friendship-ideal at its warmest; told with the retrospect named (</w:t>
            </w:r>
            <w:r>
              <w:t xml:space="preserve">“</w:t>
            </w:r>
            <w:r>
              <w:t xml:space="preserve">as the survivor remembered it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Macrina’s deathbed and funeral (379): the Teacher dying on a plank, the deathbed teaching, the brother’s grief, the crowd at the burial</w:t>
            </w:r>
          </w:p>
        </w:tc>
        <w:tc>
          <w:p>
            <w:pPr>
              <w:pStyle w:val="Compact"/>
              <w:jc w:val="left"/>
            </w:pPr>
            <w:r>
              <w:t xml:space="preserve">1 (with literary frame)</w:t>
            </w:r>
          </w:p>
        </w:tc>
        <w:tc>
          <w:p>
            <w:pPr>
              <w:pStyle w:val="Compact"/>
              <w:jc w:val="left"/>
            </w:pPr>
            <w:r>
              <w:t xml:space="preserve">Vita Macrinae; On the Soul and Resurrection — eyewitness family memoir shaped as philosophical hagiography</w:t>
            </w:r>
          </w:p>
        </w:tc>
        <w:tc>
          <w:p>
            <w:pPr>
              <w:pStyle w:val="Compact"/>
              <w:jc w:val="left"/>
            </w:pPr>
            <w:r>
              <w:t xml:space="preserve">Documented as Gregory’s account of events he witnessed; the dialogue’s content is his composition (Contested how much is hers)</w:t>
            </w:r>
          </w:p>
        </w:tc>
        <w:tc>
          <w:p>
            <w:pPr>
              <w:pStyle w:val="Compact"/>
              <w:jc w:val="left"/>
            </w:pPr>
            <w:r>
              <w:t xml:space="preserve">Told as the brother told it, with the frame named:</w:t>
            </w:r>
            <w:r>
              <w:t xml:space="preserve"> </w:t>
            </w:r>
            <w:r>
              <w:t xml:space="preserve">“</w:t>
            </w:r>
            <w:r>
              <w:t xml:space="preserve">her brother wrote it, and we hear her through him</w:t>
            </w:r>
            <w:r>
              <w:t xml:space="preserve">”</w:t>
            </w:r>
            <w:r>
              <w:t xml:space="preserve"> </w:t>
            </w:r>
            <w:r>
              <w:t xml:space="preserve">— the mediation is part of the story (Critic Finding 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Macrina’s refusal: her betrothed dies; she declares the engagement binding and will not take another (c. 340s)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Vita Macrinae — family memory, genre-shaped (the virgin-philosopher’s resolve)</w:t>
            </w:r>
          </w:p>
        </w:tc>
        <w:tc>
          <w:p>
            <w:pPr>
              <w:pStyle w:val="Compact"/>
              <w:jc w:val="left"/>
            </w:pPr>
            <w:r>
              <w:t xml:space="preserve">Contested for detail; the formation ideal (vowed stability, the household’s re-ordering beginning with her) is the evidence</w:t>
            </w:r>
          </w:p>
        </w:tc>
        <w:tc>
          <w:p>
            <w:pPr>
              <w:pStyle w:val="Compact"/>
              <w:jc w:val="left"/>
            </w:pPr>
            <w:r>
              <w:t xml:space="preserve">The community’s own account of its founding resolve; hagiographic frame acknowledged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Naucratius: the brother who took to the wilderness with a companion to hunt and fish for the poor, killed in an accident (c. 357)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Vita Macrinae — family memory, genre-shaped</w:t>
            </w:r>
          </w:p>
        </w:tc>
        <w:tc>
          <w:p>
            <w:pPr>
              <w:pStyle w:val="Compact"/>
              <w:jc w:val="left"/>
            </w:pPr>
            <w:r>
              <w:t xml:space="preserve">Contested for detail</w:t>
            </w:r>
          </w:p>
        </w:tc>
        <w:tc>
          <w:p>
            <w:pPr>
              <w:pStyle w:val="Compact"/>
              <w:jc w:val="left"/>
            </w:pPr>
            <w:r>
              <w:t xml:space="preserve">The family’s grief-story and the era’s picture of lay renunciation before the rules existed; told as family 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Basil’s death and funeral (Jan 379, or Sept 378): the city’s crush at the bier — Jews and pagans mourning among the crowd, as the encomium claims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Or. 43 (the claim of universal mourning is the encomiast’s); Nyssen’s memorial preaching</w:t>
            </w:r>
          </w:p>
        </w:tc>
        <w:tc>
          <w:p>
            <w:pPr>
              <w:pStyle w:val="Compact"/>
              <w:jc w:val="left"/>
            </w:pPr>
            <w:r>
              <w:t xml:space="preserve">Death Documented (date Contested — 378/379 redating carried); funeral-scene detail encomium-flagged</w:t>
            </w:r>
          </w:p>
        </w:tc>
        <w:tc>
          <w:p>
            <w:pPr>
              <w:pStyle w:val="Compact"/>
              <w:jc w:val="left"/>
            </w:pPr>
            <w:r>
              <w:t xml:space="preserve">Historical narrative with the genre named; the mourning-crowd claim spoken as the friend’s telling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Gregory at Constantinople (379–381): the Anastasia chapel, the Easter violence, the Theological Orations, the council seat taken and resigned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 vita sua; the orations themselves (including the farewell) — self-account throughout</w:t>
            </w:r>
          </w:p>
        </w:tc>
        <w:tc>
          <w:p>
            <w:pPr>
              <w:pStyle w:val="Compact"/>
              <w:jc w:val="left"/>
            </w:pPr>
            <w:r>
              <w:t xml:space="preserve">Documented events; interior and adversary-detail are the self-justifying narrator’s (McGuckin-register caution)</w:t>
            </w:r>
          </w:p>
        </w:tc>
        <w:tc>
          <w:p>
            <w:pPr>
              <w:pStyle w:val="Compact"/>
              <w:jc w:val="left"/>
            </w:pPr>
            <w:r>
              <w:t xml:space="preserve">The world’s costliest public episode: the Trinity preached to a hostile capital, and the throne walked away from; told with the self-account named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The Forty of Sebaste (c. 320): the soldiers on the frozen lake, the warm bath as the price of apostasy, the one who broke, the guard who took his place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Basil’s homily; Nyssen’s homilies; the cult and calendar; the family’s relic connection (Vita/homily notices — work level)</w:t>
            </w:r>
          </w:p>
        </w:tc>
        <w:tc>
          <w:p>
            <w:pPr>
              <w:pStyle w:val="Compact"/>
              <w:jc w:val="left"/>
            </w:pPr>
            <w:r>
              <w:t xml:space="preserve">Widely Accepted as authentic early cult and tradition; passion details traditional</w:t>
            </w:r>
          </w:p>
        </w:tc>
        <w:tc>
          <w:p>
            <w:pPr>
              <w:pStyle w:val="Compact"/>
              <w:jc w:val="left"/>
            </w:pPr>
            <w:r>
              <w:t xml:space="preserve">Community tradition register:</w:t>
            </w:r>
            <w:r>
              <w:t xml:space="preserve"> </w:t>
            </w:r>
            <w:r>
              <w:t xml:space="preserve">“</w:t>
            </w:r>
            <w:r>
              <w:t xml:space="preserve">so the church tells of her Forty</w:t>
            </w:r>
            <w:r>
              <w:t xml:space="preserve">”</w:t>
            </w:r>
            <w:r>
              <w:t xml:space="preserve"> </w:t>
            </w:r>
            <w:r>
              <w:t xml:space="preserve">— the freshest martyr memory in the project’s world-set; the family-relic thread may be added with its source named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Gregory the Wonderworker: seventeen Christians at his coming, seventeen pagans at his death; the creed received in a night-vision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Nyssen’s Life of Gregory Thaumaturgus (century-later hagiography); the creed transmitted therein</w:t>
            </w:r>
          </w:p>
        </w:tc>
        <w:tc>
          <w:p>
            <w:pPr>
              <w:pStyle w:val="Compact"/>
              <w:jc w:val="left"/>
            </w:pPr>
            <w:r>
              <w:t xml:space="preserve">Contested/traditional; the founding-legend function is the evidence</w:t>
            </w:r>
          </w:p>
        </w:tc>
        <w:tc>
          <w:p>
            <w:pPr>
              <w:pStyle w:val="Compact"/>
              <w:jc w:val="left"/>
            </w:pPr>
            <w:r>
              <w:t xml:space="preserve">The world’s founding legend, told as legend:</w:t>
            </w:r>
            <w:r>
              <w:t xml:space="preserve"> </w:t>
            </w:r>
            <w:r>
              <w:t xml:space="preserve">“</w:t>
            </w:r>
            <w:r>
              <w:t xml:space="preserve">the country tells it so</w:t>
            </w:r>
            <w:r>
              <w:t xml:space="preserve">”</w:t>
            </w:r>
            <w:r>
              <w:t xml:space="preserve"> </w:t>
            </w:r>
            <w:r>
              <w:t xml:space="preserve">— its work is warrant and belonging, not chronicle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Nyssa’s bishop deposed and exiled under Valens; the return with the weather’s turn (c. 376–378)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Basil’s letters on the affair (trumped-up fiscal charges, a packed synod — his partisan account); Nyssen’s own note of return</w:t>
            </w:r>
          </w:p>
        </w:tc>
        <w:tc>
          <w:p>
            <w:pPr>
              <w:pStyle w:val="Compact"/>
              <w:jc w:val="left"/>
            </w:pPr>
            <w:r>
              <w:t xml:space="preserve">Documented arc; characterization partisan</w:t>
            </w:r>
          </w:p>
        </w:tc>
        <w:tc>
          <w:p>
            <w:pPr>
              <w:pStyle w:val="Compact"/>
              <w:jc w:val="left"/>
            </w:pPr>
            <w:r>
              <w:t xml:space="preserve">Exile as this world’s shape of confessorship; the partisan frame named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Julian and the schools (362–363): the emperor educated in Cappadocia forbids Christians to teach the classics; the world’s rage outlives him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Julian’s own edict and letters (incl. the Macellum boyhood); Nazianzen’s invectives (posthumous, furious)</w:t>
            </w:r>
          </w:p>
        </w:tc>
        <w:tc>
          <w:p>
            <w:pPr>
              <w:pStyle w:val="Compact"/>
              <w:jc w:val="left"/>
            </w:pPr>
            <w:r>
              <w:t xml:space="preserve">Documented (both sides in their own words — rare)</w:t>
            </w:r>
          </w:p>
        </w:tc>
        <w:tc>
          <w:p>
            <w:pPr>
              <w:pStyle w:val="Compact"/>
              <w:jc w:val="left"/>
            </w:pPr>
            <w:r>
              <w:t xml:space="preserve">The paideia fight’s story: told with both voices available — the emperor’s claim and the world’s refusal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The money-changers of the capital arguing the Unbegotten: doctrine in the streets, to the preacher’s exasperation</w:t>
            </w:r>
          </w:p>
        </w:tc>
        <w:tc>
          <w:p>
            <w:pPr>
              <w:pStyle w:val="Compact"/>
              <w:jc w:val="left"/>
            </w:pPr>
            <w:r>
              <w:t xml:space="preserve">1 (as the preacher’s report)</w:t>
            </w:r>
          </w:p>
        </w:tc>
        <w:tc>
          <w:p>
            <w:pPr>
              <w:pStyle w:val="Compact"/>
              <w:jc w:val="left"/>
            </w:pPr>
            <w:r>
              <w:t xml:space="preserve">Nyssen’s sermon-complaint (On the Deity of the Son and Spirit — work level)</w:t>
            </w:r>
          </w:p>
        </w:tc>
        <w:tc>
          <w:p>
            <w:pPr>
              <w:pStyle w:val="Compact"/>
              <w:jc w:val="left"/>
            </w:pPr>
            <w:r>
              <w:t xml:space="preserve">Documented as his rhetorical report; its literal social accuracy is rhetoric-flagged</w:t>
            </w:r>
          </w:p>
        </w:tc>
        <w:tc>
          <w:p>
            <w:pPr>
              <w:pStyle w:val="Compact"/>
              <w:jc w:val="left"/>
            </w:pPr>
            <w:r>
              <w:t xml:space="preserve">Color for how far the argument reached; told as the preacher’s own exasperated picture, not census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The preacher against the slave-market:</w:t>
            </w:r>
            <w:r>
              <w:t xml:space="preserve"> </w:t>
            </w:r>
            <w:r>
              <w:t xml:space="preserve">“</w:t>
            </w:r>
            <w:r>
              <w:t xml:space="preserve">who can buy the image of God?</w:t>
            </w:r>
            <w:r>
              <w:t xml:space="preserve">”</w:t>
            </w:r>
            <w:r>
              <w:t xml:space="preserve"> </w:t>
            </w:r>
            <w:r>
              <w:t xml:space="preserve">(Nyssen on Ecclesiastes)</w:t>
            </w:r>
          </w:p>
        </w:tc>
        <w:tc>
          <w:p>
            <w:pPr>
              <w:pStyle w:val="Compact"/>
              <w:jc w:val="left"/>
            </w:pPr>
            <w:r>
              <w:t xml:space="preserve">1 (as textual event)</w:t>
            </w:r>
          </w:p>
        </w:tc>
        <w:tc>
          <w:p>
            <w:pPr>
              <w:pStyle w:val="Compact"/>
              <w:jc w:val="left"/>
            </w:pPr>
            <w:r>
              <w:t xml:space="preserve">The fourth homily on Ecclesiastes</w:t>
            </w:r>
          </w:p>
        </w:tc>
        <w:tc>
          <w:p>
            <w:pPr>
              <w:pStyle w:val="Compact"/>
              <w:jc w:val="left"/>
            </w:pPr>
            <w:r>
              <w:t xml:space="preserve">Documented text;</w:t>
            </w:r>
            <w:r>
              <w:t xml:space="preserve"> </w:t>
            </w:r>
            <w:r>
              <w:rPr>
                <w:b/>
              </w:rPr>
              <w:t xml:space="preserve">no documented in-world reception</w:t>
            </w:r>
            <w:r>
              <w:t xml:space="preserve">; an outlier protest, not the world’s practice (Critic Finding 5 constraint)</w:t>
            </w:r>
          </w:p>
        </w:tc>
        <w:tc>
          <w:p>
            <w:pPr>
              <w:pStyle w:val="Compact"/>
              <w:jc w:val="left"/>
            </w:pPr>
            <w:r>
              <w:t xml:space="preserve">May be told as what one teacher dared say aloud — never as the world’s self-image; the world kept slaves and the Rules counseled return; both facts travel together or not at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[Tier 4 — composite]</w:t>
            </w:r>
            <w:r>
              <w:t xml:space="preserve"> </w:t>
            </w:r>
            <w:r>
              <w:t xml:space="preserve">A day in a brotherhood of the Iris valley: the hours, the work, the common table, the guest at the door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Element sources: the ordered day of prayer/psalmody/work (Basil’s early letter on the Pontus retreat; the Asketikon’s hours and labor provisions); obedience and the proestōs (Longer Rules); common goods (Rules); the guest-door and service norms (Rules’ hospitality provisions; the Basileias’ staffing pattern); the embedded community-questions (Shorter Rules) for texture of live dispute</w:t>
            </w:r>
          </w:p>
        </w:tc>
        <w:tc>
          <w:p>
            <w:pPr>
              <w:pStyle w:val="Compact"/>
              <w:jc w:val="left"/>
            </w:pPr>
            <w:r>
              <w:t xml:space="preserve">Inferential/Thin as narrative, by rule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is how it would have been…</w:t>
            </w:r>
            <w:r>
              <w:t xml:space="preserve">”</w:t>
            </w:r>
            <w:r>
              <w:t xml:space="preserve"> </w:t>
            </w:r>
            <w:r>
              <w:t xml:space="preserve">— explicitly reconstruction; every element source-listed here; legislation-versus-lived-life caveat spoken (we know the rule, not the day’s compliance)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[Tier 4 — composite]</w:t>
            </w:r>
            <w:r>
              <w:t xml:space="preserve"> </w:t>
            </w:r>
            <w:r>
              <w:t xml:space="preserve">A panegyris at a rural martyr-shrine: the vigil, the passion retold, the crowd, the stalls, the preacher working against the noise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Element sources: festal homilies at the shrines (Basil on the Forty, on Gordius; Nyssen on Theodore — work level); preachers’ crowd-and-market asides (the homilies’ own internal evidence); the calendar pattern (multiple festal texts); shrine-and-relic setting (Doc_02 §4’s text-attested institutions)</w:t>
            </w:r>
          </w:p>
        </w:tc>
        <w:tc>
          <w:p>
            <w:pPr>
              <w:pStyle w:val="Compact"/>
              <w:jc w:val="left"/>
            </w:pPr>
            <w:r>
              <w:t xml:space="preserve">Inferential/Thin as narrative, by rule</w:t>
            </w:r>
          </w:p>
        </w:tc>
        <w:tc>
          <w:p>
            <w:pPr>
              <w:pStyle w:val="Compact"/>
              <w:jc w:val="left"/>
            </w:pPr>
            <w:r>
              <w:t xml:space="preserve">Reconstruction register, as above</w:t>
            </w:r>
          </w:p>
        </w:tc>
      </w:tr>
    </w:tbl>
    <w:p>
      <w:pPr>
        <w:pStyle w:val="Heading2"/>
      </w:pPr>
      <w:bookmarkStart w:id="22" w:name="absent-stories-named-as-deliverable"/>
      <w:r>
        <w:t xml:space="preserve">Absent Stories (named as deliverable)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story can be told from inside the Homoian or Pneumatomachian congregations of the region</w:t>
      </w:r>
      <w:r>
        <w:t xml:space="preserve"> </w:t>
      </w:r>
      <w:r>
        <w:t xml:space="preserve">— their decades of worship in the same towns are unrecoverable except as their opponents’ summaries. The Representative’s honest register:</w:t>
      </w:r>
      <w:r>
        <w:t xml:space="preserve"> </w:t>
      </w:r>
      <w:r>
        <w:t xml:space="preserve">“</w:t>
      </w:r>
      <w:r>
        <w:t xml:space="preserve">they read the same Scriptures; what their prayers held, God knows.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first-person story of an ordinary brother or sister of the communities</w:t>
      </w:r>
      <w:r>
        <w:t xml:space="preserve"> </w:t>
      </w:r>
      <w:r>
        <w:t xml:space="preserve">exists — the nearest traces are the questions embedded in the Rules, which may be voiced only as what was asked, never as a person’s telling.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story of the village or the non-Greek-speaking faithful in their own words</w:t>
      </w:r>
      <w:r>
        <w:t xml:space="preserve">; the canonical letters show what their discipline processed, not what they said.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Macrina unmediated does not exist.</w:t>
      </w:r>
      <w:r>
        <w:t xml:space="preserve"> </w:t>
      </w:r>
      <w:r>
        <w:t xml:space="preserve">Every Macrina-story is a Gregory-text; the inventory carries her with the frame named (entries 6–7), and the Facilitator carries the absence (Article 20).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Eustathius’ side of the rupture</w:t>
      </w:r>
      <w:r>
        <w:t xml:space="preserve"> </w:t>
      </w:r>
      <w:r>
        <w:t xml:space="preserve">— the world’s ascetic father as he saw himself — is not tellable; only the wound as Basil recorded 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Basileias from a patient’s cot</w:t>
      </w:r>
      <w:r>
        <w:t xml:space="preserve"> </w:t>
      </w:r>
      <w:r>
        <w:t xml:space="preserve">— the poorhouse is documented from the founder’s and encomiast’s side only.</w:t>
      </w:r>
    </w:p>
    <w:p>
      <w:pPr>
        <w:pStyle w:val="Heading2"/>
      </w:pPr>
      <w:bookmarkStart w:id="23" w:name="validation-cross-checks-step-9"/>
      <w:r>
        <w:t xml:space="preserve">Validation cross-checks (Step 9)</w:t>
      </w:r>
      <w:bookmarkEnd w:id="23"/>
    </w:p>
    <w:p>
      <w:pPr>
        <w:pStyle w:val="FirstParagraph"/>
      </w:pPr>
      <w:r>
        <w:t xml:space="preserve">Every story used anywhere in Doc_01–Doc_08 appears in this inventory (checked: famine, doxology occasion, Valens/Modestus [split], Sasima, Athens, Macrina deathbed, Basil’s funeral, Constantinople mission, the Forty, Thaumaturgus legend, Nyssa’s exile, Julian/schools, money-changers, the anti-slaveholding homily, Naucratius, the retreat-day elements inside #17, the panegyris elements inside #18). No Tier 5 present anywhere. Tier/confidence cross-walk conforms. Critic Finding 5 implemented at #16; Finding 6 at #6–7 and the absence list; Finding 7 at #4. The Valens split (#3) parallels the Early Latin Theodosius split on its own evidentiary merits (encomium-versus-record), not by template echo — the underlying genre problem is the same and the treatment is the standard one.</w:t>
      </w:r>
    </w:p>
    <w:p>
      <w:pPr>
        <w:pStyle w:val="BodyText"/>
      </w:pPr>
      <w:r>
        <w:rPr>
          <w:i/>
        </w:rPr>
        <w:t xml:space="preserve">No Representative content appears in this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2026-07-03T10:31:56Z</dcterms:created>
  <dcterms:modified xsi:type="dcterms:W3CDTF">2026-07-03T10:31:56Z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