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 xml:space="preserve">BYLAWS — SKELETON DRAFT</w:t>
      </w:r>
    </w:p>
    <w:p>
      <w:pPr>
        <w:spacing w:after="30"/>
        <w:jc w:val="center"/>
      </w:pPr>
      <w:r>
        <w:rPr>
          <w:sz w:val="23"/>
          <w:szCs w:val="23"/>
        </w:rPr>
        <w:t xml:space="preserve">Church in Conversation — a Colorado Nonprofit Corporation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DRAFT V0.1 · July 16, 2026 · Prepared for attorney review — NOT legal advice, NOT for filing as-is. Bracketed items are placeholders. The attorney consult already on the formation roadmap reviews and finalizes this.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1 — Name, Purpose, Governing Documents</w:t>
      </w:r>
    </w:p>
    <w:p>
      <w:pPr>
        <w:spacing w:after="95"/>
      </w:pPr>
      <w:r>
        <w:t xml:space="preserve">The corporation operates under its Articles of Incorporation. In addition, the Board adopts as governing commitments of the ministry’s conduct: the Vision Document (V1.1), the Constitution (V2.2) as it governs the encounter architecture, and the Organizational Covenant as it governs organizational conduct — money, partners, measurement, pace, and people. Where these bylaws and the Articles conflict, the Articles govern.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2 — Board of Directors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Composition: </w:t>
      </w:r>
      <w:r>
        <w:t xml:space="preserve">no fewer than five (5) directors; at least three (3) independent (no family relationship within IRS Form 990 definitions; no compensated or business relationship with the founder or officers); no more than one (1) director related to the founder.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Qualification: </w:t>
      </w:r>
      <w:r>
        <w:t xml:space="preserve">agreement with the Organizational Covenant is a condition of board service (Covenant Art. 7 — “people who love what it is”).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Terms: </w:t>
      </w:r>
      <w:r>
        <w:t xml:space="preserve">[staggered three-year terms, twice renewable — attorney to confirm]; election by board majority; removal with or without cause by two-thirds vote; vacancies filled by remaining directors.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Officers: </w:t>
      </w:r>
      <w:r>
        <w:t xml:space="preserve">President/Executive Director [initially the founder], Secretary, Treasurer; the offices of Secretary and Treasurer shall be held by directors other than the founder.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3 — Meetings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Annual meeting; regular meetings no less than quarterly; special meetings on call of the President or any two directors. Notice, quorum (majority of directors then in office), and action-without-meeting per C.R.S. defaults [attorney confirms].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Heightened quorum: </w:t>
      </w:r>
      <w:r>
        <w:t xml:space="preserve">any vote on founder compensation, the gift-acceptance policy, or amendment of Bylaws Articles 4–6 requires the presence and participation of a majority of the independent directors.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4 — Foundational Commitments (Mission Lock, operational form)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Article IV commitments of the Articles of Incorporation bind every program, budget, contract, and partnership decision.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Measurement policy (three tiers, canonical): </w:t>
      </w:r>
      <w:r>
        <w:t xml:space="preserve">learning metrics measured freely; engagement numbers tracked as learning and cost signals but never adopted as targets; recruitment/conversion metrics never built or measured at all.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Pace: </w:t>
      </w:r>
      <w:r>
        <w:t xml:space="preserve">no funding deadline, partner timeline, or growth target may compress the project’s review gates or external scholarly accountability.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Amendment: </w:t>
      </w:r>
      <w:r>
        <w:t xml:space="preserve">this Article 4, and Articles 5–6 below, may be amended only by four-fifths (4/5) of all directors including a majority of independent directors.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5 — Conflicts of Interest and Compensation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Board shall adopt a conflict-of-interest policy meeting IRS expectations; annual disclosure statements required of all directors and officers.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Founder and officer compensation: </w:t>
      </w:r>
      <w:r>
        <w:t xml:space="preserve">set only by the disinterested independent directors, following the rebuttable-presumption procedure — independent approval in advance, reliance on comparability data, contemporaneous documentation.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Stipend trigger policy: </w:t>
      </w:r>
      <w:r>
        <w:t xml:space="preserve">any founder stipend shall be adopted as a written, trigger-based policy (commencing only when recurring unrestricted revenue sustains a stated multiple of the stipend for a stated period, or upon a qualifying unrestricted grant), never ad hoc. [Per decision log 2026-07-16; the first Board meeting adopts the specific numbers.]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stipend, salary, or founder payment shall ever be made from designated or restricted gifts, including church-designated-fund monies.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6 — Gift Acceptance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gift, grant, sponsorship, or license — of any size — may select worlds, shape reconstructions, soften testimony, gate the transparency apparatus, or acquire participant data. Gifts with such conditions are declined in writing.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Sponsorship confers recognition, never influence.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Diversification discipline: </w:t>
      </w:r>
      <w:r>
        <w:t xml:space="preserve">the Board monitors funder concentration; from public launch onward, no single funding source should exceed approximately one quarter of the annual operating budget, and any exception is documented as temporary with a dilution plan.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7 — Committees</w:t>
      </w:r>
    </w:p>
    <w:p>
      <w:pPr>
        <w:spacing w:after="95"/>
      </w:pPr>
      <w:r>
        <w:t xml:space="preserve">The Board may establish committees (e.g., Finance; Scholarly Review liaison). No committee may exercise the powers reserved to the full Board under Articles 4–6.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8 — Administrative Provisions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Fiscal year: January 1 – December 31. Books and records per C.R.S.; annual budget adopted by the Board; Form 990 series filed timely and posted publicly.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Indemnification of directors and officers to the fullest extent permitted by Colorado law; the corporation shall maintain D&amp;O insurance once operations warrant [~$600–1,200/yr planning figure].</w:t>
      </w:r>
    </w:p>
    <w:p>
      <w:pPr>
        <w:pStyle w:val="Heading1"/>
        <w:spacing w:after="100" w:before="240"/>
      </w:pPr>
      <w:r>
        <w:rPr>
          <w:color w:val="1F3864"/>
          <w:sz w:val="25"/>
          <w:szCs w:val="25"/>
        </w:rPr>
        <w:t xml:space="preserve">Article 9 — Amendments</w:t>
      </w:r>
    </w:p>
    <w:p>
      <w:pPr>
        <w:spacing w:after="95"/>
      </w:pPr>
      <w:r>
        <w:t xml:space="preserve">Except as provided in Article 4 (supermajority provisions), these bylaws may be amended by a two-thirds vote of directors then in office at a meeting noticed for that purpose.</w:t>
      </w:r>
    </w:p>
    <w:p>
      <w:pPr>
        <w:spacing w:after="95"/>
      </w:pPr>
      <w:r>
        <w:rPr>
          <w:i/>
          <w:iCs/>
        </w:rPr>
        <w:t xml:space="preserve">Skeleton prepared from the funding decision log’s board-design entries (2026-07-15: 5-seat floor, 3 clean independents, mission-lock, compensation groundwork) and the Organizational Covenant V0.1. First Board meeting agenda (Nov 2026) adopts: bylaws, covenant, conflict policy, compensation/stipend trigger policy, 2027 budget.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2026-07-16T18:15:43.737Z</dcterms:created>
  <dcterms:modified xsi:type="dcterms:W3CDTF">2026-07-16T18:15:43.737Z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