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oc_02-source-ecology"/>
    <w:p>
      <w:pPr>
        <w:pStyle w:val="Heading1"/>
      </w:pPr>
      <w:r>
        <w:t xml:space="preserve">Doc_02 — Source Ecology</w:t>
      </w:r>
    </w:p>
    <w:bookmarkStart w:id="20" w:name="X3a224018e614a0aaf42edbebe800571f6fb64c5"/>
    <w:p>
      <w:pPr>
        <w:pStyle w:val="Heading2"/>
      </w:pPr>
      <w:r>
        <w:t xml:space="preserve">Cappadocian Formation World (cappadocian) — Church in Conversation V7</w:t>
      </w:r>
    </w:p>
    <w:p>
      <w:pPr>
        <w:pStyle w:val="FirstParagraph"/>
      </w:pPr>
      <w:r>
        <w:rPr>
          <w:bCs/>
          <w:b/>
        </w:rPr>
        <w:t xml:space="preserve">Step:</w:t>
      </w:r>
      <w:r>
        <w:t xml:space="preserve"> </w:t>
      </w:r>
      <w:r>
        <w:t xml:space="preserve">2 of 10 ·</w:t>
      </w:r>
      <w:r>
        <w:t xml:space="preserve"> </w:t>
      </w:r>
      <w:r>
        <w:rPr>
          <w:bCs/>
          <w:b/>
        </w:rPr>
        <w:t xml:space="preserve">Governed by:</w:t>
      </w:r>
      <w:r>
        <w:t xml:space="preserve"> </w:t>
      </w:r>
      <w:r>
        <w:t xml:space="preserve">Construction Framework Part II; Forces Framework Step 2; Constitution Articles 16, 20, 26</w:t>
      </w:r>
      <w:r>
        <w:t xml:space="preserve"> </w:t>
      </w:r>
      <w:r>
        <w:rPr>
          <w:bCs/>
          <w:b/>
        </w:rPr>
        <w:t xml:space="preserve">Update (2026-08-31):</w:t>
      </w:r>
      <w:r>
        <w:t xml:space="preserve"> </w:t>
      </w:r>
      <w:r>
        <w:t xml:space="preserve">the acquisition manifest closed (all sources vendored,</w:t>
      </w:r>
      <w:r>
        <w:t xml:space="preserve"> </w:t>
      </w:r>
      <w:r>
        <w:rPr>
          <w:rStyle w:val="VerbatimChar"/>
        </w:rPr>
        <w:t xml:space="preserve">CAPPADOCIAN_BUILD_LEDGER.md</w:t>
      </w:r>
      <w:r>
        <w:t xml:space="preserve"> </w:t>
      </w:r>
      <w:r>
        <w:t xml:space="preserve">§9), G1 was re-confirmed by Mark, and</w:t>
      </w:r>
      <w:r>
        <w:t xml:space="preserve"> </w:t>
      </w:r>
      <w:r>
        <w:rPr>
          <w:rStyle w:val="VerbatimChar"/>
        </w:rPr>
        <w:t xml:space="preserve">cappadocian_Source_Registry.md</w:t>
      </w:r>
      <w:r>
        <w:t xml:space="preserve"> </w:t>
      </w:r>
      <w:r>
        <w:t xml:space="preserve">was built and disposed as Approved to proceed after three independent review rounds (ledger §10). A full claim-by-claim cross-check of this document against that Registry’s 116 rows found every specific source this document names — every letter, canon, homily, and named scholar across §§1–6 — traces to a Registry row, per the Registry’s own checkpoint rule; one precision gap (the</w:t>
      </w:r>
      <w:r>
        <w:t xml:space="preserve"> </w:t>
      </w:r>
      <w:r>
        <w:rPr>
          <w:iCs/>
          <w:i/>
        </w:rPr>
        <w:t xml:space="preserve">Life of Macrina</w:t>
      </w:r>
      <w:r>
        <w:t xml:space="preserve">’s Registry row not enumerating all of this document’s own uses of it) was fixed in the Registry, not here, since it required no change to this document’s own claims. This document’s own prose content is otherwise unchanged by that cross-check.</w:t>
      </w:r>
      <w:r>
        <w:t xml:space="preserve"> </w:t>
      </w:r>
      <w:r>
        <w:rPr>
          <w:bCs/>
          <w:b/>
        </w:rPr>
        <w:t xml:space="preserve">Status:</w:t>
      </w:r>
      <w:r>
        <w:t xml:space="preserve"> </w:t>
      </w:r>
      <w:r>
        <w:t xml:space="preserve">Content revised and independently reviewed (2026-08-30); now additionally checked against the completed Source Registry (2026-08-31), with no gap found requiring a change to this document’s own claims. Citations still rest on the reviewing and revising models’ own training knowledge rather than on checked pages of the now-acquired texts — the Registry’s existence closes the</w:t>
      </w:r>
      <w:r>
        <w:t xml:space="preserve"> </w:t>
      </w:r>
      <w:r>
        <w:rPr>
          <w:iCs/>
          <w:i/>
        </w:rPr>
        <w:t xml:space="preserve">sourcing</w:t>
      </w:r>
      <w:r>
        <w:t xml:space="preserve"> </w:t>
      </w:r>
      <w:r>
        <w:t xml:space="preserve">gap (every claim now has a named, classified source row) but does not by itself constitute a page-by-page fact-check of this document’s prose against those texts; that remains open, named honestly rather than assumed closed.</w:t>
      </w:r>
    </w:p>
    <w:p>
      <w:r>
        <w:pict>
          <v:rect style="width:0;height:1.5pt" o:hralign="center" o:hrstd="t" o:hr="t"/>
        </w:pict>
      </w:r>
    </w:p>
    <w:bookmarkEnd w:id="20"/>
    <w:bookmarkStart w:id="27" w:name="Xe515375591303f62c3d2e22f4e78c252e29cf21"/>
    <w:p>
      <w:pPr>
        <w:pStyle w:val="Heading2"/>
      </w:pPr>
      <w:r>
        <w:t xml:space="preserve">1. Primary Voices (with five-dimension Author Gravity Assessment)</w:t>
      </w:r>
    </w:p>
    <w:bookmarkStart w:id="21" w:name="Xd5374414913984d72703e9e3befc4f4bc0396c0"/>
    <w:p>
      <w:pPr>
        <w:pStyle w:val="Heading3"/>
      </w:pPr>
      <w:r>
        <w:t xml:space="preserve">1.1 Basil of Caesarea (c. 329/30 – 379; death redated to</w:t>
      </w:r>
      <w:r>
        <w:t xml:space="preserve"> </w:t>
      </w:r>
      <w:r>
        <w:rPr>
          <w:bCs/>
          <w:b/>
        </w:rPr>
        <w:t xml:space="preserve">377</w:t>
      </w:r>
      <w:r>
        <w:t xml:space="preserve"> </w:t>
      </w:r>
      <w:r>
        <w:t xml:space="preserve">(Maraval 1988; Pouchet 1992). This is not a rounding error: because much of Basil’s chronology (his episcopal election, his letter sequence) is dated retrospectively from his death, the redating moves a dependent chain, not one isolated date — treat any date computed backward from</w:t>
      </w:r>
      <w:r>
        <w:t xml:space="preserve"> </w:t>
      </w:r>
      <w:r>
        <w:t xml:space="preserve">“</w:t>
      </w:r>
      <w:r>
        <w:t xml:space="preserve">379</w:t>
      </w:r>
      <w:r>
        <w:t xml:space="preserve">”</w:t>
      </w:r>
      <w:r>
        <w:t xml:space="preserve"> </w:t>
      </w:r>
      <w:r>
        <w:t xml:space="preserve">elsewhere in this world’s documents as needing the same check.)</w:t>
      </w:r>
    </w:p>
    <w:p>
      <w:pPr>
        <w:pStyle w:val="FirstParagraph"/>
      </w:pPr>
      <w:r>
        <w:t xml:space="preserve">The corpus: c. 360s–370s letters (well over three hundred, including the canonical letters to Amphilochius that became Eastern canon law; the correspondence with Eustathius’ circle, with governors and prefects, with Athanasius and the West —</w:t>
      </w:r>
      <w:r>
        <w:t xml:space="preserve"> </w:t>
      </w:r>
      <w:r>
        <w:rPr>
          <w:bCs/>
          <w:b/>
        </w:rPr>
        <w:t xml:space="preserve">the Basil–Libanius letters (Epp. 335–359) specifically are not merely</w:t>
      </w:r>
      <w:r>
        <w:rPr>
          <w:bCs/>
          <w:b/>
        </w:rPr>
        <w:t xml:space="preserve"> </w:t>
      </w:r>
      <w:r>
        <w:rPr>
          <w:bCs/>
          <w:b/>
        </w:rPr>
        <w:t xml:space="preserve">“</w:t>
      </w:r>
      <w:r>
        <w:rPr>
          <w:bCs/>
          <w:b/>
        </w:rPr>
        <w:t xml:space="preserve">authenticity of parts contested</w:t>
      </w:r>
      <w:r>
        <w:rPr>
          <w:bCs/>
          <w:b/>
        </w:rPr>
        <w:t xml:space="preserve">”</w:t>
      </w:r>
      <w:r>
        <w:rPr>
          <w:bCs/>
          <w:b/>
        </w:rPr>
        <w:t xml:space="preserve">: the majority position among Libanius scholars is that this entire exchange is a known forgery, with a proposed motive for the forger identified in the modern literature. If genuine correspondence, it is rare direct contact with a leading pagan intellectual; if forged, as the majority view holds, it cannot be used as evidence of that contact at all. Do not cite it as genuine without flagging this squarely.</w:t>
      </w:r>
      <w:r>
        <w:t xml:space="preserve">);</w:t>
      </w:r>
      <w:r>
        <w:t xml:space="preserve"> </w:t>
      </w:r>
      <w:r>
        <w:rPr>
          <w:bCs/>
          <w:b/>
        </w:rPr>
        <w:t xml:space="preserve">On the Holy Spirit</w:t>
      </w:r>
      <w:r>
        <w:t xml:space="preserve"> </w:t>
      </w:r>
      <w:r>
        <w:t xml:space="preserve">(c. 375, occasioned by controversy over his own doxology — the occasion is the treatise’s own account);</w:t>
      </w:r>
      <w:r>
        <w:t xml:space="preserve"> </w:t>
      </w:r>
      <w:r>
        <w:rPr>
          <w:bCs/>
          <w:b/>
        </w:rPr>
        <w:t xml:space="preserve">Against Eunomius</w:t>
      </w:r>
      <w:r>
        <w:t xml:space="preserve"> </w:t>
      </w:r>
      <w:r>
        <w:t xml:space="preserve">(books 1–3; later books spurious — Widely Accepted;</w:t>
      </w:r>
      <w:r>
        <w:t xml:space="preserve"> </w:t>
      </w:r>
      <w:r>
        <w:rPr>
          <w:bCs/>
          <w:b/>
        </w:rPr>
        <w:t xml:space="preserve">no complete English translation of this work existed in any form until 2011 (DelCogliano &amp; Radde-Gallwitz, Fathers of the Church 122), which is under copyright — the acquisition manifest cannot ground this citation in an open text, a real scope reduction, not a research gap</w:t>
      </w:r>
      <w:r>
        <w:t xml:space="preserve">); the</w:t>
      </w:r>
      <w:r>
        <w:t xml:space="preserve"> </w:t>
      </w:r>
      <w:r>
        <w:rPr>
          <w:bCs/>
          <w:b/>
        </w:rPr>
        <w:t xml:space="preserve">Hexaemeron</w:t>
      </w:r>
      <w:r>
        <w:t xml:space="preserve"> </w:t>
      </w:r>
      <w:r>
        <w:t xml:space="preserve">homilies (preached to a working congregation, morning and evening — internal evidence); the moral homilies (on famine and drought; on the rich fool’s barns; against usury; against envy; against anger; against drunkenness; on the Forty Martyrs and other local martyrs); the ascetic corpus (</w:t>
      </w:r>
      <w:r>
        <w:rPr>
          <w:bCs/>
          <w:b/>
        </w:rPr>
        <w:t xml:space="preserve">the Asketikon</w:t>
      </w:r>
      <w:r>
        <w:t xml:space="preserve"> </w:t>
      </w:r>
      <w:r>
        <w:t xml:space="preserve">— Longer and Shorter Rules in their developing recensions; the Moralia; the authenticity and layering of the wider ascetic corpus is a specialist field — Gribomont’s textual work is the modern foundation.</w:t>
      </w:r>
      <w:r>
        <w:t xml:space="preserve"> </w:t>
      </w:r>
      <w:r>
        <w:rPr>
          <w:bCs/>
          <w:b/>
        </w:rPr>
        <w:t xml:space="preserve">The Asketikon survives in two recensions, not one developing text: the Small Asketikon, which does not survive in Greek at all and is recoverable only through Rufinus’ Latin translation (397) and a Syriac version (earliest manuscript late fifth century), and the Great Asketikon (the Longer/Shorter Rules as usually read), which the manuscript and translation tradition treats as the later, expanded form. Gribomont’s own textual work establishes the Small Asketikon’s priority from exactly those non-Greek witnesses — a fact load-bearing for §6’s Article 20 treatment below, not a footnote.</w:t>
      </w:r>
      <w:r>
        <w:t xml:space="preserve">); the</w:t>
      </w:r>
      <w:r>
        <w:t xml:space="preserve"> </w:t>
      </w:r>
      <w:r>
        <w:rPr>
          <w:bCs/>
          <w:b/>
        </w:rPr>
        <w:t xml:space="preserve">Address to Young Men</w:t>
      </w:r>
      <w:r>
        <w:t xml:space="preserve"> </w:t>
      </w:r>
      <w:r>
        <w:t xml:space="preserve">on the use of Greek literature. (Documented as corpus, with named authenticity questions carried.)</w:t>
      </w:r>
      <w:r>
        <w:t xml:space="preserve"> </w:t>
      </w:r>
      <w:r>
        <w:t xml:space="preserve">-</w:t>
      </w:r>
      <w:r>
        <w:t xml:space="preserve"> </w:t>
      </w:r>
      <w:r>
        <w:rPr>
          <w:bCs/>
          <w:b/>
        </w:rPr>
        <w:t xml:space="preserve">A further attribution question not previously named here, though this document promises</w:t>
      </w:r>
      <w:r>
        <w:rPr>
          <w:bCs/>
          <w:b/>
        </w:rPr>
        <w:t xml:space="preserve"> </w:t>
      </w:r>
      <w:r>
        <w:rPr>
          <w:bCs/>
          <w:b/>
        </w:rPr>
        <w:t xml:space="preserve">“</w:t>
      </w:r>
      <w:r>
        <w:rPr>
          <w:bCs/>
          <w:b/>
        </w:rPr>
        <w:t xml:space="preserve">attribution discipline… at every use</w:t>
      </w:r>
      <w:r>
        <w:rPr>
          <w:bCs/>
          <w:b/>
        </w:rPr>
        <w:t xml:space="preserve">”</w:t>
      </w:r>
      <w:r>
        <w:rPr>
          <w:bCs/>
          <w:b/>
        </w:rPr>
        <w:t xml:space="preserve">:</w:t>
      </w:r>
      <w:r>
        <w:t xml:space="preserve"> </w:t>
      </w:r>
      <w:r>
        <w:rPr>
          <w:bCs/>
          <w:b/>
        </w:rPr>
        <w:t xml:space="preserve">Epistle 38</w:t>
      </w:r>
      <w:r>
        <w:t xml:space="preserve"> </w:t>
      </w:r>
      <w:r>
        <w:t xml:space="preserve">(on ousia/hypostasis, the world’s flagship Tier 1 lexicon citation) has been reassigned by a substantial body of modern scholarship (Cavallin; Hübner; and, defending the reassignment further, Zachhuber) to</w:t>
      </w:r>
      <w:r>
        <w:t xml:space="preserve"> </w:t>
      </w:r>
      <w:r>
        <w:rPr>
          <w:bCs/>
          <w:b/>
        </w:rPr>
        <w:t xml:space="preserve">Gregory of Nyssa</w:t>
      </w:r>
      <w:r>
        <w:t xml:space="preserve">, not Basil. Drecoll’s own position leans toward Hübner’s reassignment as well.</w:t>
      </w:r>
      <w:r>
        <w:t xml:space="preserve"> </w:t>
      </w:r>
      <w:r>
        <w:rPr>
          <w:rStyle w:val="VerbatimChar"/>
        </w:rPr>
        <w:t xml:space="preserve">cappadocianlex001_ousia-hypostasis.md</w:t>
      </w:r>
      <w:r>
        <w:t xml:space="preserve"> </w:t>
      </w:r>
      <w:r>
        <w:t xml:space="preserve">already carries this caveat. Also relevant:</w:t>
      </w:r>
      <w:r>
        <w:t xml:space="preserve"> </w:t>
      </w:r>
      <w:r>
        <w:rPr>
          <w:bCs/>
          <w:b/>
        </w:rPr>
        <w:t xml:space="preserve">Epistle 8</w:t>
      </w:r>
      <w:r>
        <w:t xml:space="preserve"> </w:t>
      </w:r>
      <w:r>
        <w:t xml:space="preserve">(generally attributed to Evagrius Ponticus, not Basil) and the Apollinaris correspondence (Epp. 361–364), contested in antiquity itself.</w:t>
      </w:r>
      <w:r>
        <w:t xml:space="preserve"> </w:t>
      </w:r>
      <w:r>
        <w:t xml:space="preserve">-</w:t>
      </w:r>
      <w:r>
        <w:t xml:space="preserve"> </w:t>
      </w:r>
      <w:r>
        <w:rPr>
          <w:bCs/>
          <w:b/>
        </w:rPr>
        <w:t xml:space="preserve">Visibility:</w:t>
      </w:r>
      <w:r>
        <w:t xml:space="preserve"> </w:t>
      </w:r>
      <w:r>
        <w:t xml:space="preserve">very high — the world’s institutional center writes the world’s largest surviving record.</w:t>
      </w:r>
      <w:r>
        <w:t xml:space="preserve"> </w:t>
      </w:r>
      <w:r>
        <w:t xml:space="preserve">-</w:t>
      </w:r>
      <w:r>
        <w:t xml:space="preserve"> </w:t>
      </w:r>
      <w:r>
        <w:rPr>
          <w:bCs/>
          <w:b/>
        </w:rPr>
        <w:t xml:space="preserve">Representativeness:</w:t>
      </w:r>
      <w:r>
        <w:t xml:space="preserve"> </w:t>
      </w:r>
      <w:r>
        <w:t xml:space="preserve">a curial-class, Athens-educated metropolitan and ascetic founder — not representative of the plateau farmer, the village presbyter, the ordinary brother of his own communities, or the radical ascetics he disciplined.</w:t>
      </w:r>
      <w:r>
        <w:t xml:space="preserve"> </w:t>
      </w:r>
      <w:r>
        <w:t xml:space="preserve">-</w:t>
      </w:r>
      <w:r>
        <w:t xml:space="preserve"> </w:t>
      </w:r>
      <w:r>
        <w:rPr>
          <w:bCs/>
          <w:b/>
        </w:rPr>
        <w:t xml:space="preserve">Influence:</w:t>
      </w:r>
      <w:r>
        <w:t xml:space="preserve"> </w:t>
      </w:r>
      <w:r>
        <w:t xml:space="preserve">immense in his lifetime (metropolitan of Caesarea from 370; famine patron</w:t>
      </w:r>
      <w:r>
        <w:t xml:space="preserve"> </w:t>
      </w:r>
      <w:r>
        <w:rPr>
          <w:bCs/>
          <w:b/>
        </w:rPr>
        <w:t xml:space="preserve">as presbyter, before his episcopate — the famine of c. 368/9 predates his 370 election</w:t>
      </w:r>
      <w:r>
        <w:t xml:space="preserve">; ecumenical letter-writer) and definitive afterward (his Rules become Eastern monasticism’s charter; his canons become its law;</w:t>
      </w:r>
      <w:r>
        <w:t xml:space="preserve"> </w:t>
      </w:r>
      <w:r>
        <w:t xml:space="preserve">“</w:t>
      </w:r>
      <w:r>
        <w:t xml:space="preserve">the Great</w:t>
      </w:r>
      <w:r>
        <w:t xml:space="preserve">”</w:t>
      </w:r>
      <w:r>
        <w:t xml:space="preserve"> </w:t>
      </w:r>
      <w:r>
        <w:t xml:space="preserve">within a generation).</w:t>
      </w:r>
      <w:r>
        <w:t xml:space="preserve"> </w:t>
      </w:r>
      <w:r>
        <w:t xml:space="preserve">-</w:t>
      </w:r>
      <w:r>
        <w:t xml:space="preserve"> </w:t>
      </w:r>
      <w:r>
        <w:rPr>
          <w:bCs/>
          <w:b/>
        </w:rPr>
        <w:t xml:space="preserve">Limitations:</w:t>
      </w:r>
      <w:r>
        <w:t xml:space="preserve"> </w:t>
      </w:r>
      <w:r>
        <w:t xml:space="preserve">much of the corpus is occasional and polemical; his accounts of Eustathius (after their rupture) and of Eunomius are adversarial evidence; his ascetic legislation shows us the legislator’s intent, not the communities’ lived compliance.</w:t>
      </w:r>
      <w:r>
        <w:t xml:space="preserve"> </w:t>
      </w:r>
      <w:r>
        <w:t xml:space="preserve">-</w:t>
      </w:r>
      <w:r>
        <w:t xml:space="preserve"> </w:t>
      </w:r>
      <w:r>
        <w:rPr>
          <w:bCs/>
          <w:b/>
        </w:rPr>
        <w:t xml:space="preserve">Transmission history:</w:t>
      </w:r>
      <w:r>
        <w:t xml:space="preserve"> </w:t>
      </w:r>
      <w:r>
        <w:t xml:space="preserve">preserved massively because Byzantium canonized him (liturgy, canon law, monastic rule all under his name — including a eucharistic anaphora whose attribution to Basil in its transmitted form is later: a Basilian</w:t>
      </w:r>
      <w:r>
        <w:t xml:space="preserve"> </w:t>
      </w:r>
      <w:r>
        <w:rPr>
          <w:iCs/>
          <w:i/>
        </w:rPr>
        <w:t xml:space="preserve">core</w:t>
      </w:r>
      <w:r>
        <w:t xml:space="preserve">, argued substantially from the Egyptian recension (E-BAS) rather than the later Byzantine text, is the Dominant Modern Reconstruction position, while the</w:t>
      </w:r>
      <w:r>
        <w:t xml:space="preserve"> </w:t>
      </w:r>
      <w:r>
        <w:rPr>
          <w:iCs/>
          <w:i/>
        </w:rPr>
        <w:t xml:space="preserve">transmitted</w:t>
      </w:r>
      <w:r>
        <w:t xml:space="preserve"> </w:t>
      </w:r>
      <w:r>
        <w:t xml:space="preserve">Byzantine anaphora’s exact wording as his own is Contested — both statements are true at once). This prestige attracted spuria (later Rules recensions, pseudonymous works), so attribution discipline is required at every use, per the two further cases named above. His letter collection shows real signs of curation (manuscript families and growth studied by Rudberg and catalogued in Fedwick’s</w:t>
      </w:r>
      <w:r>
        <w:t xml:space="preserve"> </w:t>
      </w:r>
      <w:r>
        <w:rPr>
          <w:iCs/>
          <w:i/>
        </w:rPr>
        <w:t xml:space="preserve">Bibliotheca Basiliana Universalis</w:t>
      </w:r>
      <w:r>
        <w:t xml:space="preserve">) —</w:t>
      </w:r>
      <w:r>
        <w:t xml:space="preserve"> </w:t>
      </w:r>
      <w:r>
        <w:rPr>
          <w:bCs/>
          <w:b/>
        </w:rPr>
        <w:t xml:space="preserve">curators and the collection’s growth are studied; specific omissions are not fully recoverable.</w:t>
      </w:r>
      <w:r>
        <w:t xml:space="preserve"> </w:t>
      </w:r>
      <w:r>
        <w:t xml:space="preserve">-</w:t>
      </w:r>
      <w:r>
        <w:t xml:space="preserve"> </w:t>
      </w:r>
      <w:r>
        <w:rPr>
          <w:bCs/>
          <w:b/>
        </w:rPr>
        <w:t xml:space="preserve">Builder rule adopted:</w:t>
      </w:r>
      <w:r>
        <w:t xml:space="preserve"> </w:t>
      </w:r>
      <w:r>
        <w:t xml:space="preserve">no world-level claim may rest on Basil alone without an explicit Author Gravity flag; and no claim about the ascetic movement’s lived reality may rest on the Rules alone (legislation ≠ life).</w:t>
      </w:r>
    </w:p>
    <w:bookmarkEnd w:id="21"/>
    <w:bookmarkStart w:id="22" w:name="gregory-of-nazianzus-c.-32930-c.-390"/>
    <w:p>
      <w:pPr>
        <w:pStyle w:val="Heading3"/>
      </w:pPr>
      <w:r>
        <w:t xml:space="preserve">1.2 Gregory of Nazianzus (c. 329/30 – c. 390)</w:t>
      </w:r>
    </w:p>
    <w:p>
      <w:pPr>
        <w:pStyle w:val="FirstParagraph"/>
      </w:pPr>
      <w:r>
        <w:t xml:space="preserve">The corpus: 44–45 orations (including the five</w:t>
      </w:r>
      <w:r>
        <w:t xml:space="preserve"> </w:t>
      </w:r>
      <w:r>
        <w:rPr>
          <w:bCs/>
          <w:b/>
        </w:rPr>
        <w:t xml:space="preserve">Theological Orations</w:t>
      </w:r>
      <w:r>
        <w:t xml:space="preserve"> </w:t>
      </w:r>
      <w:r>
        <w:t xml:space="preserve">delivered at Constantinople c. 380;</w:t>
      </w:r>
      <w:r>
        <w:t xml:space="preserve"> </w:t>
      </w:r>
      <w:r>
        <w:rPr>
          <w:bCs/>
          <w:b/>
        </w:rPr>
        <w:t xml:space="preserve">Orations 4 and 5, the Invectives against Julian</w:t>
      </w:r>
      <w:r>
        <w:t xml:space="preserve"> </w:t>
      </w:r>
      <w:r>
        <w:t xml:space="preserve">— not covered by the same open edition as the rest of the corpus, see the manifest; the funeral orations on his father, his brother Caesarius, his sister Gorgonia, and on Basil — Oration 43, the era’s greatest encomium;</w:t>
      </w:r>
      <w:r>
        <w:t xml:space="preserve"> </w:t>
      </w:r>
      <w:r>
        <w:rPr>
          <w:bCs/>
          <w:b/>
        </w:rPr>
        <w:t xml:space="preserve">Oration 14, On the Love of the Poor</w:t>
      </w:r>
      <w:r>
        <w:t xml:space="preserve">; the invectives against Julian; the apology for his flight from ordination — Oration 2, the era’s classic statement of the stillness-versus-office tension); c. 245 letters (including the earliest self-consciously curated Greek Christian letter collection — his own editing is Documented as his own claim; the acquired NPNF2 v7 edition covers only three of these, Epp. 101, 102, and 202 — the Sasima letters (48–50), the letter on the monk’s accusation (58), and Epistle 197 (see below) are not in it); a large body of poems including</w:t>
      </w:r>
      <w:r>
        <w:t xml:space="preserve"> </w:t>
      </w:r>
      <w:r>
        <w:rPr>
          <w:bCs/>
          <w:b/>
        </w:rPr>
        <w:t xml:space="preserve">De vita sua</w:t>
      </w:r>
      <w:r>
        <w:t xml:space="preserve">, a verse autobiography nearly unique in antiquity; and his</w:t>
      </w:r>
      <w:r>
        <w:t xml:space="preserve"> </w:t>
      </w:r>
      <w:r>
        <w:rPr>
          <w:bCs/>
          <w:b/>
        </w:rPr>
        <w:t xml:space="preserve">will</w:t>
      </w:r>
      <w:r>
        <w:t xml:space="preserve">, which survives and manumits slaves he owned (Documented as a document; its details, including the manumission, cited at work level only — see §6.3).</w:t>
      </w:r>
      <w:r>
        <w:t xml:space="preserve"> </w:t>
      </w:r>
      <w:r>
        <w:t xml:space="preserve">-</w:t>
      </w:r>
      <w:r>
        <w:t xml:space="preserve"> </w:t>
      </w:r>
      <w:r>
        <w:rPr>
          <w:bCs/>
          <w:b/>
        </w:rPr>
        <w:t xml:space="preserve">Visibility:</w:t>
      </w:r>
      <w:r>
        <w:t xml:space="preserve"> </w:t>
      </w:r>
      <w:r>
        <w:t xml:space="preserve">very high, and uniquely</w:t>
      </w:r>
      <w:r>
        <w:t xml:space="preserve"> </w:t>
      </w:r>
      <w:r>
        <w:rPr>
          <w:iCs/>
          <w:i/>
        </w:rPr>
        <w:t xml:space="preserve">interior</w:t>
      </w:r>
      <w:r>
        <w:t xml:space="preserve"> </w:t>
      </w:r>
      <w:r>
        <w:t xml:space="preserve">— no other voice in this world tells us so much about how it felt.</w:t>
      </w:r>
      <w:r>
        <w:t xml:space="preserve"> </w:t>
      </w:r>
      <w:r>
        <w:t xml:space="preserve">-</w:t>
      </w:r>
      <w:r>
        <w:t xml:space="preserve"> </w:t>
      </w:r>
      <w:r>
        <w:rPr>
          <w:bCs/>
          <w:b/>
        </w:rPr>
        <w:t xml:space="preserve">Representativeness:</w:t>
      </w:r>
      <w:r>
        <w:t xml:space="preserve"> </w:t>
      </w:r>
      <w:r>
        <w:t xml:space="preserve">even less socially representative than Basil — a rhetor-contemplative of independent means who held office briefly and unhappily; his interiority is the interiority of one exceptional, self-dramatizing man.</w:t>
      </w:r>
      <w:r>
        <w:t xml:space="preserve"> </w:t>
      </w:r>
      <w:r>
        <w:t xml:space="preserve">-</w:t>
      </w:r>
      <w:r>
        <w:t xml:space="preserve"> </w:t>
      </w:r>
      <w:r>
        <w:rPr>
          <w:bCs/>
          <w:b/>
        </w:rPr>
        <w:t xml:space="preserve">Influence:</w:t>
      </w:r>
      <w:r>
        <w:t xml:space="preserve"> </w:t>
      </w:r>
      <w:r>
        <w:t xml:space="preserve">the Theological Orations become the East’s touchstone of Trinitarian teaching (</w:t>
      </w:r>
      <w:r>
        <w:t xml:space="preserve">“</w:t>
      </w:r>
      <w:r>
        <w:t xml:space="preserve">the Theologian</w:t>
      </w:r>
      <w:r>
        <w:t xml:space="preserve">”</w:t>
      </w:r>
      <w:r>
        <w:t xml:space="preserve"> </w:t>
      </w:r>
      <w:r>
        <w:t xml:space="preserve">as his fixed title); his self-account fixes how posterity sees the whole circle — including Basil, whom we largely see through Gregory’s grieving, wounded, admiring retrospect.</w:t>
      </w:r>
      <w:r>
        <w:t xml:space="preserve"> </w:t>
      </w:r>
      <w:r>
        <w:t xml:space="preserve">-</w:t>
      </w:r>
      <w:r>
        <w:t xml:space="preserve"> </w:t>
      </w:r>
      <w:r>
        <w:rPr>
          <w:bCs/>
          <w:b/>
        </w:rPr>
        <w:t xml:space="preserve">Limitations:</w:t>
      </w:r>
      <w:r>
        <w:t xml:space="preserve"> </w:t>
      </w:r>
      <w:r>
        <w:t xml:space="preserve">the sharpest self-fashioning problem in the world’s record. His accounts of the Sasima affair, of his flight(s), of Constantinople 379–381, and of Basil himself are retrospective literary constructions of a man justifying his own life.</w:t>
      </w:r>
      <w:r>
        <w:t xml:space="preserve"> </w:t>
      </w:r>
      <w:r>
        <w:rPr>
          <w:bCs/>
          <w:b/>
        </w:rPr>
        <w:t xml:space="preserve">This caution belongs directly to Neil McLynn’s</w:t>
      </w:r>
      <w:r>
        <w:rPr>
          <w:bCs/>
          <w:b/>
        </w:rPr>
        <w:t xml:space="preserve"> </w:t>
      </w:r>
      <w:r>
        <w:rPr>
          <w:bCs/>
          <w:b/>
        </w:rPr>
        <w:t xml:space="preserve">“</w:t>
      </w:r>
      <w:r>
        <w:rPr>
          <w:bCs/>
          <w:b/>
        </w:rPr>
        <w:t xml:space="preserve">Gregory Nazianzen’s Basil: The Literary Construction of a Christian Friendship,</w:t>
      </w:r>
      <w:r>
        <w:rPr>
          <w:bCs/>
          <w:b/>
        </w:rPr>
        <w:t xml:space="preserve">”</w:t>
      </w:r>
      <w:r>
        <w:rPr>
          <w:bCs/>
          <w:b/>
        </w:rPr>
        <w:t xml:space="preserve"> </w:t>
      </w:r>
      <w:r>
        <w:rPr>
          <w:bCs/>
          <w:b/>
        </w:rPr>
        <w:t xml:space="preserve">which speaks to exactly this material.</w:t>
      </w:r>
      <w:r>
        <w:t xml:space="preserve"> </w:t>
      </w:r>
      <w:r>
        <w:t xml:space="preserve">Oration 43’s Basil is an icon painted by a bereaved friend with a case to make.</w:t>
      </w:r>
      <w:r>
        <w:t xml:space="preserve"> </w:t>
      </w:r>
      <w:r>
        <w:t xml:space="preserve">-</w:t>
      </w:r>
      <w:r>
        <w:t xml:space="preserve"> </w:t>
      </w:r>
      <w:r>
        <w:rPr>
          <w:bCs/>
          <w:b/>
        </w:rPr>
        <w:t xml:space="preserve">Transmission history:</w:t>
      </w:r>
      <w:r>
        <w:t xml:space="preserve"> </w:t>
      </w:r>
      <w:r>
        <w:t xml:space="preserve">superbly preserved (Byzantine school-text status; more manuscripts than nearly any Greek father); his self-curation means we inherit the archive he wanted us to have — a transmission force operating</w:t>
      </w:r>
      <w:r>
        <w:t xml:space="preserve"> </w:t>
      </w:r>
      <w:r>
        <w:rPr>
          <w:iCs/>
          <w:i/>
        </w:rPr>
        <w:t xml:space="preserve">inside</w:t>
      </w:r>
      <w:r>
        <w:t xml:space="preserve"> </w:t>
      </w:r>
      <w:r>
        <w:t xml:space="preserve">the primary evidence itself.</w:t>
      </w:r>
    </w:p>
    <w:bookmarkEnd w:id="22"/>
    <w:bookmarkStart w:id="23" w:name="gregory-of-nyssa-c.-335-after-394"/>
    <w:p>
      <w:pPr>
        <w:pStyle w:val="Heading3"/>
      </w:pPr>
      <w:r>
        <w:t xml:space="preserve">1.3 Gregory of Nyssa (c. 335 – after 394)</w:t>
      </w:r>
    </w:p>
    <w:p>
      <w:pPr>
        <w:pStyle w:val="FirstParagraph"/>
      </w:pPr>
      <w:r>
        <w:t xml:space="preserve">The corpus:</w:t>
      </w:r>
      <w:r>
        <w:t xml:space="preserve"> </w:t>
      </w:r>
      <w:r>
        <w:rPr>
          <w:bCs/>
          <w:b/>
        </w:rPr>
        <w:t xml:space="preserve">Against Eunomius</w:t>
      </w:r>
      <w:r>
        <w:t xml:space="preserve"> </w:t>
      </w:r>
      <w:r>
        <w:t xml:space="preserve">(continuing his dead brother’s fight — the continuation itself is formation evidence;</w:t>
      </w:r>
      <w:r>
        <w:t xml:space="preserve"> </w:t>
      </w:r>
      <w:r>
        <w:rPr>
          <w:bCs/>
          <w:b/>
        </w:rPr>
        <w:t xml:space="preserve">note for citation: the acquired NPNF2 v5 edition uses a pre-Jaeger book division, where NPNF’s</w:t>
      </w:r>
      <w:r>
        <w:rPr>
          <w:bCs/>
          <w:b/>
        </w:rPr>
        <w:t xml:space="preserve"> </w:t>
      </w:r>
      <w:r>
        <w:rPr>
          <w:bCs/>
          <w:b/>
        </w:rPr>
        <w:t xml:space="preserve">“</w:t>
      </w:r>
      <w:r>
        <w:rPr>
          <w:bCs/>
          <w:b/>
        </w:rPr>
        <w:t xml:space="preserve">Book II</w:t>
      </w:r>
      <w:r>
        <w:rPr>
          <w:bCs/>
          <w:b/>
        </w:rPr>
        <w:t xml:space="preserve">”</w:t>
      </w:r>
      <w:r>
        <w:rPr>
          <w:bCs/>
          <w:b/>
        </w:rPr>
        <w:t xml:space="preserve"> </w:t>
      </w:r>
      <w:r>
        <w:rPr>
          <w:bCs/>
          <w:b/>
        </w:rPr>
        <w:t xml:space="preserve">is in fact the separate</w:t>
      </w:r>
      <w:r>
        <w:rPr>
          <w:bCs/>
          <w:b/>
        </w:rPr>
        <w:t xml:space="preserve"> </w:t>
      </w:r>
      <w:r>
        <w:rPr>
          <w:iCs/>
          <w:i/>
          <w:bCs/>
          <w:b/>
        </w:rPr>
        <w:t xml:space="preserve">Refutation of Eunomius’ Confession</w:t>
      </w:r>
      <w:r>
        <w:rPr>
          <w:bCs/>
          <w:b/>
        </w:rPr>
        <w:t xml:space="preserve"> </w:t>
      </w:r>
      <w:r>
        <w:rPr>
          <w:bCs/>
          <w:b/>
        </w:rPr>
        <w:t xml:space="preserve">— any chapter citation taken from this edition will not match modern scholarly citation and must be flagged as such at the point of use</w:t>
      </w:r>
      <w:r>
        <w:t xml:space="preserve">);</w:t>
      </w:r>
      <w:r>
        <w:t xml:space="preserve"> </w:t>
      </w:r>
      <w:r>
        <w:rPr>
          <w:bCs/>
          <w:b/>
        </w:rPr>
        <w:t xml:space="preserve">On the Holy Spirit</w:t>
      </w:r>
      <w:r>
        <w:t xml:space="preserve"> </w:t>
      </w:r>
      <w:r>
        <w:t xml:space="preserve">and the sermons on the Deity of the Son and Spirit (including the complaint, of uncertain exact wording in popular English circulation, that Constantinople’s money-changers and bath-attendants argued about the Unbegotten —</w:t>
      </w:r>
      <w:r>
        <w:t xml:space="preserve"> </w:t>
      </w:r>
      <w:r>
        <w:rPr>
          <w:bCs/>
          <w:b/>
        </w:rPr>
        <w:t xml:space="preserve">cite this as a paraphrase of the passage’s substance, not as a verified direct quotation; the commonly-circulated English wording is a known problem case with no secure public-domain source located this session</w:t>
      </w:r>
      <w:r>
        <w:t xml:space="preserve">);</w:t>
      </w:r>
      <w:r>
        <w:t xml:space="preserve"> </w:t>
      </w:r>
      <w:r>
        <w:rPr>
          <w:bCs/>
          <w:b/>
        </w:rPr>
        <w:t xml:space="preserve">Ad Ablabium</w:t>
      </w:r>
      <w:r>
        <w:t xml:space="preserve"> </w:t>
      </w:r>
      <w:r>
        <w:t xml:space="preserve">(On Not Three Gods) and</w:t>
      </w:r>
      <w:r>
        <w:t xml:space="preserve"> </w:t>
      </w:r>
      <w:r>
        <w:rPr>
          <w:bCs/>
          <w:b/>
        </w:rPr>
        <w:t xml:space="preserve">Ad Eustathium</w:t>
      </w:r>
      <w:r>
        <w:t xml:space="preserve"> </w:t>
      </w:r>
      <w:r>
        <w:t xml:space="preserve">(On the Holy Trinity) — the specific texts §5’s debate (1) and the social-trinitarian question turn on, both covered by the same acquired NPNF2 v5 edition as Against Eunomius and cited directly rather than argued about at one remove.</w:t>
      </w:r>
      <w:r>
        <w:t xml:space="preserve"> </w:t>
      </w:r>
      <w:r>
        <w:rPr>
          <w:iCs/>
          <w:i/>
          <w:bCs/>
          <w:b/>
        </w:rPr>
        <w:t xml:space="preserve">Ad Graecos</w:t>
      </w:r>
      <w:r>
        <w:rPr>
          <w:bCs/>
          <w:b/>
        </w:rPr>
        <w:t xml:space="preserve"> </w:t>
      </w:r>
      <w:r>
        <w:rPr>
          <w:bCs/>
          <w:b/>
        </w:rPr>
        <w:t xml:space="preserve">is NOT in this edition and remains ungrounded — it belongs in the manifest’s gap list</w:t>
      </w:r>
      <w:r>
        <w:t xml:space="preserve">; the</w:t>
      </w:r>
      <w:r>
        <w:t xml:space="preserve"> </w:t>
      </w:r>
      <w:r>
        <w:rPr>
          <w:bCs/>
          <w:b/>
        </w:rPr>
        <w:t xml:space="preserve">Catechetical Oration</w:t>
      </w:r>
      <w:r>
        <w:t xml:space="preserve"> </w:t>
      </w:r>
      <w:r>
        <w:t xml:space="preserve">(the world’s most systematic catechesis);</w:t>
      </w:r>
      <w:r>
        <w:t xml:space="preserve"> </w:t>
      </w:r>
      <w:r>
        <w:rPr>
          <w:bCs/>
          <w:b/>
        </w:rPr>
        <w:t xml:space="preserve">On the Making of Man</w:t>
      </w:r>
      <w:r>
        <w:t xml:space="preserve"> </w:t>
      </w:r>
      <w:r>
        <w:t xml:space="preserve">(completing Basil’s Hexaemeron — again, family continuation); the</w:t>
      </w:r>
      <w:r>
        <w:t xml:space="preserve"> </w:t>
      </w:r>
      <w:r>
        <w:rPr>
          <w:bCs/>
          <w:b/>
        </w:rPr>
        <w:t xml:space="preserve">Life of Macrina</w:t>
      </w:r>
      <w:r>
        <w:t xml:space="preserve"> </w:t>
      </w:r>
      <w:r>
        <w:t xml:space="preserve">and</w:t>
      </w:r>
      <w:r>
        <w:t xml:space="preserve"> </w:t>
      </w:r>
      <w:r>
        <w:rPr>
          <w:bCs/>
          <w:b/>
        </w:rPr>
        <w:t xml:space="preserve">On the Soul and Resurrection</w:t>
      </w:r>
      <w:r>
        <w:t xml:space="preserve"> </w:t>
      </w:r>
      <w:r>
        <w:t xml:space="preserve">(see §3);</w:t>
      </w:r>
      <w:r>
        <w:t xml:space="preserve"> </w:t>
      </w:r>
      <w:r>
        <w:rPr>
          <w:bCs/>
          <w:b/>
        </w:rPr>
        <w:t xml:space="preserve">On Virginity</w:t>
      </w:r>
      <w:r>
        <w:t xml:space="preserve">; the</w:t>
      </w:r>
      <w:r>
        <w:t xml:space="preserve"> </w:t>
      </w:r>
      <w:r>
        <w:rPr>
          <w:bCs/>
          <w:b/>
        </w:rPr>
        <w:t xml:space="preserve">Life of Gregory Thaumaturgus</w:t>
      </w:r>
      <w:r>
        <w:t xml:space="preserve"> </w:t>
      </w:r>
      <w:r>
        <w:t xml:space="preserve">(see §3); homilies on the Song of Songs, Ecclesiastes (including the fourth homily’s argument against slaveholding — see the correction below), the Beatitudes, the Lord’s Prayer;</w:t>
      </w:r>
      <w:r>
        <w:t xml:space="preserve"> </w:t>
      </w:r>
      <w:r>
        <w:rPr>
          <w:bCs/>
          <w:b/>
        </w:rPr>
        <w:t xml:space="preserve">On the Love of the Poor / On the treatment of lepers</w:t>
      </w:r>
      <w:r>
        <w:t xml:space="preserve"> </w:t>
      </w:r>
      <w:r>
        <w:t xml:space="preserve">(</w:t>
      </w:r>
      <w:r>
        <w:rPr>
          <w:iCs/>
          <w:i/>
        </w:rPr>
        <w:t xml:space="preserve">De pauperibus amandis</w:t>
      </w:r>
      <w:r>
        <w:t xml:space="preserve"> </w:t>
      </w:r>
      <w:r>
        <w:t xml:space="preserve">I–II); consolation pieces including on infants’ early deaths; a selection of letters including</w:t>
      </w:r>
      <w:r>
        <w:t xml:space="preserve"> </w:t>
      </w:r>
      <w:r>
        <w:rPr>
          <w:iCs/>
          <w:i/>
        </w:rPr>
        <w:t xml:space="preserve">On Pilgrimages</w:t>
      </w:r>
      <w:r>
        <w:t xml:space="preserve"> </w:t>
      </w:r>
      <w:r>
        <w:t xml:space="preserve">(the</w:t>
      </w:r>
      <w:r>
        <w:t xml:space="preserve"> </w:t>
      </w:r>
      <w:r>
        <w:t xml:space="preserve">“</w:t>
      </w:r>
      <w:r>
        <w:t xml:space="preserve">acid letter</w:t>
      </w:r>
      <w:r>
        <w:t xml:space="preserve">”</w:t>
      </w:r>
      <w:r>
        <w:t xml:space="preserve"> </w:t>
      </w:r>
      <w:r>
        <w:t xml:space="preserve">on pilgrimage to Jerusalem,</w:t>
      </w:r>
      <w:r>
        <w:t xml:space="preserve"> </w:t>
      </w:r>
      <w:r>
        <w:rPr>
          <w:bCs/>
          <w:b/>
        </w:rPr>
        <w:t xml:space="preserve">covered by the acquired NPNF2 v5 edition</w:t>
      </w:r>
      <w:r>
        <w:t xml:space="preserve">).</w:t>
      </w:r>
      <w:r>
        <w:t xml:space="preserve"> </w:t>
      </w:r>
      <w:r>
        <w:t xml:space="preserve">-</w:t>
      </w:r>
      <w:r>
        <w:t xml:space="preserve"> </w:t>
      </w:r>
      <w:r>
        <w:rPr>
          <w:bCs/>
          <w:b/>
        </w:rPr>
        <w:t xml:space="preserve">How the anti-slaveholding homily is cited.</w:t>
      </w:r>
      <w:r>
        <w:t xml:space="preserve"> </w:t>
      </w:r>
      <w:r>
        <w:t xml:space="preserve">The fourth homily on Ecclesiastes does attack slaveholding as such, and the argument does run through a series of pricing questions.</w:t>
      </w:r>
      <w:r>
        <w:t xml:space="preserve"> </w:t>
      </w:r>
      <w:r>
        <w:rPr>
          <w:bCs/>
          <w:b/>
        </w:rPr>
        <w:t xml:space="preserve">The frequently-quoted English line</w:t>
      </w:r>
      <w:r>
        <w:rPr>
          <w:bCs/>
          <w:b/>
        </w:rPr>
        <w:t xml:space="preserve"> </w:t>
      </w:r>
      <w:r>
        <w:rPr>
          <w:bCs/>
          <w:b/>
        </w:rPr>
        <w:t xml:space="preserve">“</w:t>
      </w:r>
      <w:r>
        <w:rPr>
          <w:bCs/>
          <w:b/>
        </w:rPr>
        <w:t xml:space="preserve">who can buy the image of God?</w:t>
      </w:r>
      <w:r>
        <w:rPr>
          <w:bCs/>
          <w:b/>
        </w:rPr>
        <w:t xml:space="preserve">”</w:t>
      </w:r>
      <w:r>
        <w:rPr>
          <w:bCs/>
          <w:b/>
        </w:rPr>
        <w:t xml:space="preserve"> </w:t>
      </w:r>
      <w:r>
        <w:rPr>
          <w:bCs/>
          <w:b/>
        </w:rPr>
        <w:t xml:space="preserve">is a paraphrase of that argument’s thrust, not a verified direct quotation of a specific sentence — cite it as such everywhere it appears (Doc_05, Doc_06 §8, and downstream chunks all currently present it inside quotation marks) until a checked translation of the actual Greek is in hand.</w:t>
      </w:r>
      <w:r>
        <w:t xml:space="preserve"> </w:t>
      </w:r>
      <w:r>
        <w:t xml:space="preserve">-</w:t>
      </w:r>
      <w:r>
        <w:t xml:space="preserve"> </w:t>
      </w:r>
      <w:r>
        <w:rPr>
          <w:bCs/>
          <w:b/>
        </w:rPr>
        <w:t xml:space="preserve">Visibility:</w:t>
      </w:r>
      <w:r>
        <w:t xml:space="preserve"> </w:t>
      </w:r>
      <w:r>
        <w:t xml:space="preserve">high, weighted toward the world’s last fifteen years.</w:t>
      </w:r>
      <w:r>
        <w:t xml:space="preserve"> </w:t>
      </w:r>
      <w:r>
        <w:t xml:space="preserve">-</w:t>
      </w:r>
      <w:r>
        <w:t xml:space="preserve"> </w:t>
      </w:r>
      <w:r>
        <w:rPr>
          <w:bCs/>
          <w:b/>
        </w:rPr>
        <w:t xml:space="preserve">Representativeness:</w:t>
      </w:r>
      <w:r>
        <w:t xml:space="preserve"> </w:t>
      </w:r>
      <w:r>
        <w:t xml:space="preserve">the least publicly effective of the three in his own day (Basil’s letters complain of his political naivety — Documented at work level), the most speculative; his mystical-theological syntheses (perpetual progress, the darkness of knowing) are his own developments, not the world’s common property — a specific Author Gravity risk this build flags every time it is tempted to make</w:t>
      </w:r>
      <w:r>
        <w:t xml:space="preserve"> </w:t>
      </w:r>
      <w:r>
        <w:t xml:space="preserve">“</w:t>
      </w:r>
      <w:r>
        <w:t xml:space="preserve">epektasis</w:t>
      </w:r>
      <w:r>
        <w:t xml:space="preserve">”</w:t>
      </w:r>
      <w:r>
        <w:t xml:space="preserve"> </w:t>
      </w:r>
      <w:r>
        <w:t xml:space="preserve">the whole world’s word.</w:t>
      </w:r>
      <w:r>
        <w:t xml:space="preserve"> </w:t>
      </w:r>
      <w:r>
        <w:t xml:space="preserve">-</w:t>
      </w:r>
      <w:r>
        <w:t xml:space="preserve"> </w:t>
      </w:r>
      <w:r>
        <w:rPr>
          <w:bCs/>
          <w:b/>
        </w:rPr>
        <w:t xml:space="preserve">Influence:</w:t>
      </w:r>
      <w:r>
        <w:t xml:space="preserve"> </w:t>
      </w:r>
      <w:r>
        <w:t xml:space="preserve">modest in-period beyond his circle; enormous later (Byzantine mystical theology; twentieth-century revival, itself a named risk — see §5).</w:t>
      </w:r>
      <w:r>
        <w:t xml:space="preserve"> </w:t>
      </w:r>
      <w:r>
        <w:t xml:space="preserve">-</w:t>
      </w:r>
      <w:r>
        <w:t xml:space="preserve"> </w:t>
      </w:r>
      <w:r>
        <w:rPr>
          <w:bCs/>
          <w:b/>
        </w:rPr>
        <w:t xml:space="preserve">Limitations:</w:t>
      </w:r>
      <w:r>
        <w:t xml:space="preserve"> </w:t>
      </w:r>
      <w:r>
        <w:t xml:space="preserve">as literary a constructor as his friend Gregory — the Life of Macrina and On the Soul and Resurrection present his sister through deliberate Socratic-Platonic framing (Macrina as Diotima/Socrates at the deathbed), so the world’s principal window on a woman’s formation is a male-authored philosophical artwork (Contested how much is Macrina, how much Gregory — carried at full strength; see §6).</w:t>
      </w:r>
      <w:r>
        <w:t xml:space="preserve"> </w:t>
      </w:r>
      <w:r>
        <w:rPr>
          <w:bCs/>
          <w:b/>
        </w:rPr>
        <w:t xml:space="preserve">His theology’s freedom from formal censure should not be overstated in the other direction either: he was never condemned in his own era and was cited approvingly at the Second Council of Nicaea centuries later; the</w:t>
      </w:r>
      <w:r>
        <w:rPr>
          <w:bCs/>
          <w:b/>
        </w:rPr>
        <w:t xml:space="preserve"> </w:t>
      </w:r>
      <w:r>
        <w:rPr>
          <w:bCs/>
          <w:b/>
        </w:rPr>
        <w:t xml:space="preserve">“</w:t>
      </w:r>
      <w:r>
        <w:rPr>
          <w:bCs/>
          <w:b/>
        </w:rPr>
        <w:t xml:space="preserve">Origenist unease</w:t>
      </w:r>
      <w:r>
        <w:rPr>
          <w:bCs/>
          <w:b/>
        </w:rPr>
        <w:t xml:space="preserve">”</w:t>
      </w:r>
      <w:r>
        <w:rPr>
          <w:bCs/>
          <w:b/>
        </w:rPr>
        <w:t xml:space="preserve"> </w:t>
      </w:r>
      <w:r>
        <w:rPr>
          <w:bCs/>
          <w:b/>
        </w:rPr>
        <w:t xml:space="preserve">some scholarship attributes to his transmission rests substantially on one contested thesis about doctored manuscript passages, not on a settled consensus — carried here as Contested.</w:t>
      </w:r>
      <w:r>
        <w:t xml:space="preserve"> </w:t>
      </w:r>
      <w:r>
        <w:t xml:space="preserve">-</w:t>
      </w:r>
      <w:r>
        <w:t xml:space="preserve"> </w:t>
      </w:r>
      <w:r>
        <w:rPr>
          <w:bCs/>
          <w:b/>
        </w:rPr>
        <w:t xml:space="preserve">Transmission history:</w:t>
      </w:r>
      <w:r>
        <w:t xml:space="preserve"> </w:t>
      </w:r>
      <w:r>
        <w:t xml:space="preserve">preserved through Byzantine dogmatic prestige (named in the imperial communion law of 381 — see §2 for the law’s own full citation and bishop list) despite the era’s own live theological disputes about aspects of his thought.</w:t>
      </w:r>
    </w:p>
    <w:bookmarkEnd w:id="23"/>
    <w:bookmarkStart w:id="24" w:name="Xf16e68e97f591b440bc5ea0cf4d3d8325fd3c76"/>
    <w:p>
      <w:pPr>
        <w:pStyle w:val="Heading3"/>
      </w:pPr>
      <w:r>
        <w:t xml:space="preserve">1.4 Macrina the Younger (c. 327 – 379) — a primary</w:t>
      </w:r>
      <w:r>
        <w:t xml:space="preserve"> </w:t>
      </w:r>
      <w:r>
        <w:rPr>
          <w:iCs/>
          <w:i/>
        </w:rPr>
        <w:t xml:space="preserve">voice</w:t>
      </w:r>
      <w:r>
        <w:t xml:space="preserve"> </w:t>
      </w:r>
      <w:r>
        <w:t xml:space="preserve">with no primary</w:t>
      </w:r>
      <w:r>
        <w:t xml:space="preserve"> </w:t>
      </w:r>
      <w:r>
        <w:rPr>
          <w:iCs/>
          <w:i/>
        </w:rPr>
        <w:t xml:space="preserve">text</w:t>
      </w:r>
    </w:p>
    <w:p>
      <w:pPr>
        <w:pStyle w:val="FirstParagraph"/>
      </w:pPr>
      <w:r>
        <w:t xml:space="preserve">Everything we have of Macrina — her leadership of the Annisa community, her formation of her brothers, her deathbed teaching, her title</w:t>
      </w:r>
      <w:r>
        <w:t xml:space="preserve"> </w:t>
      </w:r>
      <w:r>
        <w:t xml:space="preserve">“</w:t>
      </w:r>
      <w:r>
        <w:t xml:space="preserve">the Teacher</w:t>
      </w:r>
      <w:r>
        <w:t xml:space="preserve">”</w:t>
      </w:r>
      <w:r>
        <w:t xml:space="preserve"> </w:t>
      </w:r>
      <w:r>
        <w:t xml:space="preserve">(hē didaskalos) — comes through Gregory of Nyssa’s two literary works and scattered mentions.</w:t>
      </w:r>
      <w:r>
        <w:t xml:space="preserve"> </w:t>
      </w:r>
      <w:r>
        <w:rPr>
          <w:bCs/>
          <w:b/>
        </w:rPr>
        <w:t xml:space="preserve">Basil’s letters do not</w:t>
      </w:r>
      <w:r>
        <w:rPr>
          <w:bCs/>
          <w:b/>
        </w:rPr>
        <w:t xml:space="preserve"> </w:t>
      </w:r>
      <w:r>
        <w:rPr>
          <w:bCs/>
          <w:b/>
        </w:rPr>
        <w:t xml:space="preserve">“</w:t>
      </w:r>
      <w:r>
        <w:rPr>
          <w:bCs/>
          <w:b/>
        </w:rPr>
        <w:t xml:space="preserve">barely name her</w:t>
      </w:r>
      <w:r>
        <w:rPr>
          <w:bCs/>
          <w:b/>
        </w:rPr>
        <w:t xml:space="preserve">”</w:t>
      </w:r>
      <w:r>
        <w:rPr>
          <w:bCs/>
          <w:b/>
        </w:rPr>
        <w:t xml:space="preserve"> </w:t>
      </w:r>
      <w:r>
        <w:rPr>
          <w:bCs/>
          <w:b/>
        </w:rPr>
        <w:t xml:space="preserve">— they do not mention her at all, a total silence rather than a near-silence.</w:t>
      </w:r>
      <w:r>
        <w:t xml:space="preserve"> </w:t>
      </w:r>
      <w:r>
        <w:t xml:space="preserve">This total silence is exactly the datum this section says demands explanation; candidate explanations remain genre convention, fraternal rivalry, and the ascetic modesty topos, none provable — Inferential/Thin. Author Gravity entry is therefore</w:t>
      </w:r>
      <w:r>
        <w:t xml:space="preserve"> </w:t>
      </w:r>
      <w:r>
        <w:rPr>
          <w:bCs/>
          <w:b/>
        </w:rPr>
        <w:t xml:space="preserve">for Gregory-writing-Macrina</w:t>
      </w:r>
      <w:r>
        <w:t xml:space="preserve">: visibility high, representativeness nil (an aristocratic virgin-philosopher is not the ordinary sister), influence real (the Vita became a model of female sanctity), limitation total (her own words are unrecoverable as hers), transmission entirely male-mediated.</w:t>
      </w:r>
      <w:r>
        <w:t xml:space="preserve"> </w:t>
      </w:r>
      <w:r>
        <w:rPr>
          <w:bCs/>
          <w:b/>
        </w:rPr>
        <w:t xml:space="preserve">Builder rule adopted:</w:t>
      </w:r>
      <w:r>
        <w:t xml:space="preserve"> </w:t>
      </w:r>
      <w:r>
        <w:t xml:space="preserve">Macrina is cited as</w:t>
      </w:r>
      <w:r>
        <w:t xml:space="preserve"> </w:t>
      </w:r>
      <w:r>
        <w:t xml:space="preserve">“</w:t>
      </w:r>
      <w:r>
        <w:t xml:space="preserve">Macrina as Gregory presents her</w:t>
      </w:r>
      <w:r>
        <w:t xml:space="preserve">”</w:t>
      </w:r>
      <w:r>
        <w:t xml:space="preserve"> </w:t>
      </w:r>
      <w:r>
        <w:t xml:space="preserve">in every use; her historical leadership of a documented community is Widely Accepted; her ipsissima verba are not recoverable.</w:t>
      </w:r>
    </w:p>
    <w:p>
      <w:pPr>
        <w:pStyle w:val="BodyText"/>
      </w:pPr>
      <w:r>
        <w:rPr>
          <w:bCs/>
          <w:b/>
        </w:rPr>
        <w:t xml:space="preserve">A datum this document previously had and did not use: Macrina the Elder.</w:t>
      </w:r>
      <w:r>
        <w:t xml:space="preserve"> </w:t>
      </w:r>
      <w:r>
        <w:t xml:space="preserve">Basil names his own grandmother, Macrina the Elder, in his letters (Epp. 204, 223) as the one who transmitted Gregory Thaumaturgus’ own teaching to him directly — a documented female formation-agent in this world’s corpus who is</w:t>
      </w:r>
      <w:r>
        <w:t xml:space="preserve"> </w:t>
      </w:r>
      <w:r>
        <w:rPr>
          <w:bCs/>
          <w:b/>
        </w:rPr>
        <w:t xml:space="preserve">not</w:t>
      </w:r>
      <w:r>
        <w:t xml:space="preserve"> </w:t>
      </w:r>
      <w:r>
        <w:t xml:space="preserve">mediated through Gregory of Nyssa’s literary frame the way her granddaughter is. This is this world’s single most valuable non-male-mediated female datum and belongs beside §1.4’s Macrina-the-Younger entry, not left absent from it.</w:t>
      </w:r>
    </w:p>
    <w:bookmarkEnd w:id="24"/>
    <w:bookmarkStart w:id="25" w:name="the-opponents-as-recoverable"/>
    <w:p>
      <w:pPr>
        <w:pStyle w:val="Heading3"/>
      </w:pPr>
      <w:r>
        <w:t xml:space="preserve">1.5 The opponents (as recoverable)</w:t>
      </w:r>
    </w:p>
    <w:p>
      <w:pPr>
        <w:numPr>
          <w:ilvl w:val="0"/>
          <w:numId w:val="1001"/>
        </w:numPr>
        <w:pStyle w:val="Compact"/>
      </w:pPr>
      <w:r>
        <w:rPr>
          <w:bCs/>
          <w:b/>
        </w:rPr>
        <w:t xml:space="preserve">Eunomius of Cyzicus:</w:t>
      </w:r>
      <w:r>
        <w:t xml:space="preserve"> </w:t>
      </w:r>
      <w:r>
        <w:t xml:space="preserve">his first</w:t>
      </w:r>
      <w:r>
        <w:t xml:space="preserve"> </w:t>
      </w:r>
      <w:r>
        <w:rPr>
          <w:bCs/>
          <w:b/>
        </w:rPr>
        <w:t xml:space="preserve">Apology</w:t>
      </w:r>
      <w:r>
        <w:t xml:space="preserve"> </w:t>
      </w:r>
      <w:r>
        <w:t xml:space="preserve">survives intact (unusual for a condemned author — Documented); his</w:t>
      </w:r>
      <w:r>
        <w:t xml:space="preserve"> </w:t>
      </w:r>
      <w:r>
        <w:rPr>
          <w:bCs/>
          <w:b/>
        </w:rPr>
        <w:t xml:space="preserve">Apology for the Apology</w:t>
      </w:r>
      <w:r>
        <w:t xml:space="preserve"> </w:t>
      </w:r>
      <w:r>
        <w:t xml:space="preserve">survives only as quoted in Gregory of Nyssa’s refutation (adversarial transmission — every use flagged); his</w:t>
      </w:r>
      <w:r>
        <w:t xml:space="preserve"> </w:t>
      </w:r>
      <w:r>
        <w:rPr>
          <w:bCs/>
          <w:b/>
        </w:rPr>
        <w:t xml:space="preserve">confession of 383</w:t>
      </w:r>
      <w:r>
        <w:t xml:space="preserve"> </w:t>
      </w:r>
      <w:r>
        <w:t xml:space="preserve">also survives independently. We can, exceptionally, check the Cappadocians’ polemic against their opponent’s own words for one round of the fight — a rare control on adversarial distortion, and this build treats it as such.</w:t>
      </w:r>
    </w:p>
    <w:p>
      <w:pPr>
        <w:numPr>
          <w:ilvl w:val="0"/>
          <w:numId w:val="1001"/>
        </w:numPr>
        <w:pStyle w:val="Compact"/>
      </w:pPr>
      <w:r>
        <w:rPr>
          <w:bCs/>
          <w:b/>
        </w:rPr>
        <w:t xml:space="preserve">Eustathius of Sebaste:</w:t>
      </w:r>
      <w:r>
        <w:t xml:space="preserve"> </w:t>
      </w:r>
      <w:r>
        <w:t xml:space="preserve">no works survive. Known through Basil’s letters (friendship, collaboration, rupture — the account of a wounded former disciple), the Gangra canons (censuring</w:t>
      </w:r>
      <w:r>
        <w:t xml:space="preserve"> </w:t>
      </w:r>
      <w:r>
        <w:t xml:space="preserve">“</w:t>
      </w:r>
      <w:r>
        <w:t xml:space="preserve">those around Eustathius</w:t>
      </w:r>
      <w:r>
        <w:t xml:space="preserve">”</w:t>
      </w:r>
      <w:r>
        <w:t xml:space="preserve"> </w:t>
      </w:r>
      <w:r>
        <w:t xml:space="preserve">— the council’s hostile summary of the radicals’ practices is itself against-the-grain evidence of what they actually did —</w:t>
      </w:r>
      <w:r>
        <w:t xml:space="preserve"> </w:t>
      </w:r>
      <w:r>
        <w:rPr>
          <w:bCs/>
          <w:b/>
        </w:rPr>
        <w:t xml:space="preserve">canons 13 and 17 specifically, on women wearing men’s clothing and cutting their hair as part of the radical ascetic practice, are the council’s own catalogue of what radical female ascetics actually did, and belong in §6’s Article 20 treatment, not only here</w:t>
      </w:r>
      <w:r>
        <w:t xml:space="preserve">), Epiphanius, and later historians. The world’s ascetic origins are thus transmitted by the movement’s reformer and its censors. (Adversarial transmission; flagged at every use.)</w:t>
      </w:r>
    </w:p>
    <w:p>
      <w:pPr>
        <w:numPr>
          <w:ilvl w:val="0"/>
          <w:numId w:val="1001"/>
        </w:numPr>
        <w:pStyle w:val="Compact"/>
      </w:pPr>
      <w:r>
        <w:rPr>
          <w:bCs/>
          <w:b/>
        </w:rPr>
        <w:t xml:space="preserve">The Pneumatomachians (</w:t>
      </w:r>
      <w:r>
        <w:rPr>
          <w:bCs/>
          <w:b/>
        </w:rPr>
        <w:t xml:space="preserve">“</w:t>
      </w:r>
      <w:r>
        <w:rPr>
          <w:bCs/>
          <w:b/>
        </w:rPr>
        <w:t xml:space="preserve">Spirit-fighters</w:t>
      </w:r>
      <w:r>
        <w:rPr>
          <w:bCs/>
          <w:b/>
        </w:rPr>
        <w:t xml:space="preserve">”</w:t>
      </w:r>
      <w:r>
        <w:rPr>
          <w:bCs/>
          <w:b/>
        </w:rPr>
        <w:t xml:space="preserve"> </w:t>
      </w:r>
      <w:r>
        <w:rPr>
          <w:bCs/>
          <w:b/>
        </w:rPr>
        <w:t xml:space="preserve">— their enemies’ name; they called themselves otherwise):</w:t>
      </w:r>
      <w:r>
        <w:t xml:space="preserve"> </w:t>
      </w:r>
      <w:r>
        <w:t xml:space="preserve">no corpus; positions reconstructed from Basil’s On the Holy Spirit, the Theological Orations, and conciliar documents. Their self-understanding is largely unrecoverable (named as structural absence, §6).</w:t>
      </w:r>
    </w:p>
    <w:p>
      <w:pPr>
        <w:numPr>
          <w:ilvl w:val="0"/>
          <w:numId w:val="1001"/>
        </w:numPr>
        <w:pStyle w:val="Compact"/>
      </w:pPr>
      <w:r>
        <w:rPr>
          <w:bCs/>
          <w:b/>
        </w:rPr>
        <w:t xml:space="preserve">The Homoian establishment</w:t>
      </w:r>
      <w:r>
        <w:t xml:space="preserve"> </w:t>
      </w:r>
      <w:r>
        <w:t xml:space="preserve">(the court church of Constantius and Valens): its Cappadocian face survives almost solely in its opponents’ accounts and in imperial acts. Per Doc_01 §1, this is this world’s confessional boundary, not a strand within it. (Adversarial transmission.)</w:t>
      </w:r>
    </w:p>
    <w:bookmarkEnd w:id="25"/>
    <w:bookmarkStart w:id="26" w:name="other-primary-voices-work-level"/>
    <w:p>
      <w:pPr>
        <w:pStyle w:val="Heading3"/>
      </w:pPr>
      <w:r>
        <w:t xml:space="preserve">1.6 Other primary voices (work-level)</w:t>
      </w:r>
    </w:p>
    <w:p>
      <w:pPr>
        <w:pStyle w:val="FirstParagraph"/>
      </w:pPr>
      <w:r>
        <w:rPr>
          <w:bCs/>
          <w:b/>
        </w:rPr>
        <w:t xml:space="preserve">Amphilochius of Iconium</w:t>
      </w:r>
      <w:r>
        <w:t xml:space="preserve"> </w:t>
      </w:r>
      <w:r>
        <w:t xml:space="preserve">(cousin of Nazianzen; addressee of On the Holy Spirit and the canonical letters; some genuine works survive but no open English edition was located this session — the circle’s junior member and first receiver; per Doc_01 §1, Iconium and its rural discipline are now named in this world’s own geographic scope, not merely a source it happens to cite);</w:t>
      </w:r>
      <w:r>
        <w:t xml:space="preserve"> </w:t>
      </w:r>
      <w:r>
        <w:rPr>
          <w:bCs/>
          <w:b/>
        </w:rPr>
        <w:t xml:space="preserve">Evagrius Ponticus</w:t>
      </w:r>
      <w:r>
        <w:t xml:space="preserve"> </w:t>
      </w:r>
      <w:r>
        <w:t xml:space="preserve">(Cappadocian-Pontic formation, ordained by the circle, departs for Constantinople and the desert at the world’s edge — per Doc_01 §2, his Cappadocian-period formation is Native to this world and his later desert corpus is a Named Comparandum, Excluded, belonging to the registered Desert world);</w:t>
      </w:r>
      <w:r>
        <w:t xml:space="preserve"> </w:t>
      </w:r>
      <w:r>
        <w:rPr>
          <w:bCs/>
          <w:b/>
        </w:rPr>
        <w:t xml:space="preserve">Gregory Thaumaturgus</w:t>
      </w:r>
      <w:r>
        <w:t xml:space="preserve"> </w:t>
      </w:r>
      <w:r>
        <w:t xml:space="preserve">(third-century: the Canonical Epistle is Documented and now acquirable via Ante-Nicene Fathers vol. 6; the Address of Thanksgiving to Origen is traditionally his, with attribution questioned in recent scholarship — Contested; the creed attributed to him is transmitted by Nyssen a century later — carried at the lower confidence Doc_01 §1 now states);</w:t>
      </w:r>
      <w:r>
        <w:t xml:space="preserve"> </w:t>
      </w:r>
      <w:r>
        <w:rPr>
          <w:bCs/>
          <w:b/>
        </w:rPr>
        <w:t xml:space="preserve">Firmilian of Caesarea</w:t>
      </w:r>
      <w:r>
        <w:t xml:space="preserve"> </w:t>
      </w:r>
      <w:r>
        <w:t xml:space="preserve">(third-century; one letter, preserved in Latin inside Cyprian’s own corpus — numbered Epistle 74 in the ANF/older numbering, Epistle 75 in the modern CSEL/Hartel numbering; cite both forms — now acquirable via Ante-Nicene Fathers vol. 5 — pre-boundary inheritance evidence);</w:t>
      </w:r>
      <w:r>
        <w:t xml:space="preserve"> </w:t>
      </w:r>
      <w:r>
        <w:rPr>
          <w:bCs/>
          <w:b/>
        </w:rPr>
        <w:t xml:space="preserve">the elder Gregory of Nazianzus</w:t>
      </w:r>
      <w:r>
        <w:t xml:space="preserve"> </w:t>
      </w:r>
      <w:r>
        <w:t xml:space="preserve">(bishop-father, formerly of the</w:t>
      </w:r>
      <w:r>
        <w:t xml:space="preserve"> </w:t>
      </w:r>
      <w:r>
        <w:rPr>
          <w:bCs/>
          <w:b/>
        </w:rPr>
        <w:t xml:space="preserve">Hypsistarian</w:t>
      </w:r>
      <w:r>
        <w:t xml:space="preserve"> </w:t>
      </w:r>
      <w:r>
        <w:t xml:space="preserve">sect — Documented via his son’s funeral oration; a window on the region’s pre-Nicene religious mixture, and per §6 below, a named religious minority this document previously listed once and then failed to carry into its own missing-voices register);</w:t>
      </w:r>
      <w:r>
        <w:t xml:space="preserve"> </w:t>
      </w:r>
      <w:r>
        <w:rPr>
          <w:bCs/>
          <w:b/>
        </w:rPr>
        <w:t xml:space="preserve">Julian the emperor</w:t>
      </w:r>
      <w:r>
        <w:t xml:space="preserve"> </w:t>
      </w:r>
      <w:r>
        <w:t xml:space="preserve">(educated in part at the Cappadocian estate of Macellum — Documented via his own Letter to the Athenians; his measures against Caesarea specifically, and his Rescript on Christian Teachers (Ep. 36, distinct from the general school law CTh 13.3.5 and debated in its relationship to it), are the old religion’s own voice pressing on this world — see Doc_01 §4’s correction);</w:t>
      </w:r>
      <w:r>
        <w:t xml:space="preserve"> </w:t>
      </w:r>
      <w:r>
        <w:rPr>
          <w:bCs/>
          <w:b/>
        </w:rPr>
        <w:t xml:space="preserve">Libanius</w:t>
      </w:r>
      <w:r>
        <w:t xml:space="preserve"> </w:t>
      </w:r>
      <w:r>
        <w:t xml:space="preserve">(correspondence with Basil — see §1.1: majority scholarship holds the whole exchange forged, not merely</w:t>
      </w:r>
      <w:r>
        <w:t xml:space="preserve"> </w:t>
      </w:r>
      <w:r>
        <w:t xml:space="preserve">“</w:t>
      </w:r>
      <w:r>
        <w:t xml:space="preserve">authenticity of parts Contested</w:t>
      </w:r>
      <w:r>
        <w:t xml:space="preserve">”</w:t>
      </w:r>
      <w:r>
        <w:t xml:space="preserve">; the pagan rhetor’s genuine relevance to this world, independent of that disputed correspondence, is as an external witness to the paideia network Basil and Nazianzen both passed through);</w:t>
      </w:r>
      <w:r>
        <w:t xml:space="preserve"> </w:t>
      </w:r>
      <w:r>
        <w:rPr>
          <w:bCs/>
          <w:b/>
        </w:rPr>
        <w:t xml:space="preserve">the church historians</w:t>
      </w:r>
      <w:r>
        <w:t xml:space="preserve"> </w:t>
      </w:r>
      <w:r>
        <w:t xml:space="preserve">(Socrates, Sozomen, Theodoret, Philostorgius — all fifth-century, all outside the horizon: used only as secondary narrative sources, never as the world’s own voice — their own Author Gravity assessment belongs here at §1.6, not at §3, since §3 covers formation-narrative sources internal to the world; Philostorgius matters as the rare</w:t>
      </w:r>
      <w:r>
        <w:t xml:space="preserve"> </w:t>
      </w:r>
      <w:r>
        <w:rPr>
          <w:iCs/>
          <w:i/>
        </w:rPr>
        <w:t xml:space="preserve">Eunomian</w:t>
      </w:r>
      <w:r>
        <w:t xml:space="preserve"> </w:t>
      </w:r>
      <w:r>
        <w:t xml:space="preserve">historian — the losers’ one surviving narrative frame, via Photius’ epitome);</w:t>
      </w:r>
      <w:r>
        <w:t xml:space="preserve"> </w:t>
      </w:r>
      <w:r>
        <w:rPr>
          <w:bCs/>
          <w:b/>
        </w:rPr>
        <w:t xml:space="preserve">Jerome</w:t>
      </w:r>
      <w:r>
        <w:t xml:space="preserve">, whose</w:t>
      </w:r>
      <w:r>
        <w:t xml:space="preserve"> </w:t>
      </w:r>
      <w:r>
        <w:rPr>
          <w:iCs/>
          <w:i/>
        </w:rPr>
        <w:t xml:space="preserve">De viris illustribus</w:t>
      </w:r>
      <w:r>
        <w:t xml:space="preserve"> </w:t>
      </w:r>
      <w:r>
        <w:t xml:space="preserve">(392) — in-window given this world’s c. 394 close, and covered by the same acquired NPNF2 v3 edition as Theodoret — carries entries on Basil, both Gregorys, and Amphilochius (noting his own</w:t>
      </w:r>
      <w:r>
        <w:t xml:space="preserve"> </w:t>
      </w:r>
      <w:r>
        <w:rPr>
          <w:iCs/>
          <w:i/>
        </w:rPr>
        <w:t xml:space="preserve">On the Holy Spirit</w:t>
      </w:r>
      <w:r>
        <w:t xml:space="preserve">): the earliest external catalogue of what was circulating under this world’s own authors’ names within a decade of Nyssen’s floruit, previously unused here despite being freely available.</w:t>
      </w:r>
      <w:r>
        <w:t xml:space="preserve"> </w:t>
      </w:r>
      <w:r>
        <w:rPr>
          <w:bCs/>
          <w:b/>
        </w:rPr>
        <w:t xml:space="preserve">DVI’s</w:t>
      </w:r>
      <w:r>
        <w:rPr>
          <w:bCs/>
          <w:b/>
        </w:rPr>
        <w:t xml:space="preserve"> </w:t>
      </w:r>
      <w:r>
        <w:rPr>
          <w:bCs/>
          <w:b/>
        </w:rPr>
        <w:t xml:space="preserve">“</w:t>
      </w:r>
      <w:r>
        <w:rPr>
          <w:bCs/>
          <w:b/>
        </w:rPr>
        <w:t xml:space="preserve">Eustathius</w:t>
      </w:r>
      <w:r>
        <w:rPr>
          <w:bCs/>
          <w:b/>
        </w:rPr>
        <w:t xml:space="preserve">”</w:t>
      </w:r>
      <w:r>
        <w:rPr>
          <w:bCs/>
          <w:b/>
        </w:rPr>
        <w:t xml:space="preserve"> </w:t>
      </w:r>
      <w:r>
        <w:rPr>
          <w:bCs/>
          <w:b/>
        </w:rPr>
        <w:t xml:space="preserve">entry is Eustathius of Antioch, not Eustathius of Sebaste</w:t>
      </w:r>
      <w:r>
        <w:t xml:space="preserve"> </w:t>
      </w:r>
      <w:r>
        <w:t xml:space="preserve">— Jerome does not catalogue this world’s own Eustathius, consistent with §1.5’s own statement that</w:t>
      </w:r>
      <w:r>
        <w:t xml:space="preserve"> </w:t>
      </w:r>
      <w:r>
        <w:t xml:space="preserve">“</w:t>
      </w:r>
      <w:r>
        <w:t xml:space="preserve">no works survive</w:t>
      </w:r>
      <w:r>
        <w:t xml:space="preserve">”</w:t>
      </w:r>
      <w:r>
        <w:t xml:space="preserve"> </w:t>
      </w:r>
      <w:r>
        <w:t xml:space="preserve">under his name.</w:t>
      </w:r>
    </w:p>
    <w:p>
      <w:r>
        <w:pict>
          <v:rect style="width:0;height:1.5pt" o:hralign="center" o:hrstd="t" o:hr="t"/>
        </w:pict>
      </w:r>
    </w:p>
    <w:bookmarkEnd w:id="26"/>
    <w:bookmarkEnd w:id="27"/>
    <w:bookmarkStart w:id="28" w:name="X1c3483f05dd1571dd06fc2930ab1a1f5903f63f"/>
    <w:p>
      <w:pPr>
        <w:pStyle w:val="Heading2"/>
      </w:pPr>
      <w:r>
        <w:t xml:space="preserve">2. Institutional, Legal, and Liturgical Evidence</w:t>
      </w:r>
    </w:p>
    <w:p>
      <w:pPr>
        <w:numPr>
          <w:ilvl w:val="0"/>
          <w:numId w:val="1002"/>
        </w:numPr>
        <w:pStyle w:val="Compact"/>
      </w:pPr>
      <w:r>
        <w:rPr>
          <w:bCs/>
          <w:b/>
        </w:rPr>
        <w:t xml:space="preserve">Councils and canons:</w:t>
      </w:r>
      <w:r>
        <w:t xml:space="preserve"> </w:t>
      </w:r>
      <w:r>
        <w:t xml:space="preserve">Nicaea (325 — subscription lists include the region’s bishops, though no open edition of the subscription lists themselves was located this session);</w:t>
      </w:r>
      <w:r>
        <w:t xml:space="preserve"> </w:t>
      </w:r>
      <w:r>
        <w:rPr>
          <w:bCs/>
          <w:b/>
        </w:rPr>
        <w:t xml:space="preserve">Gangra</w:t>
      </w:r>
      <w:r>
        <w:t xml:space="preserve"> </w:t>
      </w:r>
      <w:r>
        <w:t xml:space="preserve">(date genuinely Contested across a wide range — see Doc_01 §3 for the full correction;</w:t>
      </w:r>
      <w:r>
        <w:t xml:space="preserve"> </w:t>
      </w:r>
      <w:r>
        <w:rPr>
          <w:bCs/>
          <w:b/>
        </w:rPr>
        <w:t xml:space="preserve">not</w:t>
      </w:r>
      <w:r>
        <w:t xml:space="preserve"> </w:t>
      </w:r>
      <w:r>
        <w:t xml:space="preserve">“</w:t>
      </w:r>
      <w:r>
        <w:t xml:space="preserve">within a decade</w:t>
      </w:r>
      <w:r>
        <w:t xml:space="preserve">”</w:t>
      </w:r>
      <w:r>
        <w:t xml:space="preserve">) — twenty canons censuring radical ascetic practice (condemning those who dissolve marriages, encourage slaves to defy masters, fast on Sundays, despise the married priest, hold private assemblies): read against the grain, the era’s best evidence for what the radicals actually did, canons 13 and 17 specifically for what radical female ascetics did (see §1.5, §6); Constantinople 360 (the Homoian settlement the world lived under; reachable in extract via Socrates, Ecclesiastical History 2.41, inside the acquired church-historian volume);</w:t>
      </w:r>
      <w:r>
        <w:t xml:space="preserve"> </w:t>
      </w:r>
      <w:r>
        <w:rPr>
          <w:bCs/>
          <w:b/>
        </w:rPr>
        <w:t xml:space="preserve">Constantinople 381</w:t>
      </w:r>
      <w:r>
        <w:t xml:space="preserve"> </w:t>
      </w:r>
      <w:r>
        <w:t xml:space="preserve">and its creed;</w:t>
      </w:r>
      <w:r>
        <w:t xml:space="preserve"> </w:t>
      </w:r>
      <w:r>
        <w:rPr>
          <w:bCs/>
          <w:b/>
        </w:rPr>
        <w:t xml:space="preserve">the imperial communion law of 381 (Codex Theodosianus 16.1.3, 30 July 381) naming, among the East’s touchstone bishops, Helladius of Caesarea, Otreius of Melitene, and Gregory of Nyssa in the Pontic diocese, and Amphilochius of Iconium in the Asian diocese</w:t>
      </w:r>
      <w:r>
        <w:t xml:space="preserve"> </w:t>
      </w:r>
      <w:r>
        <w:t xml:space="preserve">— Amphilochius’ inclusion is the strongest support for this document’s own conclusion that</w:t>
      </w:r>
      <w:r>
        <w:t xml:space="preserve"> </w:t>
      </w:r>
      <w:r>
        <w:t xml:space="preserve">“</w:t>
      </w:r>
      <w:r>
        <w:t xml:space="preserve">the world’s own men made the empire’s standard</w:t>
      </w:r>
      <w:r>
        <w:t xml:space="preserve">”</w:t>
      </w:r>
      <w:r>
        <w:t xml:space="preserve">; an English translation of the full Theodosian Code (Pharr, 1952) is under copyright, but the specific bishops named by this law are independently well attested via the church historians and secondary literature, and the law’s Latin text itself (Mommsen–Meyer) is public domain.</w:t>
      </w:r>
      <w:r>
        <w:t xml:space="preserve"> </w:t>
      </w:r>
      <w:r>
        <w:rPr>
          <w:bCs/>
          <w:b/>
        </w:rPr>
        <w:t xml:space="preserve">Basil’s canonical letters</w:t>
      </w:r>
      <w:r>
        <w:t xml:space="preserve"> </w:t>
      </w:r>
      <w:r>
        <w:t xml:space="preserve">to Amphilochius: penances graded for murder, abortion, bigamy and remarriage, magic-use, grave-robbery, apostasy under pressure — the single best window this world offers on ordinary village sin and the church’s discipline of it (Documented; used heavily in this build precisely because it is</w:t>
      </w:r>
      <w:r>
        <w:t xml:space="preserve"> </w:t>
      </w:r>
      <w:r>
        <w:rPr>
          <w:iCs/>
          <w:i/>
        </w:rPr>
        <w:t xml:space="preserve">not</w:t>
      </w:r>
      <w:r>
        <w:t xml:space="preserve"> </w:t>
      </w:r>
      <w:r>
        <w:t xml:space="preserve">elite self-description) —</w:t>
      </w:r>
      <w:r>
        <w:t xml:space="preserve"> </w:t>
      </w:r>
      <w:r>
        <w:rPr>
          <w:bCs/>
          <w:b/>
        </w:rPr>
        <w:t xml:space="preserve">and, per §6 below, not yet mined for what it shows about gendered discipline and about slaves and children specifically, which this revision corrects.</w:t>
      </w:r>
    </w:p>
    <w:p>
      <w:pPr>
        <w:numPr>
          <w:ilvl w:val="0"/>
          <w:numId w:val="1002"/>
        </w:numPr>
        <w:pStyle w:val="Compact"/>
      </w:pPr>
      <w:r>
        <w:rPr>
          <w:bCs/>
          <w:b/>
        </w:rPr>
        <w:t xml:space="preserve">Imperial law and administration:</w:t>
      </w:r>
      <w:r>
        <w:t xml:space="preserve"> </w:t>
      </w:r>
      <w:r>
        <w:t xml:space="preserve">the reign-by-reign religious policy (Constantius’ councils; Julian’s school legislation —</w:t>
      </w:r>
      <w:r>
        <w:t xml:space="preserve"> </w:t>
      </w:r>
      <w:r>
        <w:rPr>
          <w:bCs/>
          <w:b/>
        </w:rPr>
        <w:t xml:space="preserve">two distinct measures, not one: the general school law of June 362 (CTh 13.3.5), which does not itself name Christians, and the separately transmitted Rescript on Christian Teachers (Ep. 36), which does the actual discriminatory work; their exact relationship is debated in the scholarship and should not be treated as one document</w:t>
      </w:r>
      <w:r>
        <w:t xml:space="preserve"> </w:t>
      </w:r>
      <w:r>
        <w:t xml:space="preserve">— and Julian’s direct measures against Caesarea, per Doc_01 §4; Valens’ pressure on Nicene bishops including the deposition and exile of Gregory of Nyssa c. 376–378 — Documented via Basil’s letters); the division of Cappadocia into two provinces (372) with its ecclesiastical fallout (the Anthimus of Tyana conflict; Basil’s creation of suffragan sees including Sasima) — Documented via the letters and orations; tax and liturgy (public-burden) appeals in Basil’s correspondence with governors (Documented) — the church visible as fiscal patron.</w:t>
      </w:r>
    </w:p>
    <w:p>
      <w:pPr>
        <w:numPr>
          <w:ilvl w:val="0"/>
          <w:numId w:val="1002"/>
        </w:numPr>
        <w:pStyle w:val="Compact"/>
      </w:pPr>
      <w:r>
        <w:rPr>
          <w:bCs/>
          <w:b/>
        </w:rPr>
        <w:t xml:space="preserve">Liturgical evidence:</w:t>
      </w:r>
      <w:r>
        <w:t xml:space="preserve"> </w:t>
      </w:r>
      <w:r>
        <w:t xml:space="preserve">thin and mostly indirect, and this thinness is named as structural: worship is reconstructed from preachers describing it. What survives in-period: Basil’s description of antiphonal night psalmody and congregational practice defended as the custom of the churches (in a letter answering Neocaesarean criticism — Documented at work level); the doxology controversy itself (</w:t>
      </w:r>
      <w:r>
        <w:t xml:space="preserve">“</w:t>
      </w:r>
      <w:r>
        <w:t xml:space="preserve">glory to the Father</w:t>
      </w:r>
      <w:r>
        <w:t xml:space="preserve"> </w:t>
      </w:r>
      <w:r>
        <w:rPr>
          <w:iCs/>
          <w:i/>
        </w:rPr>
        <w:t xml:space="preserve">with</w:t>
      </w:r>
      <w:r>
        <w:t xml:space="preserve"> </w:t>
      </w:r>
      <w:r>
        <w:t xml:space="preserve">the Son</w:t>
      </w:r>
      <w:r>
        <w:t xml:space="preserve"> </w:t>
      </w:r>
      <w:r>
        <w:rPr>
          <w:iCs/>
          <w:i/>
        </w:rPr>
        <w:t xml:space="preserve">with</w:t>
      </w:r>
      <w:r>
        <w:t xml:space="preserve"> </w:t>
      </w:r>
      <w:r>
        <w:t xml:space="preserve">the Holy Spirit</w:t>
      </w:r>
      <w:r>
        <w:t xml:space="preserve">”</w:t>
      </w:r>
      <w:r>
        <w:t xml:space="preserve"> </w:t>
      </w:r>
      <w:r>
        <w:t xml:space="preserve">alongside</w:t>
      </w:r>
      <w:r>
        <w:t xml:space="preserve"> </w:t>
      </w:r>
      <w:r>
        <w:t xml:space="preserve">“</w:t>
      </w:r>
      <w:r>
        <w:rPr>
          <w:iCs/>
          <w:i/>
        </w:rPr>
        <w:t xml:space="preserve">through</w:t>
      </w:r>
      <w:r>
        <w:t xml:space="preserve"> </w:t>
      </w:r>
      <w:r>
        <w:t xml:space="preserve">the Son</w:t>
      </w:r>
      <w:r>
        <w:t xml:space="preserve"> </w:t>
      </w:r>
      <w:r>
        <w:rPr>
          <w:iCs/>
          <w:i/>
        </w:rPr>
        <w:t xml:space="preserve">in</w:t>
      </w:r>
      <w:r>
        <w:t xml:space="preserve"> </w:t>
      </w:r>
      <w:r>
        <w:t xml:space="preserve">the Holy Spirit</w:t>
      </w:r>
      <w:r>
        <w:t xml:space="preserve">”</w:t>
      </w:r>
      <w:r>
        <w:t xml:space="preserve">) as evidence of live liturgical variety and its doctrinal weight; On the Holy Spirit’s argument from</w:t>
      </w:r>
      <w:r>
        <w:t xml:space="preserve"> </w:t>
      </w:r>
      <w:r>
        <w:rPr>
          <w:bCs/>
          <w:b/>
        </w:rPr>
        <w:t xml:space="preserve">unwritten customs</w:t>
      </w:r>
      <w:r>
        <w:t xml:space="preserve"> </w:t>
      </w:r>
      <w:r>
        <w:t xml:space="preserve">(facing east, standing on Sunday, the threefold immersion, the words of invocation) — a catalogue of practices offered precisely because everyone knew them (Documented as his catalogue); baptismal exhortations (Basil’s protreptic to delay-prone catechumens; Gregory Nazianzen’s oration on baptism) attesting Epiphany/Easter baptism culture and the delay problem; festal homilies attesting the panegyris pattern (see §4).</w:t>
      </w:r>
      <w:r>
        <w:t xml:space="preserve"> </w:t>
      </w:r>
      <w:r>
        <w:rPr>
          <w:bCs/>
          <w:b/>
        </w:rPr>
        <w:t xml:space="preserve">The poorhouse-hospital complex in Caesarea:</w:t>
      </w:r>
      <w:r>
        <w:t xml:space="preserve"> </w:t>
      </w:r>
      <w:r>
        <w:t xml:space="preserve">Basil’s own letters and Nazianzen’s Oration 43 call it a</w:t>
      </w:r>
      <w:r>
        <w:t xml:space="preserve"> </w:t>
      </w:r>
      <w:r>
        <w:rPr>
          <w:iCs/>
          <w:i/>
        </w:rPr>
        <w:t xml:space="preserve">ptōchotropheion</w:t>
      </w:r>
      <w:r>
        <w:t xml:space="preserve"> </w:t>
      </w:r>
      <w:r>
        <w:t xml:space="preserve">(</w:t>
      </w:r>
      <w:r>
        <w:t xml:space="preserve">“</w:t>
      </w:r>
      <w:r>
        <w:t xml:space="preserve">poor-feeding place</w:t>
      </w:r>
      <w:r>
        <w:t xml:space="preserve">”</w:t>
      </w:r>
      <w:r>
        <w:t xml:space="preserve">) and</w:t>
      </w:r>
      <w:r>
        <w:t xml:space="preserve"> </w:t>
      </w:r>
      <w:r>
        <w:t xml:space="preserve">“</w:t>
      </w:r>
      <w:r>
        <w:t xml:space="preserve">the new city</w:t>
      </w:r>
      <w:r>
        <w:t xml:space="preserve">”</w:t>
      </w:r>
      <w:r>
        <w:t xml:space="preserve"> </w:t>
      </w:r>
      <w:r>
        <w:t xml:space="preserve">respectively —</w:t>
      </w:r>
      <w:r>
        <w:t xml:space="preserve"> </w:t>
      </w:r>
      <w:r>
        <w:rPr>
          <w:bCs/>
          <w:b/>
        </w:rPr>
        <w:t xml:space="preserve">“</w:t>
      </w:r>
      <w:r>
        <w:rPr>
          <w:bCs/>
          <w:b/>
        </w:rPr>
        <w:t xml:space="preserve">Basileias</w:t>
      </w:r>
      <w:r>
        <w:rPr>
          <w:bCs/>
          <w:b/>
        </w:rPr>
        <w:t xml:space="preserve">”</w:t>
      </w:r>
      <w:r>
        <w:rPr>
          <w:bCs/>
          <w:b/>
        </w:rPr>
        <w:t xml:space="preserve"> </w:t>
      </w:r>
      <w:r>
        <w:rPr>
          <w:bCs/>
          <w:b/>
        </w:rPr>
        <w:t xml:space="preserve">is a later name (Sozomen, and subsequent usage), not this world’s own word for the institution; this document does not use it as emic vocabulary.</w:t>
      </w:r>
      <w:r>
        <w:t xml:space="preserve"> </w:t>
      </w:r>
      <w:r>
        <w:rPr>
          <w:bCs/>
          <w:b/>
        </w:rPr>
        <w:t xml:space="preserve">The</w:t>
      </w:r>
      <w:r>
        <w:rPr>
          <w:bCs/>
          <w:b/>
        </w:rPr>
        <w:t xml:space="preserve"> </w:t>
      </w:r>
      <w:r>
        <w:rPr>
          <w:bCs/>
          <w:b/>
        </w:rPr>
        <w:t xml:space="preserve">“</w:t>
      </w:r>
      <w:r>
        <w:rPr>
          <w:bCs/>
          <w:b/>
        </w:rPr>
        <w:t xml:space="preserve">Liturgy of St Basil</w:t>
      </w:r>
      <w:r>
        <w:rPr>
          <w:bCs/>
          <w:b/>
        </w:rPr>
        <w:t xml:space="preserve">”</w:t>
      </w:r>
      <w:r>
        <w:rPr>
          <w:bCs/>
          <w:b/>
        </w:rPr>
        <w:t xml:space="preserve">:</w:t>
      </w:r>
      <w:r>
        <w:t xml:space="preserve"> </w:t>
      </w:r>
      <w:r>
        <w:t xml:space="preserve">see §1.1’s correction — a Basilian core is Dominant Modern Reconstruction, argued substantially from the Egyptian recension; the transmitted Byzantine text’s exact wording as his own is Contested; this document does not treat the transmitted text as the world’s own worship.</w:t>
      </w:r>
    </w:p>
    <w:p>
      <w:r>
        <w:pict>
          <v:rect style="width:0;height:1.5pt" o:hralign="center" o:hrstd="t" o:hr="t"/>
        </w:pict>
      </w:r>
    </w:p>
    <w:bookmarkEnd w:id="28"/>
    <w:bookmarkStart w:id="29" w:name="Xf6acd173c190369c718b46fed8e48070a8baacc"/>
    <w:p>
      <w:pPr>
        <w:pStyle w:val="Heading2"/>
      </w:pPr>
      <w:r>
        <w:t xml:space="preserve">3. Formation Narrative Sources (named assessment)</w:t>
      </w:r>
    </w:p>
    <w:p>
      <w:pPr>
        <w:numPr>
          <w:ilvl w:val="0"/>
          <w:numId w:val="1003"/>
        </w:numPr>
        <w:pStyle w:val="Compact"/>
      </w:pPr>
      <w:r>
        <w:rPr>
          <w:bCs/>
          <w:b/>
        </w:rPr>
        <w:t xml:space="preserve">Life of Macrina</w:t>
      </w:r>
      <w:r>
        <w:t xml:space="preserve"> </w:t>
      </w:r>
      <w:r>
        <w:t xml:space="preserve">(Gregory of Nyssa, c. 380–383): eyewitness family memoir</w:t>
      </w:r>
      <w:r>
        <w:t xml:space="preserve"> </w:t>
      </w:r>
      <w:r>
        <w:rPr>
          <w:iCs/>
          <w:i/>
        </w:rPr>
        <w:t xml:space="preserve">and</w:t>
      </w:r>
      <w:r>
        <w:t xml:space="preserve"> </w:t>
      </w:r>
      <w:r>
        <w:t xml:space="preserve">deliberate philosophical hagiography (the Christian Socrates dying at Annisa). Tier 1 as Gregory’s own account of events he witnessed (the deathbed, the funeral, the community’s grief); Tier 3 register for its idealizing frame; the formation ideal it communicates (the household become a school of the resurrection; slaves freed to be sisters — its own claim about Macrina’s community, work-level) is genuine formation-ecology evidence. Author Gravity: maximal — see §1.4.</w:t>
      </w:r>
    </w:p>
    <w:p>
      <w:pPr>
        <w:numPr>
          <w:ilvl w:val="0"/>
          <w:numId w:val="1003"/>
        </w:numPr>
        <w:pStyle w:val="Compact"/>
      </w:pPr>
      <w:r>
        <w:rPr>
          <w:bCs/>
          <w:b/>
        </w:rPr>
        <w:t xml:space="preserve">On the Soul and Resurrection</w:t>
      </w:r>
      <w:r>
        <w:t xml:space="preserve"> </w:t>
      </w:r>
      <w:r>
        <w:t xml:space="preserve">(Nyssen): a philosophical dialogue staged at the same deathbed — genre: Christian Phaedo. Used as evidence of the world’s consolation-culture and of how this circle</w:t>
      </w:r>
      <w:r>
        <w:t xml:space="preserve"> </w:t>
      </w:r>
      <w:r>
        <w:rPr>
          <w:iCs/>
          <w:i/>
        </w:rPr>
        <w:t xml:space="preserve">wanted</w:t>
      </w:r>
      <w:r>
        <w:t xml:space="preserve"> </w:t>
      </w:r>
      <w:r>
        <w:t xml:space="preserve">grief and hope to be held; not used as a transcript.</w:t>
      </w:r>
    </w:p>
    <w:p>
      <w:pPr>
        <w:numPr>
          <w:ilvl w:val="0"/>
          <w:numId w:val="1003"/>
        </w:numPr>
        <w:pStyle w:val="Compact"/>
      </w:pPr>
      <w:r>
        <w:rPr>
          <w:bCs/>
          <w:b/>
        </w:rPr>
        <w:t xml:space="preserve">Oration 43</w:t>
      </w:r>
      <w:r>
        <w:t xml:space="preserve"> </w:t>
      </w:r>
      <w:r>
        <w:t xml:space="preserve">(Nazianzen’s funeral encomium on Basil, c. 381/2): the world’s central narrative monument — Athens friendship, famine leadership, the poorhouse complex, the confrontation with the prefect Modestus and the emperor Valens. Genre: epitaphios/encomium with an explicit case to make (and a friendship to repair posthumously). Every celebrated scene it carries is Tier 1</w:t>
      </w:r>
      <w:r>
        <w:t xml:space="preserve"> </w:t>
      </w:r>
      <w:r>
        <w:rPr>
          <w:iCs/>
          <w:i/>
        </w:rPr>
        <w:t xml:space="preserve">as Gregory’s public telling within living memory of eyewitnesses</w:t>
      </w:r>
      <w:r>
        <w:t xml:space="preserve"> </w:t>
      </w:r>
      <w:r>
        <w:t xml:space="preserve">— a real constraint on invention — and simultaneously genre-shaped; the famous Modestus dialogue (</w:t>
      </w:r>
      <w:r>
        <w:t xml:space="preserve">“</w:t>
      </w:r>
      <w:r>
        <w:t xml:space="preserve">perhaps you have never met a bishop</w:t>
      </w:r>
      <w:r>
        <w:t xml:space="preserve">”</w:t>
      </w:r>
      <w:r>
        <w:t xml:space="preserve">) is carried as the world’s own treasured account, not as court stenography. (This split is enforced at Doc_09.)</w:t>
      </w:r>
    </w:p>
    <w:p>
      <w:pPr>
        <w:numPr>
          <w:ilvl w:val="0"/>
          <w:numId w:val="1003"/>
        </w:numPr>
        <w:pStyle w:val="Compact"/>
      </w:pPr>
      <w:r>
        <w:rPr>
          <w:bCs/>
          <w:b/>
        </w:rPr>
        <w:t xml:space="preserve">De vita sua and the autobiographical poems</w:t>
      </w:r>
      <w:r>
        <w:t xml:space="preserve"> </w:t>
      </w:r>
      <w:r>
        <w:t xml:space="preserve">(Nazianzen): unique first-person formation narrative — ordinations resisted, friendships broken, the Constantinople mission and its wounds. Documented as self-account; the self-justifying retrospect is the named caution — see §1.2’s correction to exactly this point.</w:t>
      </w:r>
    </w:p>
    <w:p>
      <w:pPr>
        <w:numPr>
          <w:ilvl w:val="0"/>
          <w:numId w:val="1003"/>
        </w:numPr>
        <w:pStyle w:val="Compact"/>
      </w:pPr>
      <w:r>
        <w:rPr>
          <w:bCs/>
          <w:b/>
        </w:rPr>
        <w:t xml:space="preserve">Life of Gregory Thaumaturgus</w:t>
      </w:r>
      <w:r>
        <w:t xml:space="preserve"> </w:t>
      </w:r>
      <w:r>
        <w:t xml:space="preserve">(Nyssen): hagiography at a century’s distance — miracle cycle, the creed-vision, the mission narrative (</w:t>
      </w:r>
      <w:r>
        <w:t xml:space="preserve">“</w:t>
      </w:r>
      <w:r>
        <w:t xml:space="preserve">seventeen Christians when he came, seventeen pagans when he died</w:t>
      </w:r>
      <w:r>
        <w:t xml:space="preserve">”</w:t>
      </w:r>
      <w:r>
        <w:t xml:space="preserve"> </w:t>
      </w:r>
      <w:r>
        <w:t xml:space="preserve">— the world’s own founding legend, work-level). Tier 3 throughout: the formation ideal (the apostolic founder whose authority still warrants regional custom — Basil appeals to the Thaumaturgan inheritance explicitly) is the evidence; the biographical details are genre.</w:t>
      </w:r>
    </w:p>
    <w:p>
      <w:pPr>
        <w:numPr>
          <w:ilvl w:val="0"/>
          <w:numId w:val="1003"/>
        </w:numPr>
        <w:pStyle w:val="Compact"/>
      </w:pPr>
      <w:r>
        <w:rPr>
          <w:bCs/>
          <w:b/>
        </w:rPr>
        <w:t xml:space="preserve">The funeral orations on Caesarius, Gorgonia, and the elder Gregory</w:t>
      </w:r>
      <w:r>
        <w:t xml:space="preserve"> </w:t>
      </w:r>
      <w:r>
        <w:t xml:space="preserve">(Nazianzen): the era’s domestic sanctity portraits — a Christian physician at court; a married laywoman as saint (Gorgonia — one of the very few extended portraits of a married woman’s piety in patristic literature, through her brother’s pen); a bishop-father of heterodox past. Tier 3 idealization on Tier 1 family fact; used for the household-formation ecology with the male-mediation caveat standing.</w:t>
      </w:r>
    </w:p>
    <w:p>
      <w:pPr>
        <w:numPr>
          <w:ilvl w:val="0"/>
          <w:numId w:val="1003"/>
        </w:numPr>
        <w:pStyle w:val="Compact"/>
      </w:pPr>
      <w:r>
        <w:rPr>
          <w:bCs/>
          <w:b/>
        </w:rPr>
        <w:t xml:space="preserve">Martyr homilies</w:t>
      </w:r>
      <w:r>
        <w:t xml:space="preserve"> </w:t>
      </w:r>
      <w:r>
        <w:t xml:space="preserve">(Basil on the Forty of Sebaste, on Gordius, on Julitta, on Mamas; Nyssen on the Forty and on Theodore the Recruit): preached at the shrines on the feasts, within a century of the deaths — the community showing what it believed a faithful death was. The Forty’s cult: Documented as cult and text; the passion details traditional (Tier 2 as collected tradition); the family’s own relic-connection to the Forty (deposited at the Annisa estate shrine; Nyssen’s account of his mother Emmelia’s role in acquiring and enshrining the relics,</w:t>
      </w:r>
      <w:r>
        <w:t xml:space="preserve"> </w:t>
      </w:r>
      <w:r>
        <w:rPr>
          <w:iCs/>
          <w:i/>
        </w:rPr>
        <w:t xml:space="preserve">In XL Martyres</w:t>
      </w:r>
      <w:r>
        <w:t xml:space="preserve"> </w:t>
      </w:r>
      <w:r>
        <w:t xml:space="preserve">II — work-level) is Documented as the family’s claim, and is itself against-the-grain evidence of a woman’s formation-agency (§6).</w:t>
      </w:r>
      <w:r>
        <w:t xml:space="preserve"> </w:t>
      </w:r>
      <w:r>
        <w:rPr>
          <w:bCs/>
          <w:b/>
        </w:rPr>
        <w:t xml:space="preserve">The evidence supports Eupsychius of Caesarea’s feast, not a named homily on him</w:t>
      </w:r>
      <w:r>
        <w:t xml:space="preserve">: Basil’s letters establish invitations to bishops for the 7 September feast at Caesarea, but no</w:t>
      </w:r>
      <w:r>
        <w:t xml:space="preserve"> </w:t>
      </w:r>
      <w:r>
        <w:rPr>
          <w:iCs/>
          <w:i/>
        </w:rPr>
        <w:t xml:space="preserve">In Eupsychium</w:t>
      </w:r>
      <w:r>
        <w:t xml:space="preserve"> </w:t>
      </w:r>
      <w:r>
        <w:t xml:space="preserve">is attested, unlike the named homilies on the Forty, Gordius, Julitta, and Mamas. His martyrdom under Julian (362) and the feast itself belong in this world’s own story tiers per Doc_01 §1; the martyrdom’s narrative content, absent a homily to draw on, would most likely come from Sozomen (HE 5.11), an external narrative source, flagged as such per §1.6, not from an in-world preached source.</w:t>
      </w:r>
    </w:p>
    <w:p>
      <w:r>
        <w:pict>
          <v:rect style="width:0;height:1.5pt" o:hralign="center" o:hrstd="t" o:hr="t"/>
        </w:pict>
      </w:r>
    </w:p>
    <w:bookmarkEnd w:id="29"/>
    <w:bookmarkStart w:id="30" w:name="material-culture-and-daily-life-sources"/>
    <w:p>
      <w:pPr>
        <w:pStyle w:val="Heading2"/>
      </w:pPr>
      <w:r>
        <w:t xml:space="preserve">4. Material Culture and Daily Life Sources</w:t>
      </w:r>
    </w:p>
    <w:p>
      <w:pPr>
        <w:numPr>
          <w:ilvl w:val="0"/>
          <w:numId w:val="1004"/>
        </w:numPr>
        <w:pStyle w:val="Compact"/>
      </w:pPr>
      <w:r>
        <w:rPr>
          <w:bCs/>
          <w:b/>
        </w:rPr>
        <w:t xml:space="preserve">What this build can honestly use:</w:t>
      </w:r>
      <w:r>
        <w:t xml:space="preserve"> </w:t>
      </w:r>
      <w:r>
        <w:t xml:space="preserve">the martyrium/shrine pattern of rural Anatolia (feast-day panegyreis combining liturgy, market, and crowd — attested in the homilies themselves, e.g. Basil preaching to festival crowds; Nazianzen on the Mamas festival at work level); the family estate-shrine at Annisa (Vita Macrinae’s own description — text-attested archaeology, not excavated certainty); Caesarea’s suburban poorhouse-hospital complex (Documented as an existing institution via Basil’s own letters to officials about it and Nazianzen’s Oration 43, which calls it</w:t>
      </w:r>
      <w:r>
        <w:t xml:space="preserve"> </w:t>
      </w:r>
      <w:r>
        <w:t xml:space="preserve">“</w:t>
      </w:r>
      <w:r>
        <w:t xml:space="preserve">the new city</w:t>
      </w:r>
      <w:r>
        <w:t xml:space="preserve">”</w:t>
      </w:r>
      <w:r>
        <w:t xml:space="preserve">; see §2’s correction on its own name — do not call it</w:t>
      </w:r>
      <w:r>
        <w:t xml:space="preserve"> </w:t>
      </w:r>
      <w:r>
        <w:t xml:space="preserve">“</w:t>
      </w:r>
      <w:r>
        <w:t xml:space="preserve">the Basileias</w:t>
      </w:r>
      <w:r>
        <w:t xml:space="preserve">”</w:t>
      </w:r>
      <w:r>
        <w:t xml:space="preserve"> </w:t>
      </w:r>
      <w:r>
        <w:t xml:space="preserve">as though this world used that word; its physical remains are</w:t>
      </w:r>
      <w:r>
        <w:t xml:space="preserve"> </w:t>
      </w:r>
      <w:r>
        <w:rPr>
          <w:bCs/>
          <w:b/>
        </w:rPr>
        <w:t xml:space="preserve">not</w:t>
      </w:r>
      <w:r>
        <w:t xml:space="preserve"> </w:t>
      </w:r>
      <w:r>
        <w:t xml:space="preserve">securely identified — stated plainly); the imperial road-and-frontier context (Documented as regional history).</w:t>
      </w:r>
    </w:p>
    <w:p>
      <w:pPr>
        <w:numPr>
          <w:ilvl w:val="0"/>
          <w:numId w:val="1004"/>
        </w:numPr>
        <w:pStyle w:val="Compact"/>
      </w:pPr>
      <w:r>
        <w:rPr>
          <w:bCs/>
          <w:b/>
        </w:rPr>
        <w:t xml:space="preserve">What this build refuses to use:</w:t>
      </w:r>
      <w:r>
        <w:t xml:space="preserve"> </w:t>
      </w:r>
      <w:r>
        <w:t xml:space="preserve">the celebrated rock-cut churches and painted programs of Cappadocia (Göreme etc.) — Byzantine, centuries later, and no evidence for this world; any detailed reconstruction of fourth-century Caesarea’s urban fabric (evidence thin).</w:t>
      </w:r>
    </w:p>
    <w:p>
      <w:pPr>
        <w:numPr>
          <w:ilvl w:val="0"/>
          <w:numId w:val="1004"/>
        </w:numPr>
        <w:pStyle w:val="Compact"/>
      </w:pPr>
      <w:r>
        <w:rPr>
          <w:bCs/>
          <w:b/>
        </w:rPr>
        <w:t xml:space="preserve">Social-historical background — flagged for a decision this document cannot make on its own:</w:t>
      </w:r>
      <w:r>
        <w:t xml:space="preserve"> </w:t>
      </w:r>
      <w:r>
        <w:t xml:space="preserve">great-estate agriculture with vulnerable smallholders; recurrent subsistence crisis (the famine of c. 368/9 — Documented via Basil’s famine homilies and later reference, predating his 370 episcopate per §1.1’s correction); Cappadocia’s regional character as a byword slave-exporting economy (best attested for the Republican and early imperial periods specifically, per Doc_01 §1’s corrected phrasing — Widely Accepted as regional character, Inferential for the specific strength of the claim in this century); literacy a small minority; the honor-economy of the Greek city and the curial class’s flight from its burdens (tax appeals in the letters); the Armenian frontier’s military traffic.</w:t>
      </w:r>
      <w:r>
        <w:t xml:space="preserve"> </w:t>
      </w:r>
      <w:r>
        <w:rPr>
          <w:bCs/>
          <w:b/>
        </w:rPr>
        <w:t xml:space="preserve">This paragraph’s claims rest, on examination, substantially on modern secondary scholarship (regional historians of Anatolia and of the late Roman economy) that the approved Source Acquisition Manifest correctly excludes as copyrighted — meaning no primary-source registry row can ever ground this specific paragraph.</w:t>
      </w:r>
      <w:r>
        <w:t xml:space="preserve"> </w:t>
      </w:r>
      <w:r>
        <w:t xml:space="preserve">The confidence label and the registry-sourcing question are two different things:</w:t>
      </w:r>
      <w:r>
        <w:t xml:space="preserve"> </w:t>
      </w:r>
      <w:r>
        <w:rPr>
          <w:bCs/>
          <w:b/>
        </w:rPr>
        <w:t xml:space="preserve">Widely Accepted remains the correct Article 17 label</w:t>
      </w:r>
      <w:r>
        <w:t xml:space="preserve"> </w:t>
      </w:r>
      <w:r>
        <w:t xml:space="preserve">— that is a claim about the state of scholarship, and this paragraph’s content genuinely is standard, uncontested regional history, not thin evidence requiring inference. What is missing is a</w:t>
      </w:r>
      <w:r>
        <w:t xml:space="preserve"> </w:t>
      </w:r>
      <w:r>
        <w:rPr>
          <w:iCs/>
          <w:i/>
        </w:rPr>
        <w:t xml:space="preserve">citable primary source</w:t>
      </w:r>
      <w:r>
        <w:t xml:space="preserve">, which is a sourcing/rights question, not an epistemic downgrade. This is not a gap this document can close by itself; it is named explicitly in the manifest’s own</w:t>
      </w:r>
      <w:r>
        <w:t xml:space="preserve"> </w:t>
      </w:r>
      <w:r>
        <w:t xml:space="preserve">“</w:t>
      </w:r>
      <w:r>
        <w:t xml:space="preserve">honest gaps</w:t>
      </w:r>
      <w:r>
        <w:t xml:space="preserve">”</w:t>
      </w:r>
      <w:r>
        <w:t xml:space="preserve"> </w:t>
      </w:r>
      <w:r>
        <w:t xml:space="preserve">section as a structural decision for the project lead (whether such background counts as citable-but-not-quotable, or must be downgraded to an explicitly unsourced builder synthesis). Pending that decision, §9 below carries this paragraph as</w:t>
      </w:r>
      <w:r>
        <w:t xml:space="preserve"> </w:t>
      </w:r>
      <w:r>
        <w:rPr>
          <w:bCs/>
          <w:b/>
        </w:rPr>
        <w:t xml:space="preserve">Widely Accepted, flagged registry-support-pending</w:t>
      </w:r>
      <w:r>
        <w:t xml:space="preserve"> </w:t>
      </w:r>
      <w:r>
        <w:t xml:space="preserve">— the confidence level unchanged, the sourcing gap named separately, per the project’s fixed five-level vocabulary.</w:t>
      </w:r>
    </w:p>
    <w:p>
      <w:r>
        <w:pict>
          <v:rect style="width:0;height:1.5pt" o:hralign="center" o:hrstd="t" o:hr="t"/>
        </w:pict>
      </w:r>
    </w:p>
    <w:bookmarkEnd w:id="30"/>
    <w:bookmarkStart w:id="31" w:name="X778bb73b2883dc7a01d076f0d42582e992dacb1"/>
    <w:p>
      <w:pPr>
        <w:pStyle w:val="Heading2"/>
      </w:pPr>
      <w:r>
        <w:t xml:space="preserve">5. Secondary Scholarship Assessment (the interpretive layer named)</w:t>
      </w:r>
    </w:p>
    <w:p>
      <w:pPr>
        <w:pStyle w:val="FirstParagraph"/>
      </w:pPr>
      <w:r>
        <w:t xml:space="preserve">The reconstruction is read through, and must not silently absorb:</w:t>
      </w:r>
      <w:r>
        <w:t xml:space="preserve"> </w:t>
      </w:r>
      <w:r>
        <w:rPr>
          <w:bCs/>
          <w:b/>
        </w:rPr>
        <w:t xml:space="preserve">Philip Rousseau</w:t>
      </w:r>
      <w:r>
        <w:t xml:space="preserve"> </w:t>
      </w:r>
      <w:r>
        <w:t xml:space="preserve">(Basil of Caesarea) — the sober, de-idealizing Basil;</w:t>
      </w:r>
      <w:r>
        <w:t xml:space="preserve"> </w:t>
      </w:r>
      <w:r>
        <w:rPr>
          <w:bCs/>
          <w:b/>
        </w:rPr>
        <w:t xml:space="preserve">John McGuckin</w:t>
      </w:r>
      <w:r>
        <w:t xml:space="preserve"> </w:t>
      </w:r>
      <w:r>
        <w:t xml:space="preserve">(St Gregory of Nazianzus: An Intellectual Biography) —</w:t>
      </w:r>
      <w:r>
        <w:t xml:space="preserve"> </w:t>
      </w:r>
      <w:r>
        <w:rPr>
          <w:bCs/>
          <w:b/>
        </w:rPr>
        <w:t xml:space="preserve">the major sympathetic reconstruction of Nazianzen, generally treating his self-presentation as recoverable history rather than as a caution against it; the self-fashioning caution belongs to Neil McLynn (</w:t>
      </w:r>
      <w:r>
        <w:rPr>
          <w:bCs/>
          <w:b/>
        </w:rPr>
        <w:t xml:space="preserve">“</w:t>
      </w:r>
      <w:r>
        <w:rPr>
          <w:bCs/>
          <w:b/>
        </w:rPr>
        <w:t xml:space="preserve">Gregory Nazianzen’s Basil: The Literary Construction of a Christian Friendship</w:t>
      </w:r>
      <w:r>
        <w:rPr>
          <w:bCs/>
          <w:b/>
        </w:rPr>
        <w:t xml:space="preserve">”</w:t>
      </w:r>
      <w:r>
        <w:rPr>
          <w:bCs/>
          <w:b/>
        </w:rPr>
        <w:t xml:space="preserve">) and, differently, to Susanna Elm</w:t>
      </w:r>
      <w:r>
        <w:t xml:space="preserve">;</w:t>
      </w:r>
      <w:r>
        <w:t xml:space="preserve"> </w:t>
      </w:r>
      <w:r>
        <w:rPr>
          <w:bCs/>
          <w:b/>
        </w:rPr>
        <w:t xml:space="preserve">Neil McLynn</w:t>
      </w:r>
      <w:r>
        <w:t xml:space="preserve">, named here for the self-fashioning/self-reporting caution his work supplies (see §1.2);</w:t>
      </w:r>
      <w:r>
        <w:t xml:space="preserve"> </w:t>
      </w:r>
      <w:r>
        <w:rPr>
          <w:bCs/>
          <w:b/>
        </w:rPr>
        <w:t xml:space="preserve">Anna Silvas</w:t>
      </w:r>
      <w:r>
        <w:t xml:space="preserve"> </w:t>
      </w:r>
      <w:r>
        <w:t xml:space="preserve">(The Asketikon of St Basil the Great; Macrina the Younger) — asketikon textual history and the maximal-Macrina reading;</w:t>
      </w:r>
      <w:r>
        <w:t xml:space="preserve"> </w:t>
      </w:r>
      <w:r>
        <w:rPr>
          <w:bCs/>
          <w:b/>
        </w:rPr>
        <w:t xml:space="preserve">Susanna Elm</w:t>
      </w:r>
      <w:r>
        <w:t xml:space="preserve"> </w:t>
      </w:r>
      <w:r>
        <w:t xml:space="preserve">(Virgins of God; Sons of Hellenism) — the ascetic movement’s female and radical breadth before its Basilian ordering, and the Nazianzen-Julian paideia contest;</w:t>
      </w:r>
      <w:r>
        <w:t xml:space="preserve"> </w:t>
      </w:r>
      <w:r>
        <w:rPr>
          <w:bCs/>
          <w:b/>
        </w:rPr>
        <w:t xml:space="preserve">Elizabeth A. Clark</w:t>
      </w:r>
      <w:r>
        <w:t xml:space="preserve"> </w:t>
      </w:r>
      <w:r>
        <w:t xml:space="preserve">(</w:t>
      </w:r>
      <w:r>
        <w:t xml:space="preserve">“</w:t>
      </w:r>
      <w:r>
        <w:t xml:space="preserve">The Lady Vanishes,</w:t>
      </w:r>
      <w:r>
        <w:t xml:space="preserve">”</w:t>
      </w:r>
      <w:r>
        <w:t xml:space="preserve"> </w:t>
      </w:r>
      <w:r>
        <w:t xml:space="preserve">Church History 67, 1998) — newly named here as the canonical skeptical position on recovering Macrina’s own voice through Gregory’s literary frame, previously present in substance (§6,</w:t>
      </w:r>
      <w:r>
        <w:t xml:space="preserve"> </w:t>
      </w:r>
      <w:r>
        <w:t xml:space="preserve">“</w:t>
      </w:r>
      <w:r>
        <w:t xml:space="preserve">literary-construction readings</w:t>
      </w:r>
      <w:r>
        <w:t xml:space="preserve">”</w:t>
      </w:r>
      <w:r>
        <w:t xml:space="preserve">) with no author attached;</w:t>
      </w:r>
      <w:r>
        <w:t xml:space="preserve"> </w:t>
      </w:r>
      <w:r>
        <w:rPr>
          <w:bCs/>
          <w:b/>
        </w:rPr>
        <w:t xml:space="preserve">Raymond Van Dam</w:t>
      </w:r>
      <w:r>
        <w:t xml:space="preserve"> </w:t>
      </w:r>
      <w:r>
        <w:t xml:space="preserve">(the Cappadocia trilogy: Kingdom of Snow; Families and Friends; Becoming Christian) — region, family, and friendship as the world’s real machinery;</w:t>
      </w:r>
      <w:r>
        <w:t xml:space="preserve"> </w:t>
      </w:r>
      <w:r>
        <w:rPr>
          <w:bCs/>
          <w:b/>
        </w:rPr>
        <w:t xml:space="preserve">Andrea Sterk</w:t>
      </w:r>
      <w:r>
        <w:t xml:space="preserve"> </w:t>
      </w:r>
      <w:r>
        <w:t xml:space="preserve">(Renouncing the World Yet Leading the Church) — the monk-bishop model as this world’s export;</w:t>
      </w:r>
      <w:r>
        <w:t xml:space="preserve"> </w:t>
      </w:r>
      <w:r>
        <w:rPr>
          <w:bCs/>
          <w:b/>
        </w:rPr>
        <w:t xml:space="preserve">Susan Holman</w:t>
      </w:r>
      <w:r>
        <w:t xml:space="preserve"> </w:t>
      </w:r>
      <w:r>
        <w:t xml:space="preserve">(The Hungry Are Dying) — the poverty homilies and the poorhouse complex in civic context;</w:t>
      </w:r>
      <w:r>
        <w:t xml:space="preserve"> </w:t>
      </w:r>
      <w:r>
        <w:rPr>
          <w:bCs/>
          <w:b/>
        </w:rPr>
        <w:t xml:space="preserve">Peter Brown</w:t>
      </w:r>
      <w:r>
        <w:t xml:space="preserve">, specifically</w:t>
      </w:r>
      <w:r>
        <w:t xml:space="preserve"> </w:t>
      </w:r>
      <w:r>
        <w:rPr>
          <w:iCs/>
          <w:i/>
          <w:bCs/>
          <w:b/>
        </w:rPr>
        <w:t xml:space="preserve">Poverty and Leadership in the Later Roman Empire</w:t>
      </w:r>
      <w:r>
        <w:t xml:space="preserve"> </w:t>
      </w:r>
      <w:r>
        <w:t xml:space="preserve">(2002) — the directly relevant Brown for this world’s own material, engaging precisely Holman’s territory;</w:t>
      </w:r>
      <w:r>
        <w:t xml:space="preserve"> </w:t>
      </w:r>
      <w:r>
        <w:rPr>
          <w:bCs/>
          <w:b/>
        </w:rPr>
        <w:t xml:space="preserve">Stephen Mitchell</w:t>
      </w:r>
      <w:r>
        <w:t xml:space="preserve"> </w:t>
      </w:r>
      <w:r>
        <w:t xml:space="preserve">(</w:t>
      </w:r>
      <w:r>
        <w:rPr>
          <w:iCs/>
          <w:i/>
        </w:rPr>
        <w:t xml:space="preserve">Anatolia</w:t>
      </w:r>
      <w:r>
        <w:t xml:space="preserve">) — newly named as the ancient-historian support this document’s regional social-economic claims actually need, alongside Van Dam, rather than resting on Van Dam alone;</w:t>
      </w:r>
      <w:r>
        <w:t xml:space="preserve"> </w:t>
      </w:r>
      <w:r>
        <w:rPr>
          <w:bCs/>
          <w:b/>
        </w:rPr>
        <w:t xml:space="preserve">Jean Gribomont</w:t>
      </w:r>
      <w:r>
        <w:t xml:space="preserve"> </w:t>
      </w:r>
      <w:r>
        <w:t xml:space="preserve">(the Asketikon’s history; Basil’s debt to Eustathius, and the Small Asketikon’s priority per §1.1);</w:t>
      </w:r>
      <w:r>
        <w:t xml:space="preserve"> </w:t>
      </w:r>
      <w:r>
        <w:rPr>
          <w:bCs/>
          <w:b/>
        </w:rPr>
        <w:t xml:space="preserve">Volker Drecoll</w:t>
      </w:r>
      <w:r>
        <w:t xml:space="preserve"> </w:t>
      </w:r>
      <w:r>
        <w:t xml:space="preserve">— newly named, standard on Basil’s trinitarian development and directly relevant to the Ep. 38 authorship question (§1.1);</w:t>
      </w:r>
      <w:r>
        <w:t xml:space="preserve"> </w:t>
      </w:r>
      <w:r>
        <w:rPr>
          <w:bCs/>
          <w:b/>
        </w:rPr>
        <w:t xml:space="preserve">Paul Fedwick</w:t>
      </w:r>
      <w:r>
        <w:t xml:space="preserve"> </w:t>
      </w:r>
      <w:r>
        <w:t xml:space="preserve">— newly named, standard on Basil’s manuscript transmission (§1.1);</w:t>
      </w:r>
      <w:r>
        <w:t xml:space="preserve"> </w:t>
      </w:r>
      <w:r>
        <w:rPr>
          <w:bCs/>
          <w:b/>
        </w:rPr>
        <w:t xml:space="preserve">Daniel Caner</w:t>
      </w:r>
      <w:r>
        <w:t xml:space="preserve"> </w:t>
      </w:r>
      <w:r>
        <w:t xml:space="preserve">(Wandering, Begging Monks) — the radical-ascetic background;</w:t>
      </w:r>
      <w:r>
        <w:t xml:space="preserve"> </w:t>
      </w:r>
      <w:r>
        <w:rPr>
          <w:bCs/>
          <w:b/>
        </w:rPr>
        <w:t xml:space="preserve">Columba Stewart</w:t>
      </w:r>
      <w:r>
        <w:t xml:space="preserve"> </w:t>
      </w:r>
      <w:r>
        <w:t xml:space="preserve">(</w:t>
      </w:r>
      <w:r>
        <w:t xml:space="preserve">‘</w:t>
      </w:r>
      <w:r>
        <w:t xml:space="preserve">Working the Earth of the Heart</w:t>
      </w:r>
      <w:r>
        <w:t xml:space="preserve">’</w:t>
      </w:r>
      <w:r>
        <w:t xml:space="preserve">) — newly named as the standard work on Messalianism specifically, previously credited to Caner alone;</w:t>
      </w:r>
      <w:r>
        <w:t xml:space="preserve"> </w:t>
      </w:r>
      <w:r>
        <w:rPr>
          <w:bCs/>
          <w:b/>
        </w:rPr>
        <w:t xml:space="preserve">Lewis Ayres</w:t>
      </w:r>
      <w:r>
        <w:t xml:space="preserve"> </w:t>
      </w:r>
      <w:r>
        <w:t xml:space="preserve">(Nicaea and Its Legacy) — the anti-de-Régnon case against a strong East/West Trinitarian divide and</w:t>
      </w:r>
      <w:r>
        <w:t xml:space="preserve"> </w:t>
      </w:r>
      <w:r>
        <w:t xml:space="preserve">“</w:t>
      </w:r>
      <w:r>
        <w:t xml:space="preserve">pro-Nicene</w:t>
      </w:r>
      <w:r>
        <w:t xml:space="preserve">”</w:t>
      </w:r>
      <w:r>
        <w:t xml:space="preserve"> </w:t>
      </w:r>
      <w:r>
        <w:t xml:space="preserve">as shared strategies emerging c. 360–380;</w:t>
      </w:r>
      <w:r>
        <w:t xml:space="preserve"> </w:t>
      </w:r>
      <w:r>
        <w:rPr>
          <w:bCs/>
          <w:b/>
        </w:rPr>
        <w:t xml:space="preserve">John Behr</w:t>
      </w:r>
      <w:r>
        <w:t xml:space="preserve"> </w:t>
      </w:r>
      <w:r>
        <w:t xml:space="preserve">(The Nicene Faith) — a distinct, substantially exegetical-soteriological project, not merged with Ayres;</w:t>
      </w:r>
      <w:r>
        <w:t xml:space="preserve"> </w:t>
      </w:r>
      <w:r>
        <w:rPr>
          <w:bCs/>
          <w:b/>
        </w:rPr>
        <w:t xml:space="preserve">Michel René Barnes</w:t>
      </w:r>
      <w:r>
        <w:t xml:space="preserve"> </w:t>
      </w:r>
      <w:r>
        <w:t xml:space="preserve">— newly named, a further major contributor (alongside Ayres and Behr, not folded into them) to dismantling the older</w:t>
      </w:r>
      <w:r>
        <w:t xml:space="preserve"> </w:t>
      </w:r>
      <w:r>
        <w:t xml:space="preserve">“</w:t>
      </w:r>
      <w:r>
        <w:t xml:space="preserve">Cappadocian settlement</w:t>
      </w:r>
      <w:r>
        <w:t xml:space="preserve">”</w:t>
      </w:r>
      <w:r>
        <w:t xml:space="preserve"> </w:t>
      </w:r>
      <w:r>
        <w:t xml:space="preserve">textbook narrative;</w:t>
      </w:r>
      <w:r>
        <w:t xml:space="preserve"> </w:t>
      </w:r>
      <w:r>
        <w:rPr>
          <w:bCs/>
          <w:b/>
        </w:rPr>
        <w:t xml:space="preserve">Khaled Anatolios</w:t>
      </w:r>
      <w:r>
        <w:t xml:space="preserve"> </w:t>
      </w:r>
      <w:r>
        <w:t xml:space="preserve">(Retrieving Nicaea) and</w:t>
      </w:r>
      <w:r>
        <w:t xml:space="preserve"> </w:t>
      </w:r>
      <w:r>
        <w:rPr>
          <w:bCs/>
          <w:b/>
        </w:rPr>
        <w:t xml:space="preserve">Brian Daley</w:t>
      </w:r>
      <w:r>
        <w:t xml:space="preserve"> </w:t>
      </w:r>
      <w:r>
        <w:t xml:space="preserve">(Gregory of Nazianzus) — named here for their standard contributions to the pro-Nicene reconstruction and to Nazianzen studies respectively;</w:t>
      </w:r>
      <w:r>
        <w:t xml:space="preserve"> </w:t>
      </w:r>
      <w:r>
        <w:rPr>
          <w:bCs/>
          <w:b/>
        </w:rPr>
        <w:t xml:space="preserve">Christopher Beeley</w:t>
      </w:r>
      <w:r>
        <w:t xml:space="preserve"> </w:t>
      </w:r>
      <w:r>
        <w:t xml:space="preserve">— newly named, a major recent monograph on Nazianzen’s Trinitarian theology bearing directly on the</w:t>
      </w:r>
      <w:r>
        <w:t xml:space="preserve"> </w:t>
      </w:r>
      <w:r>
        <w:t xml:space="preserve">“</w:t>
      </w:r>
      <w:r>
        <w:t xml:space="preserve">Cappadocian settlement</w:t>
      </w:r>
      <w:r>
        <w:t xml:space="preserve">”</w:t>
      </w:r>
      <w:r>
        <w:t xml:space="preserve"> </w:t>
      </w:r>
      <w:r>
        <w:t xml:space="preserve">debate;</w:t>
      </w:r>
      <w:r>
        <w:t xml:space="preserve"> </w:t>
      </w:r>
      <w:r>
        <w:rPr>
          <w:bCs/>
          <w:b/>
        </w:rPr>
        <w:t xml:space="preserve">Morwenna Ludlow</w:t>
      </w:r>
      <w:r>
        <w:t xml:space="preserve"> </w:t>
      </w:r>
      <w:r>
        <w:t xml:space="preserve">(Nyssen’s modern reception — a named risk: reading twentieth-century Nyssen back into the fourth century) and</w:t>
      </w:r>
      <w:r>
        <w:t xml:space="preserve"> </w:t>
      </w:r>
      <w:r>
        <w:rPr>
          <w:bCs/>
          <w:b/>
        </w:rPr>
        <w:t xml:space="preserve">Sarah Coakley</w:t>
      </w:r>
      <w:r>
        <w:t xml:space="preserve">, editor of</w:t>
      </w:r>
      <w:r>
        <w:t xml:space="preserve"> </w:t>
      </w:r>
      <w:r>
        <w:rPr>
          <w:iCs/>
          <w:i/>
        </w:rPr>
        <w:t xml:space="preserve">Re-thinking Gregory of Nyssa</w:t>
      </w:r>
      <w:r>
        <w:t xml:space="preserve"> </w:t>
      </w:r>
      <w:r>
        <w:t xml:space="preserve">(2003, an edited volume, not a single-author monograph) — the volume’s own introduction (Coakley’s) frames the case against the social-trinitarian misreading of</w:t>
      </w:r>
      <w:r>
        <w:t xml:space="preserve"> </w:t>
      </w:r>
      <w:r>
        <w:rPr>
          <w:iCs/>
          <w:i/>
        </w:rPr>
        <w:t xml:space="preserve">Ad Ablabium</w:t>
      </w:r>
      <w:r>
        <w:t xml:space="preserve">; the essay that actually makes that argument in detail is Lewis Ayres’ contribution to the same volume (</w:t>
      </w:r>
      <w:r>
        <w:t xml:space="preserve">“</w:t>
      </w:r>
      <w:r>
        <w:t xml:space="preserve">On Not Three People</w:t>
      </w:r>
      <w:r>
        <w:t xml:space="preserve">”</w:t>
      </w:r>
      <w:r>
        <w:t xml:space="preserve">), so Ayres (already named above for</w:t>
      </w:r>
      <w:r>
        <w:t xml:space="preserve"> </w:t>
      </w:r>
      <w:r>
        <w:rPr>
          <w:iCs/>
          <w:i/>
        </w:rPr>
        <w:t xml:space="preserve">Nicaea and Its Legacy</w:t>
      </w:r>
      <w:r>
        <w:t xml:space="preserve">) is this debate’s second citation there, not Coakley alone. Either way, this position belongs under debate (1) below, not filed only under the modern-reception risk Ludlow’s work addresses.</w:t>
      </w:r>
    </w:p>
    <w:p>
      <w:pPr>
        <w:pStyle w:val="BodyText"/>
      </w:pPr>
      <w:r>
        <w:rPr>
          <w:bCs/>
          <w:b/>
        </w:rPr>
        <w:t xml:space="preserve">Named debates carried at full strength:</w:t>
      </w:r>
      <w:r>
        <w:t xml:space="preserve"> </w:t>
      </w:r>
      <w:r>
        <w:t xml:space="preserve">(1) whether</w:t>
      </w:r>
      <w:r>
        <w:t xml:space="preserve"> </w:t>
      </w:r>
      <w:r>
        <w:t xml:space="preserve">“</w:t>
      </w:r>
      <w:r>
        <w:t xml:space="preserve">Cappadocian theology</w:t>
      </w:r>
      <w:r>
        <w:t xml:space="preserve">”</w:t>
      </w:r>
      <w:r>
        <w:t xml:space="preserve"> </w:t>
      </w:r>
      <w:r>
        <w:t xml:space="preserve">is one coherent settlement at all, and the older</w:t>
      </w:r>
      <w:r>
        <w:t xml:space="preserve"> </w:t>
      </w:r>
      <w:r>
        <w:rPr>
          <w:iCs/>
          <w:i/>
        </w:rPr>
        <w:t xml:space="preserve">ousia/hypostasis</w:t>
      </w:r>
      <w:r>
        <w:t xml:space="preserve">-as-agreed-formula textbook story versus the Ayres/Behr/Barnes line, with Coakley’s</w:t>
      </w:r>
      <w:r>
        <w:t xml:space="preserve"> </w:t>
      </w:r>
      <w:r>
        <w:rPr>
          <w:iCs/>
          <w:i/>
        </w:rPr>
        <w:t xml:space="preserve">Ad Ablabium</w:t>
      </w:r>
      <w:r>
        <w:t xml:space="preserve"> </w:t>
      </w:r>
      <w:r>
        <w:t xml:space="preserve">argument now a direct participant in this debate rather than filed elsewhere (Contested — this build must not let the Representative recite a nineteenth-century dogmatics summary); (2) Macrina’s recoverability (Silvas’ maximal reading against Clark’s and others’ literary-construction readings — now both sides named); (3) Basil’s death date (</w:t>
      </w:r>
      <w:r>
        <w:rPr>
          <w:bCs/>
          <w:b/>
        </w:rPr>
        <w:t xml:space="preserve">377</w:t>
      </w:r>
      <w:r>
        <w:t xml:space="preserve"> </w:t>
      </w:r>
      <w:r>
        <w:t xml:space="preserve">by the redating literature; 379 traditional — corrected throughout §1.1); (4) Basil’s debt to Eustathius and how original the Basilian koinobion is (Gribomont’s</w:t>
      </w:r>
      <w:r>
        <w:t xml:space="preserve"> </w:t>
      </w:r>
      <w:r>
        <w:t xml:space="preserve">“</w:t>
      </w:r>
      <w:r>
        <w:t xml:space="preserve">reformed Eustathianism</w:t>
      </w:r>
      <w:r>
        <w:t xml:space="preserve">”</w:t>
      </w:r>
      <w:r>
        <w:t xml:space="preserve"> </w:t>
      </w:r>
      <w:r>
        <w:t xml:space="preserve">carried, now with the Small/Great Asketikon distinction as part of the same question); (5) the Philocalia’s attribution (traditional Basil–Nazianzen compilation; now questioned); (6) how far Nazianzen’s accounts of Sasima, Basil, and Constantinople can be trusted as history rather than apologia (the McGuckin-corrected, McLynn-grounded caution, §1.2); (7) the historicity texture of Oration 43’s Valens/Modestus scenes; (8) the coherence of</w:t>
      </w:r>
      <w:r>
        <w:t xml:space="preserve"> </w:t>
      </w:r>
      <w:r>
        <w:t xml:space="preserve">“</w:t>
      </w:r>
      <w:r>
        <w:t xml:space="preserve">Messalianism</w:t>
      </w:r>
      <w:r>
        <w:t xml:space="preserve">”</w:t>
      </w:r>
      <w:r>
        <w:t xml:space="preserve"> </w:t>
      </w:r>
      <w:r>
        <w:t xml:space="preserve">as a movement (Caner and Stewart, not Caner alone); (9) how much Origenism the circle transmitted and how deliberately (the anthology question), separately from the question of whether Nyssen’s own transmission was shaped by later unease about it, which this document now carries as Contested rather than Widely Accepted (§1.3); (10) whether Basil deliberately withheld calling the Spirit</w:t>
      </w:r>
      <w:r>
        <w:t xml:space="preserve"> </w:t>
      </w:r>
      <w:r>
        <w:t xml:space="preserve">“</w:t>
      </w:r>
      <w:r>
        <w:t xml:space="preserve">God</w:t>
      </w:r>
      <w:r>
        <w:t xml:space="preserve">”</w:t>
      </w:r>
      <w:r>
        <w:t xml:space="preserve"> </w:t>
      </w:r>
      <w:r>
        <w:t xml:space="preserve">and</w:t>
      </w:r>
      <w:r>
        <w:t xml:space="preserve"> </w:t>
      </w:r>
      <w:r>
        <w:t xml:space="preserve">“</w:t>
      </w:r>
      <w:r>
        <w:t xml:space="preserve">homoousios</w:t>
      </w:r>
      <w:r>
        <w:t xml:space="preserve">”</w:t>
      </w:r>
      <w:r>
        <w:t xml:space="preserve"> </w:t>
      </w:r>
      <w:r>
        <w:t xml:space="preserve">(the</w:t>
      </w:r>
      <w:r>
        <w:t xml:space="preserve"> </w:t>
      </w:r>
      <w:r>
        <w:rPr>
          <w:iCs/>
          <w:i/>
        </w:rPr>
        <w:t xml:space="preserve">oikonomia</w:t>
      </w:r>
      <w:r>
        <w:t xml:space="preserve">/reserve debate — in-period evidence exists on both sides: Basil’s own caution, and Gregory Nazianzen’s defense of it against ascetic critics impatient with it — Documented at work level; the dispute about his motives is Contested;</w:t>
      </w:r>
      <w:r>
        <w:t xml:space="preserve"> </w:t>
      </w:r>
      <w:r>
        <w:rPr>
          <w:bCs/>
          <w:b/>
        </w:rPr>
        <w:t xml:space="preserve">this remains the most precisely stated item in this section and is unchanged by this revision</w:t>
      </w:r>
      <w:r>
        <w:t xml:space="preserve">); (11) whether the Basil–Libanius correspondence is genuine at all (§1.1, §1.6 — newly carried here as its own debate, not folded silently into an</w:t>
      </w:r>
      <w:r>
        <w:t xml:space="preserve"> </w:t>
      </w:r>
      <w:r>
        <w:t xml:space="preserve">“</w:t>
      </w:r>
      <w:r>
        <w:t xml:space="preserve">authenticity of parts</w:t>
      </w:r>
      <w:r>
        <w:t xml:space="preserve">”</w:t>
      </w:r>
      <w:r>
        <w:t xml:space="preserve"> </w:t>
      </w:r>
      <w:r>
        <w:t xml:space="preserve">note).</w:t>
      </w:r>
    </w:p>
    <w:p>
      <w:r>
        <w:pict>
          <v:rect style="width:0;height:1.5pt" o:hralign="center" o:hrstd="t" o:hr="t"/>
        </w:pict>
      </w:r>
    </w:p>
    <w:bookmarkEnd w:id="31"/>
    <w:bookmarkStart w:id="32" w:name="X0c04cb110c451cf68ab2295dfe5a8fbf7192ace"/>
    <w:p>
      <w:pPr>
        <w:pStyle w:val="Heading2"/>
      </w:pPr>
      <w:r>
        <w:t xml:space="preserve">6. Source Asymmetry, Missing Voices, and the Article 20 Duty</w:t>
      </w:r>
    </w:p>
    <w:p>
      <w:pPr>
        <w:pStyle w:val="FirstParagraph"/>
      </w:pPr>
      <w:r>
        <w:rPr>
          <w:bCs/>
          <w:b/>
        </w:rPr>
        <w:t xml:space="preserve">Overrepresented:</w:t>
      </w:r>
      <w:r>
        <w:t xml:space="preserve"> </w:t>
      </w:r>
      <w:r>
        <w:t xml:space="preserve">one extended family and one friendship network; metropolitan-level bishops; Athens-trained rhetorical prose; the winning side of every controversy the world fought; the ascetic movement’s</w:t>
      </w:r>
      <w:r>
        <w:t xml:space="preserve"> </w:t>
      </w:r>
      <w:r>
        <w:rPr>
          <w:iCs/>
          <w:i/>
        </w:rPr>
        <w:t xml:space="preserve">reformers</w:t>
      </w:r>
      <w:r>
        <w:t xml:space="preserve"> </w:t>
      </w:r>
      <w:r>
        <w:t xml:space="preserve">(over its rank and file and its radicals); Caesarea and the Iris valley over the plateau villages.</w:t>
      </w:r>
    </w:p>
    <w:p>
      <w:pPr>
        <w:pStyle w:val="BodyText"/>
      </w:pPr>
      <w:r>
        <w:rPr>
          <w:bCs/>
          <w:b/>
        </w:rPr>
        <w:t xml:space="preserve">Underrepresented or structurally absent — named, with cause, and now with the against-the-grain evidence this document’s own rule licenses actually used where it exists:</w:t>
      </w:r>
    </w:p>
    <w:p>
      <w:pPr>
        <w:numPr>
          <w:ilvl w:val="0"/>
          <w:numId w:val="1005"/>
        </w:numPr>
        <w:pStyle w:val="Compact"/>
      </w:pPr>
      <w:r>
        <w:rPr>
          <w:bCs/>
          <w:b/>
        </w:rPr>
        <w:t xml:space="preserve">Women.</w:t>
      </w:r>
      <w:r>
        <w:t xml:space="preserve"> </w:t>
      </w:r>
      <w:r>
        <w:t xml:space="preserve">The world’s most celebrated woman teacher survives only in her brother’s literary frame (§1.4); Nonna, Gorgonia,</w:t>
      </w:r>
      <w:r>
        <w:t xml:space="preserve"> </w:t>
      </w:r>
      <w:r>
        <w:rPr>
          <w:bCs/>
          <w:b/>
        </w:rPr>
        <w:t xml:space="preserve">Theosebia</w:t>
      </w:r>
      <w:r>
        <w:t xml:space="preserve"> </w:t>
      </w:r>
      <w:r>
        <w:t xml:space="preserve">(honored in</w:t>
      </w:r>
      <w:r>
        <w:t xml:space="preserve"> </w:t>
      </w:r>
      <w:r>
        <w:rPr>
          <w:bCs/>
          <w:b/>
        </w:rPr>
        <w:t xml:space="preserve">Gregory of Nazianzus’ Epistle 197</w:t>
      </w:r>
      <w:r>
        <w:t xml:space="preserve">, a letter of consolation addressed</w:t>
      </w:r>
      <w:r>
        <w:t xml:space="preserve"> </w:t>
      </w:r>
      <w:r>
        <w:rPr>
          <w:iCs/>
          <w:i/>
        </w:rPr>
        <w:t xml:space="preserve">to</w:t>
      </w:r>
      <w:r>
        <w:t xml:space="preserve"> </w:t>
      </w:r>
      <w:r>
        <w:t xml:space="preserve">Gregory of Nyssa on her death — the praise comes from outside her own household, not from a family member describing her, though it does not escape §7’s own transmission finding: Nazianzen is a member of the same friendship network this document elsewhere calls the world’s dominant transmission channel (§7; Doc_01 §4’s</w:t>
      </w:r>
      <w:r>
        <w:t xml:space="preserve"> </w:t>
      </w:r>
      <w:r>
        <w:t xml:space="preserve">“</w:t>
      </w:r>
      <w:r>
        <w:t xml:space="preserve">one household and one friendship network</w:t>
      </w:r>
      <w:r>
        <w:t xml:space="preserve">”</w:t>
      </w:r>
      <w:r>
        <w:t xml:space="preserve">), so this is corroboration from within the circle’s own record, not independent of it in the stronger sense the phrase might suggest; whether Theosebia was Nyssen’s wife or his sister is itself disputed and should be carried as such); the sisterhoods wrote nothing that survives. Cause: literary production and transmission gate-kept by male clergy; female ascetic literacy real (the Vita presents Macrina as Scripture-formed) but unpublished.</w:t>
      </w:r>
      <w:r>
        <w:t xml:space="preserve"> </w:t>
      </w:r>
      <w:r>
        <w:rPr>
          <w:bCs/>
          <w:b/>
        </w:rPr>
        <w:t xml:space="preserve">Against-the-grain evidence now used, not just available:</w:t>
      </w:r>
      <w:r>
        <w:t xml:space="preserve"> </w:t>
      </w:r>
      <w:r>
        <w:t xml:space="preserve">Gangra canons 13 and 17 (the council’s own hostile catalogue of what radical female ascetics actually did — women wearing men’s clothing, cutting their hair);</w:t>
      </w:r>
      <w:r>
        <w:t xml:space="preserve"> </w:t>
      </w:r>
      <w:r>
        <w:rPr>
          <w:bCs/>
          <w:b/>
        </w:rPr>
        <w:t xml:space="preserve">Basil’s canon 21</w:t>
      </w:r>
      <w:r>
        <w:t xml:space="preserve"> </w:t>
      </w:r>
      <w:r>
        <w:t xml:space="preserve">(inside his canonical Epistle 199, to Amphilochius — not to be confused with Basil’s separate Epistle 21, a different letter entirely; cite as</w:t>
      </w:r>
      <w:r>
        <w:t xml:space="preserve"> </w:t>
      </w:r>
      <w:r>
        <w:t xml:space="preserve">“</w:t>
      </w:r>
      <w:r>
        <w:t xml:space="preserve">canon 21</w:t>
      </w:r>
      <w:r>
        <w:t xml:space="preserve">”</w:t>
      </w:r>
      <w:r>
        <w:t xml:space="preserve"> </w:t>
      </w:r>
      <w:r>
        <w:t xml:space="preserve">or</w:t>
      </w:r>
      <w:r>
        <w:t xml:space="preserve"> </w:t>
      </w:r>
      <w:r>
        <w:t xml:space="preserve">“</w:t>
      </w:r>
      <w:r>
        <w:t xml:space="preserve">Ep. 199, canon 21,</w:t>
      </w:r>
      <w:r>
        <w:t xml:space="preserve">”</w:t>
      </w:r>
      <w:r>
        <w:t xml:space="preserve"> </w:t>
      </w:r>
      <w:r>
        <w:t xml:space="preserve">never as</w:t>
      </w:r>
      <w:r>
        <w:t xml:space="preserve"> </w:t>
      </w:r>
      <w:r>
        <w:t xml:space="preserve">“</w:t>
      </w:r>
      <w:r>
        <w:t xml:space="preserve">Epistle 21</w:t>
      </w:r>
      <w:r>
        <w:t xml:space="preserve">”</w:t>
      </w:r>
      <w:r>
        <w:t xml:space="preserve">), in which Basil himself registers that the customary discipline punishes the adulterous wife and not the husband, and states plainly that he cannot account for the double standard — the sharpest in-world acknowledgment of gendered discipline, from the very corpus this document calls its best window on ordinary village sin;</w:t>
      </w:r>
      <w:r>
        <w:t xml:space="preserve"> </w:t>
      </w:r>
      <w:r>
        <w:rPr>
          <w:bCs/>
          <w:b/>
        </w:rPr>
        <w:t xml:space="preserve">Macrina the Elder</w:t>
      </w:r>
      <w:r>
        <w:t xml:space="preserve"> </w:t>
      </w:r>
      <w:r>
        <w:t xml:space="preserve">(§1.4), a documented female formation-agent not mediated through her granddaughter’s literary frame; Emmelia’s acquisition and enshrinement of the Forty Martyrs’ relics (§3). Participant-facing absence (to be named in encounter), not merely noted here.</w:t>
      </w:r>
    </w:p>
    <w:p>
      <w:pPr>
        <w:numPr>
          <w:ilvl w:val="0"/>
          <w:numId w:val="1005"/>
        </w:numPr>
        <w:pStyle w:val="Compact"/>
      </w:pPr>
      <w:r>
        <w:rPr>
          <w:bCs/>
          <w:b/>
        </w:rPr>
        <w:t xml:space="preserve">The rural poor and the plateau countryside</w:t>
      </w:r>
      <w:r>
        <w:t xml:space="preserve"> </w:t>
      </w:r>
      <w:r>
        <w:t xml:space="preserve">— visible as famine victims, festival crowds, penitents in the canons, and objects of the poverty homilies; almost never speakers. Cause: genre and language — no channel transmitted peasant speech; partial against-the-grain recovery via the canonical letters (what sins village discipline actually processed) and the homilies’ asides about their hearers. Also add:</w:t>
      </w:r>
      <w:r>
        <w:t xml:space="preserve"> </w:t>
      </w:r>
      <w:r>
        <w:rPr>
          <w:bCs/>
          <w:b/>
        </w:rPr>
        <w:t xml:space="preserve">the chorepiscopoi correspondence</w:t>
      </w:r>
      <w:r>
        <w:t xml:space="preserve"> </w:t>
      </w:r>
      <w:r>
        <w:t xml:space="preserve">(Basil Epp. 53, 54) on rural clergy, ordination-selling, and village clergy numbers — a further against-the-grain window this document names among Documented institutional forms (§9) but had not connected here.</w:t>
      </w:r>
    </w:p>
    <w:p>
      <w:pPr>
        <w:numPr>
          <w:ilvl w:val="0"/>
          <w:numId w:val="1005"/>
        </w:numPr>
        <w:pStyle w:val="Compact"/>
      </w:pPr>
      <w:r>
        <w:rPr>
          <w:bCs/>
          <w:b/>
        </w:rPr>
        <w:t xml:space="preserve">The enslaved</w:t>
      </w:r>
      <w:r>
        <w:t xml:space="preserve"> </w:t>
      </w:r>
      <w:r>
        <w:t xml:space="preserve">— pervasive (a regional economy in which slave export was a longstanding byword; households and even communities with enslaved persons; Nyssen’s homily attacking slaveholding as such attests the practice among his hearers; the Asketikon legislates for slaves who flee to the brotherhoods — counsel of amelioration within the institution, stated without laundering). Cause: total exclusion from literary production, as authors.</w:t>
      </w:r>
      <w:r>
        <w:t xml:space="preserve"> </w:t>
      </w:r>
      <w:r>
        <w:rPr>
          <w:bCs/>
          <w:b/>
        </w:rPr>
        <w:t xml:space="preserve">This document previously let that cause do more work than it should: exclusion from</w:t>
      </w:r>
      <w:r>
        <w:rPr>
          <w:bCs/>
          <w:b/>
        </w:rPr>
        <w:t xml:space="preserve"> </w:t>
      </w:r>
      <w:r>
        <w:rPr>
          <w:iCs/>
          <w:i/>
          <w:bCs/>
          <w:b/>
        </w:rPr>
        <w:t xml:space="preserve">authorship</w:t>
      </w:r>
      <w:r>
        <w:rPr>
          <w:bCs/>
          <w:b/>
        </w:rPr>
        <w:t xml:space="preserve"> </w:t>
      </w:r>
      <w:r>
        <w:rPr>
          <w:bCs/>
          <w:b/>
        </w:rPr>
        <w:t xml:space="preserve">is not the same as exclusion from every trace, and this document’s own rule licenses using what actually exists</w:t>
      </w:r>
      <w:r>
        <w:t xml:space="preserve"> </w:t>
      </w:r>
      <w:r>
        <w:t xml:space="preserve">— Basil’s canons 40 and 42 (on the marriages of enslaved persons contracted without an owner’s consent), Gangra canon 3, the Asketikon’s runaway-slave provisions, the Vita’s claim of a freed maidservant among Macrina’s community, and Gregory of Nazianzus’ own will, which manumits slaves he owned. The world contains, in Nyssen’s homily, antiquity’s sharpest surviving protest against slavery itself — carried here as a real and important fact, not as a closing rhetorical flourish that lets the absence stand in for analysis.</w:t>
      </w:r>
    </w:p>
    <w:p>
      <w:pPr>
        <w:numPr>
          <w:ilvl w:val="0"/>
          <w:numId w:val="1005"/>
        </w:numPr>
        <w:pStyle w:val="Compact"/>
      </w:pPr>
      <w:r>
        <w:rPr>
          <w:bCs/>
          <w:b/>
        </w:rPr>
        <w:t xml:space="preserve">The ordinary brothers and sisters of the communities</w:t>
      </w:r>
      <w:r>
        <w:t xml:space="preserve"> </w:t>
      </w:r>
      <w:r>
        <w:t xml:space="preserve">— the Rules address them; the questions embedded in the Shorter Rules are the nearest trace of their actual voices (questions asked at community meetings, mediated by the answerer — against-the-grain value, used in this build). Cause: the legislator’s genre absorbed the community’s speech.</w:t>
      </w:r>
    </w:p>
    <w:p>
      <w:pPr>
        <w:numPr>
          <w:ilvl w:val="0"/>
          <w:numId w:val="1005"/>
        </w:numPr>
        <w:pStyle w:val="Compact"/>
      </w:pPr>
      <w:r>
        <w:rPr>
          <w:bCs/>
          <w:b/>
        </w:rPr>
        <w:t xml:space="preserve">The defeated parties</w:t>
      </w:r>
      <w:r>
        <w:t xml:space="preserve"> </w:t>
      </w:r>
      <w:r>
        <w:t xml:space="preserve">— Eunomius partially self-voiced (the exception, §1.5, now with his 383 confession also counted); the Pneumatomachians, the Homoian church of the region, the censured radicals of Gangra, the later Messalian-adjacent enthusiasts: all transmitted by enemies. Cause: doctrinal victory-selection plus (past the horizon) imperial book-burning (398 — outside the window, shaping what reached us).</w:t>
      </w:r>
    </w:p>
    <w:p>
      <w:pPr>
        <w:numPr>
          <w:ilvl w:val="0"/>
          <w:numId w:val="1005"/>
        </w:numPr>
        <w:pStyle w:val="Compact"/>
      </w:pPr>
      <w:r>
        <w:rPr>
          <w:bCs/>
          <w:b/>
        </w:rPr>
        <w:t xml:space="preserve">The non-Greek-speaking faithful</w:t>
      </w:r>
      <w:r>
        <w:t xml:space="preserve"> </w:t>
      </w:r>
      <w:r>
        <w:t xml:space="preserve">— attested as a regional reality (Widely Accepted). This world’s own ascetic legislation, the Small Asketikon (§1.1), does not survive in Greek at all: its earliest recoverable form exists only in Rufinus’ Latin translation, made in Italy, and in a Syriac version transmitted among Syriac-speaking Christians in Mesopotamia — real non-Greek transmission</w:t>
      </w:r>
      <w:r>
        <w:t xml:space="preserve"> </w:t>
      </w:r>
      <w:r>
        <w:rPr>
          <w:iCs/>
          <w:i/>
        </w:rPr>
        <w:t xml:space="preserve">of</w:t>
      </w:r>
      <w:r>
        <w:t xml:space="preserve"> </w:t>
      </w:r>
      <w:r>
        <w:t xml:space="preserve">this world’s material, but transmission that happened outside this world’s own region, by people who were not themselves this world’s non-Greek-speaking faithful. It does not supply a non-Greek Cappadocian voice. Armenian Christian literature, similarly, cannot be cited here at all: it begins after Mashtots’ alphabet, c. 405, after this world’s own c. 394 close — the same horizon rule this document applies to exclude the fifth-century church historians (§1.6) applies here too. What the Small Asketikon’s transmission history actually shows is narrower and still worth stating: this world’s material reached a wider non-Greek Christian audience than</w:t>
      </w:r>
      <w:r>
        <w:t xml:space="preserve"> </w:t>
      </w:r>
      <w:r>
        <w:t xml:space="preserve">“</w:t>
      </w:r>
      <w:r>
        <w:t xml:space="preserve">Greek-only</w:t>
      </w:r>
      <w:r>
        <w:t xml:space="preserve">”</w:t>
      </w:r>
      <w:r>
        <w:t xml:space="preserve"> </w:t>
      </w:r>
      <w:r>
        <w:t xml:space="preserve">implies. The genuinely unrecorded thing remains the</w:t>
      </w:r>
      <w:r>
        <w:t xml:space="preserve"> </w:t>
      </w:r>
      <w:r>
        <w:rPr>
          <w:iCs/>
          <w:i/>
        </w:rPr>
        <w:t xml:space="preserve">plateau countryside’s own spoken, non-literary</w:t>
      </w:r>
      <w:r>
        <w:t xml:space="preserve"> </w:t>
      </w:r>
      <w:r>
        <w:t xml:space="preserve">religious life.</w:t>
      </w:r>
    </w:p>
    <w:p>
      <w:pPr>
        <w:numPr>
          <w:ilvl w:val="0"/>
          <w:numId w:val="1005"/>
        </w:numPr>
        <w:pStyle w:val="Compact"/>
      </w:pPr>
      <w:r>
        <w:rPr>
          <w:bCs/>
          <w:b/>
        </w:rPr>
        <w:t xml:space="preserve">Children and catechumens</w:t>
      </w:r>
      <w:r>
        <w:t xml:space="preserve"> </w:t>
      </w:r>
      <w:r>
        <w:t xml:space="preserve">— process visible from the teachers’ side (delay scolded, exhortations preached).</w:t>
      </w:r>
      <w:r>
        <w:t xml:space="preserve"> </w:t>
      </w:r>
      <w:r>
        <w:rPr>
          <w:bCs/>
          <w:b/>
        </w:rPr>
        <w:t xml:space="preserve">The Longer Rule 15 legislates in real detail for children given to the community — their reception, separate quarters, schooling, and the age of profession. Not their own voice, but a substantial documented regime, the same</w:t>
      </w:r>
      <w:r>
        <w:rPr>
          <w:bCs/>
          <w:b/>
        </w:rPr>
        <w:t xml:space="preserve"> </w:t>
      </w:r>
      <w:r>
        <w:rPr>
          <w:bCs/>
          <w:b/>
        </w:rPr>
        <w:t xml:space="preserve">“</w:t>
      </w:r>
      <w:r>
        <w:rPr>
          <w:bCs/>
          <w:b/>
        </w:rPr>
        <w:t xml:space="preserve">legislator’s genre absorbed the community’s speech</w:t>
      </w:r>
      <w:r>
        <w:rPr>
          <w:bCs/>
          <w:b/>
        </w:rPr>
        <w:t xml:space="preserve">”</w:t>
      </w:r>
      <w:r>
        <w:rPr>
          <w:bCs/>
          <w:b/>
        </w:rPr>
        <w:t xml:space="preserve"> </w:t>
      </w:r>
      <w:r>
        <w:rPr>
          <w:bCs/>
          <w:b/>
        </w:rPr>
        <w:t xml:space="preserve">trace this section already uses for the adult brothers and sisters (#4).</w:t>
      </w:r>
    </w:p>
    <w:p>
      <w:pPr>
        <w:numPr>
          <w:ilvl w:val="0"/>
          <w:numId w:val="1005"/>
        </w:numPr>
        <w:pStyle w:val="Compact"/>
      </w:pPr>
      <w:r>
        <w:rPr>
          <w:bCs/>
          <w:b/>
        </w:rPr>
        <w:t xml:space="preserve">Three groups previously missing from this register entirely, though each is cited elsewhere in this document or its companions:</w:t>
      </w:r>
      <w:r>
        <w:t xml:space="preserve"> </w:t>
      </w:r>
      <w:r>
        <w:rPr>
          <w:bCs/>
          <w:b/>
        </w:rPr>
        <w:t xml:space="preserve">Jews</w:t>
      </w:r>
      <w:r>
        <w:t xml:space="preserve"> </w:t>
      </w:r>
      <w:r>
        <w:t xml:space="preserve">(present, per Oration 43’s account of Basil’s funeral crowd — though the specific claim that Jews are named among the mourners needs confirmation against the acquired text before being restated as settled);</w:t>
      </w:r>
      <w:r>
        <w:t xml:space="preserve"> </w:t>
      </w:r>
      <w:r>
        <w:rPr>
          <w:bCs/>
          <w:b/>
        </w:rPr>
        <w:t xml:space="preserve">adherents of the old religion below the level of the emperor</w:t>
      </w:r>
      <w:r>
        <w:t xml:space="preserve"> </w:t>
      </w:r>
      <w:r>
        <w:t xml:space="preserve">(Julian is named throughout this document, but he is one emperor, not the region’s actual pagan population, about whom this document says nothing); and the</w:t>
      </w:r>
      <w:r>
        <w:t xml:space="preserve"> </w:t>
      </w:r>
      <w:r>
        <w:rPr>
          <w:bCs/>
          <w:b/>
        </w:rPr>
        <w:t xml:space="preserve">Hypsistarians</w:t>
      </w:r>
      <w:r>
        <w:t xml:space="preserve"> </w:t>
      </w:r>
      <w:r>
        <w:t xml:space="preserve">— named once, in passing, as the elder Gregory of Nazianzus’ former sect (§1.6), and not carried into this register at all until now. A missing-voices register that names a group’s presence in one section and omits it from the section whose whole purpose is to catalogue exactly this is a real gap, now closed.</w:t>
      </w:r>
    </w:p>
    <w:p>
      <w:pPr>
        <w:pStyle w:val="FirstParagraph"/>
      </w:pPr>
      <w:r>
        <w:rPr>
          <w:bCs/>
          <w:b/>
        </w:rPr>
        <w:t xml:space="preserve">Bounded reconstruction rule adopted for this build, unchanged and this section’s real strength:</w:t>
      </w:r>
      <w:r>
        <w:t xml:space="preserve"> </w:t>
      </w:r>
      <w:r>
        <w:t xml:space="preserve">reconstruction of any of these voices is admitted only on (a) comparative evidence from similar communities, (b) material evidence, or (c) against-the-grain textual traces — never from silence; always at Inferential/Thin; naming the absence takes precedence over filling it. This revision’s changes are entirely within that rule: using traces that were already licensed and already available, not relaxing the rule to admit anything new.</w:t>
      </w:r>
    </w:p>
    <w:p>
      <w:r>
        <w:pict>
          <v:rect style="width:0;height:1.5pt" o:hralign="center" o:hrstd="t" o:hr="t"/>
        </w:pict>
      </w:r>
    </w:p>
    <w:bookmarkEnd w:id="32"/>
    <w:bookmarkStart w:id="33" w:name="X219a23843e16dc34d029c5cb7546a096199301b"/>
    <w:p>
      <w:pPr>
        <w:pStyle w:val="Heading2"/>
      </w:pPr>
      <w:r>
        <w:t xml:space="preserve">7. Forces Lens on the Source Ecology (Forces Framework Step 2)</w:t>
      </w:r>
    </w:p>
    <w:p>
      <w:pPr>
        <w:numPr>
          <w:ilvl w:val="0"/>
          <w:numId w:val="1006"/>
        </w:numPr>
        <w:pStyle w:val="Compact"/>
      </w:pPr>
      <w:r>
        <w:t xml:space="preserve">Sources speaking directly to</w:t>
      </w:r>
      <w:r>
        <w:t xml:space="preserve"> </w:t>
      </w:r>
      <w:r>
        <w:rPr>
          <w:bCs/>
          <w:b/>
        </w:rPr>
        <w:t xml:space="preserve">external forces:</w:t>
      </w:r>
      <w:r>
        <w:t xml:space="preserve"> </w:t>
      </w:r>
      <w:r>
        <w:t xml:space="preserve">imperial religious policy through its Cappadocian effects (exiles, depositions, the 372 provincial division, the 381 communion law naming Helladius, Otreius, Gregory of Nyssa, and Amphilochius — see §2); Julian’s own letters, his school legislation, and his direct measures against Caesarea (see §2, Doc_01 §4); the famine homilies (subsistence crisis as formation event, predating Basil’s episcopate); the correspondence with governors and prefects (the church negotiating the state); the frontier correspondence (Armenian church interventions).</w:t>
      </w:r>
    </w:p>
    <w:p>
      <w:pPr>
        <w:numPr>
          <w:ilvl w:val="0"/>
          <w:numId w:val="1006"/>
        </w:numPr>
        <w:pStyle w:val="Compact"/>
      </w:pPr>
      <w:r>
        <w:rPr>
          <w:bCs/>
          <w:b/>
        </w:rPr>
        <w:t xml:space="preserve">Silences that are themselves evidence:</w:t>
      </w:r>
      <w:r>
        <w:t xml:space="preserve"> </w:t>
      </w:r>
      <w:r>
        <w:t xml:space="preserve">the near-total loss of the losing sides (Eustathius, the Pneumatomachians, the Homoian province, the radicals) shows which voices successor transmission found dispensable or dangerous; the thinness of direct liturgical text shows a world that transmitted worship by practice and custom — Basil’s own argument from unwritten tradition is the world</w:t>
      </w:r>
      <w:r>
        <w:t xml:space="preserve"> </w:t>
      </w:r>
      <w:r>
        <w:rPr>
          <w:iCs/>
          <w:i/>
        </w:rPr>
        <w:t xml:space="preserve">naming this about itself</w:t>
      </w:r>
      <w:r>
        <w:t xml:space="preserve"> </w:t>
      </w:r>
      <w:r>
        <w:t xml:space="preserve">(a rare case of a world describing its own transmission pattern); Macrina’s textlessness shows the gender gate, though it is not the whole story of this world’s female evidence (§6 correction, Macrina the Elder). All carried into Doc_08.</w:t>
      </w:r>
    </w:p>
    <w:p>
      <w:pPr>
        <w:numPr>
          <w:ilvl w:val="0"/>
          <w:numId w:val="1006"/>
        </w:numPr>
        <w:pStyle w:val="Compact"/>
      </w:pPr>
      <w:r>
        <w:rPr>
          <w:bCs/>
          <w:b/>
        </w:rPr>
        <w:t xml:space="preserve">Survivorship pattern:</w:t>
      </w:r>
      <w:r>
        <w:t xml:space="preserve"> </w:t>
      </w:r>
      <w:r>
        <w:t xml:space="preserve">transmission ran through (i) the family-and-friends network’s own curation (Gregory Nazianzen editing his letters; Nyssen completing and defending his brother’s works — the world’s archive is partly a family memorial), (ii) Byzantine dogmatic-liturgical canonization (the Three Hierarchs’ prestige), (iii) monastic institutional interest (the Asketikon as law — in both its non-Greek Small form and its later Great form, §1.1), and (iv) polemical preservation (opponents inside refutations). What survives is what those four channels valued.</w:t>
      </w:r>
    </w:p>
    <w:p>
      <w:r>
        <w:pict>
          <v:rect style="width:0;height:1.5pt" o:hralign="center" o:hrstd="t" o:hr="t"/>
        </w:pict>
      </w:r>
    </w:p>
    <w:bookmarkEnd w:id="33"/>
    <w:bookmarkStart w:id="34" w:name="Xf9570fbec8bb11abcaf0de94e59136aa317ddd3"/>
    <w:p>
      <w:pPr>
        <w:pStyle w:val="Heading2"/>
      </w:pPr>
      <w:r>
        <w:t xml:space="preserve">8. Provisional Story Tiers (begun here; finalized in Doc_09)</w:t>
      </w:r>
    </w:p>
    <w:p>
      <w:pPr>
        <w:pStyle w:val="FirstParagraph"/>
      </w:pPr>
      <w:r>
        <w:t xml:space="preserve">Tier 1 candidates: the famine of 368/9 and Basil’s response as presbyter, before his episcopate (his own homilies; Or. 43’s narrative); the doxology controversy at Caesarea and the writing of On the Holy Spirit (the treatise’s own occasion); the Valens/Modestus confrontation and the Epiphany liturgy of 372 (Or. 43 — Gregory’s public telling, genre-flagged); the Sasima affair and the friendship’s wound (Nazianzen’s own bitter accounts — one-sided, flagged); Gregory Nazianzen at Constantinople 379–381 (the Anastasia chapel, the Easter violence, the Theological Orations, the resignation — self-account); Macrina’s deathbed and funeral (Vita — eyewitness with literary frame); Basil’s death (377, corrected) and funeral (Or. 43’s claim of a city-wide mourning including Jews and pagans, pending confirmation against the acquired text — encomium register); Gregory of Nyssa’s exile and return under Valens (Basil’s letters; Nyssen’s own note of return joy at work level).</w:t>
      </w:r>
      <w:r>
        <w:t xml:space="preserve"> </w:t>
      </w:r>
      <w:r>
        <w:rPr>
          <w:bCs/>
          <w:b/>
        </w:rPr>
        <w:t xml:space="preserve">The rupture between Basil and Eustathius</w:t>
      </w:r>
      <w:r>
        <w:t xml:space="preserve"> </w:t>
      </w:r>
      <w:r>
        <w:t xml:space="preserve">(Basil Epp. 119, 128, 130, 223, 226, 244, 251) — arguably this world’s best-documented internal rupture, the hinge of §5 debate (10), and one of Doc_01 §3’s two named fracture lines.</w:t>
      </w:r>
      <w:r>
        <w:t xml:space="preserve"> </w:t>
      </w:r>
      <w:r>
        <w:rPr>
          <w:bCs/>
          <w:b/>
        </w:rPr>
        <w:t xml:space="preserve">Eupsychius of Caesarea’s martyrdom under Julian (362)</w:t>
      </w:r>
      <w:r>
        <w:t xml:space="preserve"> </w:t>
      </w:r>
      <w:r>
        <w:t xml:space="preserve">and its annual feast, attested in Basil’s own letters — per Doc_01 §1. Tier 2: the Forty Martyrs of Sebaste (homilies within a century; tradition authentic, details traditional; the family relic connection, including Emmelia’s role, §3/§6). Tier 3: the Thaumaturgus cycle (creed-vision, mission legend, carried at the confidence Doc_01 §1 now specifies); Naucratius’ death in the wilderness accident (Vita — family memory, genre-shaped; Naucratius lived as a solitary ascetic, not in community — corrected from any implication otherwise); Macrina’s refusal of remarriage after her betrothed’s death (Vita). Tier 4 (to be built with full element-sourcing): a day in a brotherhood of the Iris valley; a panegyris at a rural martyr-shrine; a famine month at the poorhouse complex (</w:t>
      </w:r>
      <w:r>
        <w:rPr>
          <w:bCs/>
          <w:b/>
        </w:rPr>
        <w:t xml:space="preserve">this third Tier 4 candidate was named here and then dropped without note at Doc_09 in the prior build — flagged for Doc_09’s own revision, not resolved here</w:t>
      </w:r>
      <w:r>
        <w:t xml:space="preserve">).</w:t>
      </w:r>
      <w:r>
        <w:t xml:space="preserve"> </w:t>
      </w:r>
      <w:r>
        <w:rPr>
          <w:bCs/>
          <w:b/>
        </w:rPr>
        <w:t xml:space="preserve">No Tier 5 anywhere.</w:t>
      </w:r>
    </w:p>
    <w:p>
      <w:r>
        <w:pict>
          <v:rect style="width:0;height:1.5pt" o:hralign="center" o:hrstd="t" o:hr="t"/>
        </w:pict>
      </w:r>
    </w:p>
    <w:bookmarkEnd w:id="34"/>
    <w:bookmarkStart w:id="35" w:name="confidence-map-world-level-provisional"/>
    <w:p>
      <w:pPr>
        <w:pStyle w:val="Heading2"/>
      </w:pPr>
      <w:r>
        <w:t xml:space="preserve">9. Confidence Map (world-level, provisional)</w:t>
      </w:r>
    </w:p>
    <w:p>
      <w:pPr>
        <w:numPr>
          <w:ilvl w:val="0"/>
          <w:numId w:val="1007"/>
        </w:numPr>
        <w:pStyle w:val="Compact"/>
      </w:pPr>
      <w:r>
        <w:rPr>
          <w:bCs/>
          <w:b/>
        </w:rPr>
        <w:t xml:space="preserve">Documented:</w:t>
      </w:r>
      <w:r>
        <w:t xml:space="preserve"> </w:t>
      </w:r>
      <w:r>
        <w:t xml:space="preserve">the existence, works, and broad careers of the major voices; the major public events (Nicaea, Gangra’s canons — date range Contested, content Documented, per §2/Doc_01 §3; Julian’s legislation and measures against Caesarea; the 372 division; Nyssa’s exile; Constantinople 381; the communion law and its named bishops); the institutional forms (episcopate, chorepiscopoi, canonical discipline, martyr festivals, the poorhouse complex’s existence under its own period name, the brotherhoods’ existence).</w:t>
      </w:r>
    </w:p>
    <w:p>
      <w:pPr>
        <w:numPr>
          <w:ilvl w:val="0"/>
          <w:numId w:val="1007"/>
        </w:numPr>
        <w:pStyle w:val="Compact"/>
      </w:pPr>
      <w:r>
        <w:rPr>
          <w:bCs/>
          <w:b/>
        </w:rPr>
        <w:t xml:space="preserve">Widely Accepted:</w:t>
      </w:r>
      <w:r>
        <w:t xml:space="preserve"> </w:t>
      </w:r>
      <w:r>
        <w:t xml:space="preserve">the formation-ecology</w:t>
      </w:r>
      <w:r>
        <w:t xml:space="preserve"> </w:t>
      </w:r>
      <w:r>
        <w:rPr>
          <w:iCs/>
          <w:i/>
        </w:rPr>
        <w:t xml:space="preserve">pattern</w:t>
      </w:r>
      <w:r>
        <w:t xml:space="preserve"> </w:t>
      </w:r>
      <w:r>
        <w:t xml:space="preserve">of Doc_01 §1–2 as a coherent construction (not itself a scholarly-consensus claim, per Doc_01 §5’s corrected labeling); the transmission asymmetries; the ascetic movement’s Eustathian roots.</w:t>
      </w:r>
    </w:p>
    <w:p>
      <w:pPr>
        <w:numPr>
          <w:ilvl w:val="0"/>
          <w:numId w:val="1007"/>
        </w:numPr>
        <w:pStyle w:val="Compact"/>
      </w:pPr>
      <w:r>
        <w:rPr>
          <w:bCs/>
          <w:b/>
        </w:rPr>
        <w:t xml:space="preserve">Widely Accepted, flagged registry-support-pending:</w:t>
      </w:r>
      <w:r>
        <w:t xml:space="preserve"> </w:t>
      </w:r>
      <w:r>
        <w:t xml:space="preserve">the region’s social-economic profile (§4) — the confidence level is unchanged (this is standard, uncontested regional history), but this document currently has no primary-source registry row that can carry it, pending the project lead’s decision on citing excluded secondary scholarship (per §4’s own correction).</w:t>
      </w:r>
    </w:p>
    <w:p>
      <w:pPr>
        <w:numPr>
          <w:ilvl w:val="0"/>
          <w:numId w:val="1007"/>
        </w:numPr>
        <w:pStyle w:val="Compact"/>
      </w:pPr>
      <w:r>
        <w:rPr>
          <w:bCs/>
          <w:b/>
        </w:rPr>
        <w:t xml:space="preserve">Dominant Modern Reconstruction:</w:t>
      </w:r>
      <w:r>
        <w:t xml:space="preserve"> </w:t>
      </w:r>
      <w:r>
        <w:t xml:space="preserve">the ending boundary (now argued from Doc_01 §4a’s separation test); a Basilian</w:t>
      </w:r>
      <w:r>
        <w:t xml:space="preserve"> </w:t>
      </w:r>
      <w:r>
        <w:rPr>
          <w:iCs/>
          <w:i/>
        </w:rPr>
        <w:t xml:space="preserve">core</w:t>
      </w:r>
      <w:r>
        <w:t xml:space="preserve"> </w:t>
      </w:r>
      <w:r>
        <w:t xml:space="preserve">for the transmitted anaphora (the transmitted text’s exact wording remains Contested, per §1.1/§2); the Sterk-line monk-bishop synthesis as the world’s distinctive resolution; Holman-line civic reading of the poverty preaching.</w:t>
      </w:r>
    </w:p>
    <w:p>
      <w:pPr>
        <w:numPr>
          <w:ilvl w:val="0"/>
          <w:numId w:val="1007"/>
        </w:numPr>
        <w:pStyle w:val="Compact"/>
      </w:pPr>
      <w:r>
        <w:rPr>
          <w:bCs/>
          <w:b/>
        </w:rPr>
        <w:t xml:space="preserve">Contested (carried):</w:t>
      </w:r>
      <w:r>
        <w:t xml:space="preserve"> </w:t>
      </w:r>
      <w:r>
        <w:t xml:space="preserve">the</w:t>
      </w:r>
      <w:r>
        <w:t xml:space="preserve"> </w:t>
      </w:r>
      <w:r>
        <w:t xml:space="preserve">“</w:t>
      </w:r>
      <w:r>
        <w:t xml:space="preserve">Cappadocian settlement</w:t>
      </w:r>
      <w:r>
        <w:t xml:space="preserve">”</w:t>
      </w:r>
      <w:r>
        <w:t xml:space="preserve"> </w:t>
      </w:r>
      <w:r>
        <w:t xml:space="preserve">historiography (now with Barnes and Beeley named alongside Ayres and Behr, §5); Macrina’s recoverability (Silvas against Clark, both now named); Basil’s death date (</w:t>
      </w:r>
      <w:r>
        <w:rPr>
          <w:bCs/>
          <w:b/>
        </w:rPr>
        <w:t xml:space="preserve">377</w:t>
      </w:r>
      <w:r>
        <w:t xml:space="preserve">, corrected); the Eustathius debt; the Philocalia attribution; Nazianzen’s self-accounts as history (McGuckin correctly reassigned, McLynn correctly credited, §1.2/§5); Oration 43’s scene-level historicity; Messalianism’s coherence (Caner and Stewart); the reserve/oikonomia motives; Gangra’s date (now stated as a genuinely wide range, not</w:t>
      </w:r>
      <w:r>
        <w:t xml:space="preserve"> </w:t>
      </w:r>
      <w:r>
        <w:t xml:space="preserve">“</w:t>
      </w:r>
      <w:r>
        <w:t xml:space="preserve">within a decade</w:t>
      </w:r>
      <w:r>
        <w:t xml:space="preserve">”</w:t>
      </w:r>
      <w:r>
        <w:t xml:space="preserve">); the Address to Origen’s attribution; the genuineness of the Basil–Libanius correspondence (newly carried as its own item, §1.1/§5); the degree of Origenist unease shaping Nyssen’s own transmission (downgraded from Widely Accepted, §1.3).</w:t>
      </w:r>
    </w:p>
    <w:p>
      <w:pPr>
        <w:numPr>
          <w:ilvl w:val="0"/>
          <w:numId w:val="1007"/>
        </w:numPr>
        <w:pStyle w:val="Compact"/>
      </w:pPr>
      <w:r>
        <w:rPr>
          <w:bCs/>
          <w:b/>
        </w:rPr>
        <w:t xml:space="preserve">Inferential/Thin:</w:t>
      </w:r>
      <w:r>
        <w:t xml:space="preserve"> </w:t>
      </w:r>
      <w:r>
        <w:t xml:space="preserve">everything reconstructed for the structurally absent voices, now used where against-the-grain evidence actually exists (§6) rather than left as bare absence; village and non-Greek church life (with the non-Greek transmission cause corrected, §6); the communities’ lived compliance with the Rules; period liturgical detail beyond the attested customs; the interior experience of any non-author; the poorhouse complex’s physical form.</w:t>
      </w:r>
    </w:p>
    <w:p>
      <w:pPr>
        <w:pStyle w:val="FirstParagraph"/>
      </w:pPr>
      <w:r>
        <w:rPr>
          <w:iCs/>
          <w:i/>
        </w:rPr>
        <w:t xml:space="preserve">No Representative content appears in this document.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2026-09-01T23:58:20Z</dcterms:created>
  <dcterms:modified xsi:type="dcterms:W3CDTF">2026-09-01T23:58:20Z</dcterms:modified>
</cp:coreProperties>
</file>

<file path=docProps/custom.xml><?xml version="1.0" encoding="utf-8"?>
<Properties xmlns="http://schemas.openxmlformats.org/officeDocument/2006/custom-properties" xmlns:vt="http://schemas.openxmlformats.org/officeDocument/2006/docPropsVTypes"/>
</file>