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7663E">
        <w:rPr>
          <w:b/>
        </w:rPr>
        <w:t>Deploy_PENFAX</w:t>
      </w:r>
      <w:r w:rsidR="00533BE8">
        <w:rPr>
          <w:b/>
        </w:rPr>
        <w:t>_Forms_</w:t>
      </w:r>
      <w:r w:rsidR="0087663E">
        <w:rPr>
          <w:b/>
        </w:rPr>
        <w:t>Artifacts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87663E">
        <w:t>PENFAX</w:t>
      </w:r>
      <w:r w:rsidR="00533BE8">
        <w:t xml:space="preserve"> Forms </w:t>
      </w:r>
      <w:r w:rsidR="0087663E">
        <w:t>Artifacts</w:t>
      </w:r>
      <w:r w:rsidR="00892541">
        <w:t xml:space="preserve"> to an Environment.</w:t>
      </w:r>
    </w:p>
    <w:p w:rsidR="00C94A68" w:rsidRDefault="0087663E" w:rsidP="008C74B4">
      <w:pPr>
        <w:ind w:right="-864"/>
      </w:pPr>
      <w:r>
        <w:rPr>
          <w:noProof/>
        </w:rPr>
        <w:drawing>
          <wp:inline distT="0" distB="0" distL="0" distR="0" wp14:anchorId="4CCC948A" wp14:editId="03B2CE2B">
            <wp:extent cx="59436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87663E" w:rsidP="00AE2D6A">
      <w:pPr>
        <w:pStyle w:val="ListParagraph"/>
      </w:pPr>
      <w:r>
        <w:rPr>
          <w:noProof/>
        </w:rPr>
        <w:drawing>
          <wp:inline distT="0" distB="0" distL="0" distR="0" wp14:anchorId="680E4FFC" wp14:editId="37A8D19E">
            <wp:extent cx="2081284" cy="20188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009" cy="20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D05F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a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D24037">
              <w:rPr>
                <w:sz w:val="16"/>
                <w:szCs w:val="16"/>
              </w:rPr>
              <w:t xml:space="preserve"> must be recompiled if either</w:t>
            </w:r>
            <w:r w:rsidR="00930A6A">
              <w:rPr>
                <w:sz w:val="16"/>
                <w:szCs w:val="16"/>
              </w:rPr>
              <w:t xml:space="preserve"> is deployed (re: Geoff G.).</w:t>
            </w:r>
          </w:p>
        </w:tc>
      </w:tr>
      <w:tr w:rsidR="0087663E" w:rsidRPr="00EA7F2F" w:rsidTr="00533BE8">
        <w:tc>
          <w:tcPr>
            <w:tcW w:w="1387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PNFXENV</w:t>
            </w:r>
          </w:p>
        </w:tc>
        <w:tc>
          <w:tcPr>
            <w:tcW w:w="1571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</w:t>
            </w:r>
          </w:p>
        </w:tc>
        <w:tc>
          <w:tcPr>
            <w:tcW w:w="1300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7663E" w:rsidRDefault="0087663E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 to Deploy to 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Compile </w:t>
            </w:r>
            <w:r w:rsidR="0087663E">
              <w:rPr>
                <w:sz w:val="16"/>
                <w:szCs w:val="16"/>
              </w:rPr>
              <w:t>the PENFAX Form</w:t>
            </w:r>
            <w:r w:rsidR="006D68B4">
              <w:rPr>
                <w:sz w:val="16"/>
                <w:szCs w:val="16"/>
              </w:rPr>
              <w:t xml:space="preserve"> Artifact </w:t>
            </w:r>
            <w:r w:rsidR="0087663E">
              <w:rPr>
                <w:sz w:val="16"/>
                <w:szCs w:val="16"/>
              </w:rPr>
              <w:t>against</w:t>
            </w:r>
            <w:r>
              <w:rPr>
                <w:sz w:val="16"/>
                <w:szCs w:val="16"/>
              </w:rPr>
              <w:t xml:space="preserve">: </w:t>
            </w:r>
            <w:r w:rsidR="006D68B4">
              <w:rPr>
                <w:sz w:val="16"/>
                <w:szCs w:val="16"/>
              </w:rPr>
              <w:t>DEVL, DEV3, RDEV, TST</w:t>
            </w:r>
            <w:r w:rsidR="0087663E">
              <w:rPr>
                <w:sz w:val="16"/>
                <w:szCs w:val="16"/>
              </w:rPr>
              <w:t>1, TST2, TST3,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87663E">
              <w:rPr>
                <w:sz w:val="16"/>
                <w:szCs w:val="16"/>
              </w:rPr>
              <w:t>compiled against.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IPASUSER Password (</w:t>
            </w:r>
            <w:proofErr w:type="spellStart"/>
            <w:r>
              <w:rPr>
                <w:sz w:val="16"/>
                <w:szCs w:val="16"/>
              </w:rPr>
              <w:t>trnm</w:t>
            </w:r>
            <w:proofErr w:type="spellEnd"/>
            <w:r>
              <w:rPr>
                <w:sz w:val="16"/>
                <w:szCs w:val="16"/>
              </w:rPr>
              <w:t xml:space="preserve"> password for TRAIN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IPASUSER Schema in the Destination Environment.  The Training Environment uses the TRNM Schema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Pnfx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 FORM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D05FAA">
              <w:rPr>
                <w:sz w:val="16"/>
                <w:szCs w:val="16"/>
              </w:rPr>
              <w:t>PENFAX Form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D05FAA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D55923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reate_online_com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Batch_Compile_Directory</w:t>
            </w:r>
            <w:proofErr w:type="spellEnd"/>
            <w:r w:rsidRPr="00A54DA4">
              <w:rPr>
                <w:sz w:val="16"/>
                <w:szCs w:val="16"/>
              </w:rPr>
              <w:t>: 'D:\Reports\</w:t>
            </w:r>
            <w:proofErr w:type="spellStart"/>
            <w:r w:rsidRPr="00A54DA4">
              <w:rPr>
                <w:sz w:val="16"/>
                <w:szCs w:val="16"/>
              </w:rPr>
              <w:t>defs</w:t>
            </w:r>
            <w:proofErr w:type="spellEnd"/>
            <w:r w:rsidRPr="00A54DA4">
              <w:rPr>
                <w:sz w:val="16"/>
                <w:szCs w:val="16"/>
              </w:rPr>
              <w:t>\tst1'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Runtime_Directory</w:t>
            </w:r>
            <w:proofErr w:type="spellEnd"/>
            <w:r w:rsidRPr="00A54DA4">
              <w:rPr>
                <w:sz w:val="16"/>
                <w:szCs w:val="16"/>
              </w:rPr>
              <w:t>: /opt/</w:t>
            </w:r>
            <w:proofErr w:type="spellStart"/>
            <w:r w:rsidRPr="00A54DA4">
              <w:rPr>
                <w:sz w:val="16"/>
                <w:szCs w:val="16"/>
              </w:rPr>
              <w:t>ipas_app_test</w:t>
            </w:r>
            <w:proofErr w:type="spellEnd"/>
            <w:r w:rsidRPr="00A54DA4">
              <w:rPr>
                <w:sz w:val="16"/>
                <w:szCs w:val="16"/>
              </w:rPr>
              <w:t>/tst1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WEB_Compile_Directory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Pr="00A54DA4">
              <w:rPr>
                <w:sz w:val="16"/>
                <w:szCs w:val="16"/>
              </w:rPr>
              <w:t>webt</w:t>
            </w:r>
            <w:proofErr w:type="spellEnd"/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batch_far_server</w:t>
            </w:r>
            <w:proofErr w:type="spellEnd"/>
            <w:r w:rsidRPr="00A54DA4">
              <w:rPr>
                <w:sz w:val="16"/>
                <w:szCs w:val="16"/>
              </w:rPr>
              <w:t>: cronreptest1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rwconverter</w:t>
            </w:r>
            <w:proofErr w:type="spellEnd"/>
            <w:r w:rsidRPr="00A54DA4">
              <w:rPr>
                <w:sz w:val="16"/>
                <w:szCs w:val="16"/>
              </w:rPr>
              <w:t>: 'D:\opt\oracle\domains\WLS_JCSTEST\reports\bin\rwconverter.bat'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B370B3" w:rsidRPr="00972D1F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D05FAA">
              <w:rPr>
                <w:sz w:val="16"/>
                <w:szCs w:val="16"/>
              </w:rPr>
              <w:t>pnfx</w:t>
            </w:r>
            <w:r w:rsidR="00A54DA4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tage_online_artifacts.yml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</w:t>
            </w:r>
            <w:r w:rsidR="00D55923">
              <w:rPr>
                <w:sz w:val="16"/>
                <w:szCs w:val="16"/>
              </w:rPr>
              <w:t>with SVN URLs export the artif</w:t>
            </w:r>
            <w:r>
              <w:rPr>
                <w:sz w:val="16"/>
                <w:szCs w:val="16"/>
              </w:rPr>
              <w:t>a</w:t>
            </w:r>
            <w:r w:rsidR="00D5592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ts from SVN and place them in the </w:t>
            </w:r>
            <w:r w:rsidR="00E77A99">
              <w:rPr>
                <w:sz w:val="16"/>
                <w:szCs w:val="16"/>
              </w:rPr>
              <w:t xml:space="preserve">Online </w:t>
            </w:r>
            <w:r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</w:t>
            </w:r>
            <w:r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D05FAA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 to make sure at least one of *.</w:t>
            </w:r>
            <w:proofErr w:type="spellStart"/>
            <w:r w:rsidR="00E77A99">
              <w:rPr>
                <w:sz w:val="16"/>
                <w:szCs w:val="16"/>
              </w:rPr>
              <w:t>fmb</w:t>
            </w:r>
            <w:proofErr w:type="spellEnd"/>
            <w:r w:rsidR="00E77A99">
              <w:rPr>
                <w:sz w:val="16"/>
                <w:szCs w:val="16"/>
              </w:rPr>
              <w:t xml:space="preserve">, </w:t>
            </w:r>
            <w:r w:rsidR="00BA59F5">
              <w:rPr>
                <w:sz w:val="16"/>
                <w:szCs w:val="16"/>
              </w:rPr>
              <w:t>*.</w:t>
            </w:r>
            <w:proofErr w:type="spellStart"/>
            <w:r w:rsidR="00BA59F5">
              <w:rPr>
                <w:sz w:val="16"/>
                <w:szCs w:val="16"/>
              </w:rPr>
              <w:t>rdf</w:t>
            </w:r>
            <w:proofErr w:type="spellEnd"/>
            <w:r w:rsidR="00BA59F5">
              <w:rPr>
                <w:sz w:val="16"/>
                <w:szCs w:val="16"/>
              </w:rPr>
              <w:t xml:space="preserve">, </w:t>
            </w:r>
            <w:r w:rsidR="00E77A99">
              <w:rPr>
                <w:sz w:val="16"/>
                <w:szCs w:val="16"/>
              </w:rPr>
              <w:t>*.</w:t>
            </w:r>
            <w:proofErr w:type="spellStart"/>
            <w:r w:rsidR="00E77A99">
              <w:rPr>
                <w:sz w:val="16"/>
                <w:szCs w:val="16"/>
              </w:rPr>
              <w:t>pll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mmb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tif</w:t>
            </w:r>
            <w:proofErr w:type="spellEnd"/>
            <w:r w:rsidR="00E77A99">
              <w:rPr>
                <w:sz w:val="16"/>
                <w:szCs w:val="16"/>
              </w:rPr>
              <w:t xml:space="preserve"> or *.</w:t>
            </w:r>
            <w:proofErr w:type="spellStart"/>
            <w:r w:rsidR="00E77A99">
              <w:rPr>
                <w:sz w:val="16"/>
                <w:szCs w:val="16"/>
              </w:rPr>
              <w:t>olb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D05FAA">
              <w:rPr>
                <w:sz w:val="16"/>
                <w:szCs w:val="16"/>
              </w:rPr>
              <w:t>pnfx</w:t>
            </w:r>
            <w:proofErr w:type="spellEnd"/>
          </w:p>
        </w:tc>
        <w:tc>
          <w:tcPr>
            <w:tcW w:w="2250" w:type="dxa"/>
          </w:tcPr>
          <w:p w:rsidR="009238BC" w:rsidRDefault="00E77A9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D55923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</w:t>
            </w:r>
            <w:r w:rsidR="00A71C7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</w:t>
            </w:r>
            <w:r w:rsidR="00A71C7E">
              <w:rPr>
                <w:sz w:val="16"/>
                <w:szCs w:val="16"/>
              </w:rPr>
              <w:t>ts staged into the {{</w:t>
            </w:r>
            <w:proofErr w:type="spellStart"/>
            <w:r w:rsidR="00A71C7E">
              <w:rPr>
                <w:sz w:val="16"/>
                <w:szCs w:val="16"/>
              </w:rPr>
              <w:t>Compile_Directory</w:t>
            </w:r>
            <w:proofErr w:type="spellEnd"/>
            <w:r w:rsidR="00A71C7E">
              <w:rPr>
                <w:sz w:val="16"/>
                <w:szCs w:val="16"/>
              </w:rPr>
              <w:t>}}.  If any *.</w:t>
            </w:r>
            <w:proofErr w:type="spellStart"/>
            <w:r w:rsidR="00A71C7E">
              <w:rPr>
                <w:sz w:val="16"/>
                <w:szCs w:val="16"/>
              </w:rPr>
              <w:t>olb</w:t>
            </w:r>
            <w:proofErr w:type="spellEnd"/>
            <w:r w:rsidR="00A71C7E">
              <w:rPr>
                <w:sz w:val="16"/>
                <w:szCs w:val="16"/>
              </w:rPr>
              <w:t xml:space="preserve"> or *.</w:t>
            </w:r>
            <w:proofErr w:type="spellStart"/>
            <w:r w:rsidR="00A71C7E">
              <w:rPr>
                <w:sz w:val="16"/>
                <w:szCs w:val="16"/>
              </w:rPr>
              <w:t>tif</w:t>
            </w:r>
            <w:proofErr w:type="spellEnd"/>
            <w:r w:rsidR="00A71C7E">
              <w:rPr>
                <w:sz w:val="16"/>
                <w:szCs w:val="16"/>
              </w:rPr>
              <w:t xml:space="preserve"> files exist copy them to the {{</w:t>
            </w:r>
            <w:proofErr w:type="spellStart"/>
            <w:r w:rsidR="00A71C7E">
              <w:rPr>
                <w:sz w:val="16"/>
                <w:szCs w:val="16"/>
              </w:rPr>
              <w:t>Runtime_Directory</w:t>
            </w:r>
            <w:proofErr w:type="spellEnd"/>
            <w:r w:rsidR="00A71C7E"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 w:rsidR="00A71C7E">
              <w:rPr>
                <w:sz w:val="16"/>
                <w:szCs w:val="16"/>
              </w:rPr>
              <w:t>.</w:t>
            </w:r>
          </w:p>
        </w:tc>
      </w:tr>
      <w:tr w:rsidR="00106F8B" w:rsidRPr="00972D1F" w:rsidTr="00574BC8"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</w:t>
            </w:r>
            <w:proofErr w:type="spellEnd"/>
          </w:p>
        </w:tc>
        <w:tc>
          <w:tcPr>
            <w:tcW w:w="2250" w:type="dxa"/>
          </w:tcPr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>
              <w:rPr>
                <w:sz w:val="16"/>
                <w:szCs w:val="16"/>
              </w:rPr>
              <w:t>pnfx_</w:t>
            </w:r>
            <w:r>
              <w:rPr>
                <w:sz w:val="16"/>
                <w:szCs w:val="16"/>
              </w:rPr>
              <w:t>forms</w:t>
            </w:r>
            <w:proofErr w:type="spell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106F8B" w:rsidRDefault="00106F8B" w:rsidP="002A0D8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106F8B" w:rsidRPr="00972D1F" w:rsidTr="00574BC8"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consolidate_pnfx_compile_errors</w:t>
            </w:r>
            <w:proofErr w:type="spellEnd"/>
          </w:p>
        </w:tc>
        <w:tc>
          <w:tcPr>
            <w:tcW w:w="2250" w:type="dxa"/>
          </w:tcPr>
          <w:p w:rsidR="00106F8B" w:rsidRDefault="00AD4850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consolidate_pnfx_compile_errors.yml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106F8B" w:rsidRDefault="00AD4850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106F8B" w:rsidRPr="00972D1F" w:rsidTr="00574BC8"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2250" w:type="dxa"/>
          </w:tcPr>
          <w:p w:rsidR="00106F8B" w:rsidRDefault="00AD4850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{ENV}}_PNFX</w:t>
            </w:r>
            <w:r>
              <w:rPr>
                <w:sz w:val="16"/>
                <w:szCs w:val="16"/>
              </w:rPr>
              <w:t xml:space="preserve">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{ENV}}_PNFX</w:t>
            </w:r>
            <w:r>
              <w:rPr>
                <w:sz w:val="16"/>
                <w:szCs w:val="16"/>
              </w:rPr>
              <w:t>_Compile_Errors.html with any ERRORS generated during the compiles.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</w:t>
            </w:r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}}/{{ENV}}_PNFX</w:t>
            </w:r>
            <w:r>
              <w:rPr>
                <w:sz w:val="16"/>
                <w:szCs w:val="16"/>
              </w:rPr>
              <w:t>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AD4850" w:rsidRPr="00B80107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106F8B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>
      <w:bookmarkStart w:id="0" w:name="_GoBack"/>
      <w:bookmarkEnd w:id="0"/>
    </w:p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06F8B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443471"/>
    <w:rsid w:val="00451AFD"/>
    <w:rsid w:val="004B09D6"/>
    <w:rsid w:val="004E1D82"/>
    <w:rsid w:val="00533BE8"/>
    <w:rsid w:val="00553EF9"/>
    <w:rsid w:val="00574BC8"/>
    <w:rsid w:val="00586964"/>
    <w:rsid w:val="00645ACE"/>
    <w:rsid w:val="006D68B4"/>
    <w:rsid w:val="00702F9A"/>
    <w:rsid w:val="007A52CE"/>
    <w:rsid w:val="007C402E"/>
    <w:rsid w:val="007E769E"/>
    <w:rsid w:val="007F3456"/>
    <w:rsid w:val="00801FFB"/>
    <w:rsid w:val="0080410E"/>
    <w:rsid w:val="0087663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D485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05FAA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851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30</cp:revision>
  <dcterms:created xsi:type="dcterms:W3CDTF">2020-07-07T15:17:00Z</dcterms:created>
  <dcterms:modified xsi:type="dcterms:W3CDTF">2020-10-19T18:11:00Z</dcterms:modified>
</cp:coreProperties>
</file>