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0912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7663E">
        <w:rPr>
          <w:b/>
        </w:rPr>
        <w:t>Deploy_PENFAX</w:t>
      </w:r>
      <w:r w:rsidR="00533BE8">
        <w:rPr>
          <w:b/>
        </w:rPr>
        <w:t>_Forms_</w:t>
      </w:r>
      <w:r w:rsidR="0087663E">
        <w:rPr>
          <w:b/>
        </w:rPr>
        <w:t>Artifacts</w:t>
      </w:r>
      <w:r w:rsidR="00474677">
        <w:rPr>
          <w:b/>
        </w:rPr>
        <w:t>_PMP</w:t>
      </w:r>
      <w:proofErr w:type="spellEnd"/>
    </w:p>
    <w:p w14:paraId="0C08F100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87663E">
        <w:t>PENFAX</w:t>
      </w:r>
      <w:r w:rsidR="00533BE8">
        <w:t xml:space="preserve"> Forms </w:t>
      </w:r>
      <w:r w:rsidR="0087663E">
        <w:t>Artifacts</w:t>
      </w:r>
      <w:r w:rsidR="00892541">
        <w:t xml:space="preserve"> to an Environment.</w:t>
      </w:r>
    </w:p>
    <w:p w14:paraId="4E125169" w14:textId="067D54DC" w:rsidR="00C94A68" w:rsidRDefault="00A062FB" w:rsidP="00A062FB">
      <w:pPr>
        <w:ind w:right="-864"/>
      </w:pPr>
      <w:r>
        <w:rPr>
          <w:noProof/>
        </w:rPr>
        <w:drawing>
          <wp:inline distT="0" distB="0" distL="0" distR="0" wp14:anchorId="112D2642" wp14:editId="5B63681A">
            <wp:extent cx="5943600" cy="53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FCC4" w14:textId="77777777" w:rsidR="00474677" w:rsidRDefault="00474677" w:rsidP="00972D1F">
      <w:pPr>
        <w:pStyle w:val="ListParagraph"/>
        <w:numPr>
          <w:ilvl w:val="0"/>
          <w:numId w:val="2"/>
        </w:numPr>
      </w:pPr>
      <w:r>
        <w:t>Workflow Artifacts</w:t>
      </w:r>
    </w:p>
    <w:p w14:paraId="72F2B9F3" w14:textId="3ADDA92F" w:rsidR="00474677" w:rsidRDefault="00474677" w:rsidP="00474677">
      <w:pPr>
        <w:pStyle w:val="ListParagraph"/>
      </w:pPr>
      <w:r>
        <w:t>The password manager pro</w:t>
      </w:r>
      <w:r w:rsidR="00A062FB">
        <w:t xml:space="preserve"> and Apex/ORDs migration log</w:t>
      </w:r>
      <w:r>
        <w:t xml:space="preserve"> URL </w:t>
      </w:r>
      <w:r w:rsidR="00A062FB">
        <w:t>are</w:t>
      </w:r>
      <w:r>
        <w:t xml:space="preserve"> defined at the workflow level.</w:t>
      </w:r>
    </w:p>
    <w:p w14:paraId="64D49BCE" w14:textId="3712BF67" w:rsidR="00474677" w:rsidRDefault="00A062FB" w:rsidP="00474677">
      <w:pPr>
        <w:pStyle w:val="ListParagraph"/>
      </w:pPr>
      <w:r>
        <w:rPr>
          <w:noProof/>
        </w:rPr>
        <w:drawing>
          <wp:inline distT="0" distB="0" distL="0" distR="0" wp14:anchorId="65459FF8" wp14:editId="70BA8610">
            <wp:extent cx="5943600" cy="3155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29D8" w14:textId="77777777" w:rsidR="00474677" w:rsidRDefault="00474677">
      <w:r>
        <w:br w:type="page"/>
      </w:r>
    </w:p>
    <w:p w14:paraId="42D40E8C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14:paraId="5C3EEAD9" w14:textId="77777777" w:rsidR="00AE2D6A" w:rsidRDefault="00474677" w:rsidP="00AE2D6A">
      <w:pPr>
        <w:pStyle w:val="ListParagraph"/>
      </w:pPr>
      <w:r>
        <w:rPr>
          <w:noProof/>
        </w:rPr>
        <w:drawing>
          <wp:inline distT="0" distB="0" distL="0" distR="0" wp14:anchorId="05E37EE5" wp14:editId="0387BED5">
            <wp:extent cx="2214652" cy="1929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429" cy="19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14:paraId="6FB3A06C" w14:textId="77777777" w:rsidTr="00533BE8">
        <w:tc>
          <w:tcPr>
            <w:tcW w:w="1387" w:type="dxa"/>
          </w:tcPr>
          <w:p w14:paraId="74C46670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2D9ACE3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26E54994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14:paraId="45447E7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53FD95EE" w14:textId="77777777" w:rsidTr="00533BE8">
        <w:tc>
          <w:tcPr>
            <w:tcW w:w="1387" w:type="dxa"/>
          </w:tcPr>
          <w:p w14:paraId="591E343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76C6DC4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45FE7580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14:paraId="4DEE8F55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87663E" w:rsidRPr="00EA7F2F" w14:paraId="3C642E19" w14:textId="77777777" w:rsidTr="00533BE8">
        <w:tc>
          <w:tcPr>
            <w:tcW w:w="1387" w:type="dxa"/>
          </w:tcPr>
          <w:p w14:paraId="426DB470" w14:textId="77777777"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PNFXENV</w:t>
            </w:r>
          </w:p>
        </w:tc>
        <w:tc>
          <w:tcPr>
            <w:tcW w:w="1571" w:type="dxa"/>
          </w:tcPr>
          <w:p w14:paraId="05AFF286" w14:textId="77777777"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</w:t>
            </w:r>
          </w:p>
        </w:tc>
        <w:tc>
          <w:tcPr>
            <w:tcW w:w="1300" w:type="dxa"/>
          </w:tcPr>
          <w:p w14:paraId="49F7BD3F" w14:textId="77777777"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4023E710" w14:textId="77777777" w:rsidR="0087663E" w:rsidRDefault="0087663E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 to Deploy to </w:t>
            </w:r>
          </w:p>
        </w:tc>
      </w:tr>
      <w:tr w:rsidR="00553EF9" w:rsidRPr="00EA7F2F" w14:paraId="3C4C1B4F" w14:textId="77777777" w:rsidTr="00533BE8">
        <w:tc>
          <w:tcPr>
            <w:tcW w:w="1387" w:type="dxa"/>
          </w:tcPr>
          <w:p w14:paraId="6A495463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14:paraId="1A375BF8" w14:textId="77777777"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14:paraId="58CFF230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3C8B0503" w14:textId="77777777" w:rsidR="00553EF9" w:rsidRDefault="00920020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Compile </w:t>
            </w:r>
            <w:r w:rsidR="0087663E">
              <w:rPr>
                <w:sz w:val="16"/>
                <w:szCs w:val="16"/>
              </w:rPr>
              <w:t>the PENFAX Form</w:t>
            </w:r>
            <w:r w:rsidR="006D68B4">
              <w:rPr>
                <w:sz w:val="16"/>
                <w:szCs w:val="16"/>
              </w:rPr>
              <w:t xml:space="preserve"> Artifact </w:t>
            </w:r>
            <w:r w:rsidR="0087663E">
              <w:rPr>
                <w:sz w:val="16"/>
                <w:szCs w:val="16"/>
              </w:rPr>
              <w:t>against</w:t>
            </w:r>
            <w:r>
              <w:rPr>
                <w:sz w:val="16"/>
                <w:szCs w:val="16"/>
              </w:rPr>
              <w:t xml:space="preserve">: </w:t>
            </w:r>
            <w:r w:rsidR="006D68B4">
              <w:rPr>
                <w:sz w:val="16"/>
                <w:szCs w:val="16"/>
              </w:rPr>
              <w:t>DEVL, DEV3, RDEV, TST</w:t>
            </w:r>
            <w:r w:rsidR="0087663E">
              <w:rPr>
                <w:sz w:val="16"/>
                <w:szCs w:val="16"/>
              </w:rPr>
              <w:t>1, TST2, TST3,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87663E">
              <w:rPr>
                <w:sz w:val="16"/>
                <w:szCs w:val="16"/>
              </w:rPr>
              <w:t>compiled against.</w:t>
            </w:r>
          </w:p>
        </w:tc>
      </w:tr>
      <w:tr w:rsidR="006D68B4" w:rsidRPr="00EA7F2F" w14:paraId="1B466FC6" w14:textId="77777777" w:rsidTr="00533BE8">
        <w:tc>
          <w:tcPr>
            <w:tcW w:w="1387" w:type="dxa"/>
          </w:tcPr>
          <w:p w14:paraId="4EC069A9" w14:textId="77777777"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Pnfx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14:paraId="46A24891" w14:textId="77777777"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 FORM Artifacts</w:t>
            </w:r>
          </w:p>
        </w:tc>
        <w:tc>
          <w:tcPr>
            <w:tcW w:w="1300" w:type="dxa"/>
          </w:tcPr>
          <w:p w14:paraId="5AC6CA27" w14:textId="77777777"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14:paraId="17460E17" w14:textId="77777777"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D05FAA">
              <w:rPr>
                <w:sz w:val="16"/>
                <w:szCs w:val="16"/>
              </w:rPr>
              <w:t>PENFAX Form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14:paraId="75974C9D" w14:textId="77777777"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8630F15" w14:textId="77777777"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474677" w:rsidRPr="00EA7F2F" w14:paraId="5F191DBE" w14:textId="77777777" w:rsidTr="00296C12">
        <w:tc>
          <w:tcPr>
            <w:tcW w:w="1387" w:type="dxa"/>
          </w:tcPr>
          <w:p w14:paraId="783ABBEB" w14:textId="77777777"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14:paraId="00482108" w14:textId="77777777"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14:paraId="6A27F0B8" w14:textId="77777777"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194AA142" w14:textId="77777777"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either is deployed (re: Geoff G.).</w:t>
            </w:r>
          </w:p>
        </w:tc>
      </w:tr>
    </w:tbl>
    <w:p w14:paraId="6196E7C6" w14:textId="77777777" w:rsidR="00702F9A" w:rsidRDefault="008B00AC">
      <w:r>
        <w:tab/>
      </w:r>
    </w:p>
    <w:p w14:paraId="75468A64" w14:textId="77777777" w:rsidR="00AE2D6A" w:rsidRDefault="00AE2D6A">
      <w:r>
        <w:br w:type="page"/>
      </w:r>
    </w:p>
    <w:p w14:paraId="2E381B03" w14:textId="77777777"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260"/>
        <w:gridCol w:w="1080"/>
        <w:gridCol w:w="3780"/>
      </w:tblGrid>
      <w:tr w:rsidR="00F077DB" w:rsidRPr="00972D1F" w14:paraId="6BF53C44" w14:textId="77777777" w:rsidTr="00D039D7">
        <w:trPr>
          <w:cantSplit/>
          <w:tblHeader/>
        </w:trPr>
        <w:tc>
          <w:tcPr>
            <w:tcW w:w="1710" w:type="dxa"/>
          </w:tcPr>
          <w:p w14:paraId="3970FF28" w14:textId="77777777"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14:paraId="3EF97CCB" w14:textId="77777777"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04355ABB" w14:textId="77777777"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0DE66964" w14:textId="77777777"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14:paraId="5B65D04F" w14:textId="77777777"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F077DB" w:rsidRPr="00972D1F" w14:paraId="692D7BB0" w14:textId="77777777" w:rsidTr="00D039D7">
        <w:tc>
          <w:tcPr>
            <w:tcW w:w="1710" w:type="dxa"/>
          </w:tcPr>
          <w:p w14:paraId="3A15E72D" w14:textId="77777777" w:rsidR="00F077DB" w:rsidRPr="00972D1F" w:rsidRDefault="00F077DB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</w:t>
            </w:r>
            <w:proofErr w:type="spellEnd"/>
          </w:p>
        </w:tc>
        <w:tc>
          <w:tcPr>
            <w:tcW w:w="1890" w:type="dxa"/>
          </w:tcPr>
          <w:p w14:paraId="75528788" w14:textId="77777777" w:rsidR="00F077DB" w:rsidRPr="00972D1F" w:rsidRDefault="00F077DB" w:rsidP="005729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create_pnfx_compile_playbook_vars.yml</w:t>
            </w:r>
            <w:proofErr w:type="spellEnd"/>
          </w:p>
        </w:tc>
        <w:tc>
          <w:tcPr>
            <w:tcW w:w="1260" w:type="dxa"/>
          </w:tcPr>
          <w:p w14:paraId="7A26529B" w14:textId="77777777"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2B3BFB39" w14:textId="77777777" w:rsidR="00F077DB" w:rsidRPr="00972D1F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37217760" w14:textId="77777777"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>
              <w:rPr>
                <w:sz w:val="16"/>
                <w:szCs w:val="16"/>
              </w:rPr>
              <w:t>test_pnfx_rule</w:t>
            </w:r>
            <w:proofErr w:type="spellEnd"/>
          </w:p>
          <w:p w14:paraId="19ED6429" w14:textId="77777777"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14:paraId="43283AE8" w14:textId="77777777"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14:paraId="7968B117" w14:textId="77777777"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</w:t>
            </w:r>
            <w:r>
              <w:rPr>
                <w:sz w:val="16"/>
                <w:szCs w:val="16"/>
              </w:rPr>
              <w:t>rectory</w:t>
            </w:r>
            <w:proofErr w:type="spellEnd"/>
            <w:r>
              <w:rPr>
                <w:sz w:val="16"/>
                <w:szCs w:val="16"/>
              </w:rPr>
              <w:t>: /opt/</w:t>
            </w:r>
            <w:proofErr w:type="spellStart"/>
            <w:r>
              <w:rPr>
                <w:sz w:val="16"/>
                <w:szCs w:val="16"/>
              </w:rPr>
              <w:t>ipas_app_test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test_pnfx_rule</w:t>
            </w:r>
            <w:proofErr w:type="spellEnd"/>
          </w:p>
          <w:p w14:paraId="405EC541" w14:textId="77777777"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14:paraId="0EC218DF" w14:textId="77777777"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14:paraId="4740D6B6" w14:textId="77777777"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14:paraId="1D79EAB2" w14:textId="77777777" w:rsidR="00F077DB" w:rsidRPr="00972D1F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F077DB" w:rsidRPr="00972D1F" w14:paraId="3B74B096" w14:textId="77777777" w:rsidTr="00D039D7">
        <w:tc>
          <w:tcPr>
            <w:tcW w:w="1710" w:type="dxa"/>
          </w:tcPr>
          <w:p w14:paraId="10EF04A7" w14:textId="77777777" w:rsidR="00F077DB" w:rsidRPr="00972D1F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stage_pnfx_artifacts</w:t>
            </w:r>
            <w:proofErr w:type="spellEnd"/>
          </w:p>
        </w:tc>
        <w:tc>
          <w:tcPr>
            <w:tcW w:w="1890" w:type="dxa"/>
          </w:tcPr>
          <w:p w14:paraId="3C923BDB" w14:textId="77777777" w:rsidR="00F077DB" w:rsidRPr="00972D1F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stage_pnfx_artifacts.yml</w:t>
            </w:r>
            <w:proofErr w:type="spellEnd"/>
          </w:p>
        </w:tc>
        <w:tc>
          <w:tcPr>
            <w:tcW w:w="1260" w:type="dxa"/>
          </w:tcPr>
          <w:p w14:paraId="510F1B72" w14:textId="77777777" w:rsidR="00F077DB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4B9CCAEA" w14:textId="77777777" w:rsidR="00D039D7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9215F6E" w14:textId="77777777" w:rsidR="00D039D7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14:paraId="7056D26E" w14:textId="77777777" w:rsidR="00F077DB" w:rsidRPr="00972D1F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4DD3AD23" w14:textId="77777777" w:rsidR="00F077DB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PnfxArtifacts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artifacts from SVN and place them in the Online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14:paraId="4CA5F633" w14:textId="77777777" w:rsidR="00F077DB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5E2DE3E" w14:textId="77777777" w:rsidR="00F077DB" w:rsidRPr="00972D1F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F077DB" w:rsidRPr="00972D1F" w14:paraId="39180624" w14:textId="77777777" w:rsidTr="00D039D7">
        <w:tc>
          <w:tcPr>
            <w:tcW w:w="1710" w:type="dxa"/>
          </w:tcPr>
          <w:p w14:paraId="06A74FF3" w14:textId="77777777"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check_pnfx_staged_files</w:t>
            </w:r>
            <w:proofErr w:type="spellEnd"/>
          </w:p>
        </w:tc>
        <w:tc>
          <w:tcPr>
            <w:tcW w:w="1890" w:type="dxa"/>
          </w:tcPr>
          <w:p w14:paraId="5BB2CE81" w14:textId="77777777"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check_pnfx_staged_files.yml</w:t>
            </w:r>
            <w:proofErr w:type="spellEnd"/>
          </w:p>
        </w:tc>
        <w:tc>
          <w:tcPr>
            <w:tcW w:w="1260" w:type="dxa"/>
          </w:tcPr>
          <w:p w14:paraId="75A911A9" w14:textId="77777777" w:rsidR="00F077DB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14:paraId="721788B0" w14:textId="77777777"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0BE3B15D" w14:textId="77777777"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Pnfx</w:t>
            </w:r>
            <w:proofErr w:type="spellEnd"/>
            <w:r>
              <w:rPr>
                <w:sz w:val="16"/>
                <w:szCs w:val="16"/>
              </w:rPr>
              <w:t xml:space="preserve"> to make sure at least one of *.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F077DB" w:rsidRPr="00972D1F" w14:paraId="4CDA1BE4" w14:textId="77777777" w:rsidTr="00D039D7">
        <w:tc>
          <w:tcPr>
            <w:tcW w:w="1710" w:type="dxa"/>
          </w:tcPr>
          <w:p w14:paraId="69B0663F" w14:textId="77777777"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copy_far_artifacts_to_pnfx</w:t>
            </w:r>
            <w:proofErr w:type="spellEnd"/>
          </w:p>
        </w:tc>
        <w:tc>
          <w:tcPr>
            <w:tcW w:w="1890" w:type="dxa"/>
          </w:tcPr>
          <w:p w14:paraId="2F4F708E" w14:textId="77777777"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copy_far_artifacts_to_pnfx.yml</w:t>
            </w:r>
            <w:proofErr w:type="spellEnd"/>
          </w:p>
        </w:tc>
        <w:tc>
          <w:tcPr>
            <w:tcW w:w="1260" w:type="dxa"/>
          </w:tcPr>
          <w:p w14:paraId="159DC01F" w14:textId="77777777"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5FE01224" w14:textId="77777777"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3224E7B7" w14:textId="77777777"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Artifacts staged into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exist,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F077DB" w:rsidRPr="00972D1F" w14:paraId="7209023A" w14:textId="77777777" w:rsidTr="0004196D">
        <w:trPr>
          <w:cantSplit/>
        </w:trPr>
        <w:tc>
          <w:tcPr>
            <w:tcW w:w="1710" w:type="dxa"/>
          </w:tcPr>
          <w:p w14:paraId="666CCD72" w14:textId="77777777"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compile_pnfx_forms</w:t>
            </w:r>
            <w:proofErr w:type="spellEnd"/>
          </w:p>
        </w:tc>
        <w:tc>
          <w:tcPr>
            <w:tcW w:w="1890" w:type="dxa"/>
          </w:tcPr>
          <w:p w14:paraId="77128386" w14:textId="77777777"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compile_pnfx_forms.yml</w:t>
            </w:r>
            <w:proofErr w:type="spellEnd"/>
          </w:p>
          <w:p w14:paraId="1C4CA837" w14:textId="77777777"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3DDF543" w14:textId="77777777"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14:paraId="3516D66B" w14:textId="77777777"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14:paraId="482CA0DC" w14:textId="77777777"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14:paraId="7323F787" w14:textId="77777777"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260" w:type="dxa"/>
          </w:tcPr>
          <w:p w14:paraId="45DBED8E" w14:textId="77777777"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14:paraId="21352FA3" w14:textId="77777777" w:rsidR="002D42FE" w:rsidRDefault="002D42FE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0714BE5" w14:textId="77777777" w:rsidR="002D42FE" w:rsidRDefault="002D42FE" w:rsidP="002D42FE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5795533" w14:textId="77777777" w:rsidR="002D42FE" w:rsidRDefault="002D42FE" w:rsidP="002D42F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1080" w:type="dxa"/>
          </w:tcPr>
          <w:p w14:paraId="7AC66A87" w14:textId="77777777"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28F1B78D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compiles</w:t>
            </w:r>
            <w:proofErr w:type="gramEnd"/>
            <w:r>
              <w:rPr>
                <w:sz w:val="16"/>
                <w:szCs w:val="16"/>
              </w:rPr>
              <w:t xml:space="preserve">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14:paraId="5C1B7576" w14:textId="77777777" w:rsidR="00E26E00" w:rsidRDefault="00E26E0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4761685" w14:textId="77777777"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{{Schema}} and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614AC04F" w14:textId="77777777"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BC0884B" w14:textId="77777777"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743966CE" w14:textId="77777777"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929EA90" w14:textId="77777777"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38188EB9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1282514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  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1C2329E3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C0AB718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14:paraId="121ECE17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2D50EF0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Pnfx</w:t>
            </w:r>
            <w:proofErr w:type="spellEnd"/>
            <w:r>
              <w:rPr>
                <w:sz w:val="16"/>
                <w:szCs w:val="16"/>
              </w:rPr>
              <w:t xml:space="preserve">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02AAEB14" w14:textId="77777777"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F077DB" w:rsidRPr="00972D1F" w14:paraId="39F10A1C" w14:textId="77777777" w:rsidTr="00D039D7">
        <w:tc>
          <w:tcPr>
            <w:tcW w:w="1710" w:type="dxa"/>
          </w:tcPr>
          <w:p w14:paraId="5EA77277" w14:textId="77777777"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</w:t>
            </w:r>
            <w:proofErr w:type="spellEnd"/>
          </w:p>
        </w:tc>
        <w:tc>
          <w:tcPr>
            <w:tcW w:w="1890" w:type="dxa"/>
          </w:tcPr>
          <w:p w14:paraId="58DF38B0" w14:textId="77777777"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consolidate_pnfx_compile_errors.yml</w:t>
            </w:r>
            <w:proofErr w:type="spellEnd"/>
          </w:p>
        </w:tc>
        <w:tc>
          <w:tcPr>
            <w:tcW w:w="1260" w:type="dxa"/>
          </w:tcPr>
          <w:p w14:paraId="068EA2A4" w14:textId="77777777"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290213DE" w14:textId="77777777"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4FC0FE85" w14:textId="77777777"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F077DB" w:rsidRPr="00972D1F" w14:paraId="5693F455" w14:textId="77777777" w:rsidTr="00D039D7">
        <w:trPr>
          <w:cantSplit/>
        </w:trPr>
        <w:tc>
          <w:tcPr>
            <w:tcW w:w="1710" w:type="dxa"/>
          </w:tcPr>
          <w:p w14:paraId="6F1DAD2F" w14:textId="77777777"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populate_pnfx_deployment_logs</w:t>
            </w:r>
            <w:proofErr w:type="spellEnd"/>
          </w:p>
        </w:tc>
        <w:tc>
          <w:tcPr>
            <w:tcW w:w="1890" w:type="dxa"/>
          </w:tcPr>
          <w:p w14:paraId="6089DC2F" w14:textId="77777777"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1260" w:type="dxa"/>
          </w:tcPr>
          <w:p w14:paraId="23D0D782" w14:textId="77777777" w:rsidR="0008713F" w:rsidRDefault="0008713F" w:rsidP="000871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1DE8674D" w14:textId="77777777"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77CFBCFA" w14:textId="77777777"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14:paraId="7791B203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}}_PNFX_Log.html</w:t>
            </w:r>
            <w:proofErr w:type="gramEnd"/>
            <w:r>
              <w:rPr>
                <w:sz w:val="16"/>
                <w:szCs w:val="16"/>
              </w:rPr>
              <w:t xml:space="preserve">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14:paraId="2B670C36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B4C357B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}}_PNFX_Compile_Errors.html</w:t>
            </w:r>
            <w:proofErr w:type="gramEnd"/>
            <w:r>
              <w:rPr>
                <w:sz w:val="16"/>
                <w:szCs w:val="16"/>
              </w:rPr>
              <w:t xml:space="preserve"> with any ERRORS generated during the compiles.</w:t>
            </w:r>
          </w:p>
          <w:p w14:paraId="25AC7C90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53361B9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}}/{{ENV}}_PNFX_Compile_Errors.html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14:paraId="7F38E5FF" w14:textId="77777777" w:rsidR="00F077DB" w:rsidRPr="00B80107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14:paraId="44DC6824" w14:textId="77777777"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14:paraId="0511571F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4196D"/>
    <w:rsid w:val="00071FA6"/>
    <w:rsid w:val="0008713F"/>
    <w:rsid w:val="000A742D"/>
    <w:rsid w:val="000C2577"/>
    <w:rsid w:val="000D245D"/>
    <w:rsid w:val="00106F8B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D42FE"/>
    <w:rsid w:val="002E694B"/>
    <w:rsid w:val="002F6041"/>
    <w:rsid w:val="00443471"/>
    <w:rsid w:val="00451AFD"/>
    <w:rsid w:val="00474677"/>
    <w:rsid w:val="004B09D6"/>
    <w:rsid w:val="004E1D82"/>
    <w:rsid w:val="00533BE8"/>
    <w:rsid w:val="00542C33"/>
    <w:rsid w:val="00553EF9"/>
    <w:rsid w:val="005729DC"/>
    <w:rsid w:val="00574BC8"/>
    <w:rsid w:val="00586964"/>
    <w:rsid w:val="005E097C"/>
    <w:rsid w:val="006420E5"/>
    <w:rsid w:val="00645ACE"/>
    <w:rsid w:val="006768B3"/>
    <w:rsid w:val="006D68B4"/>
    <w:rsid w:val="00702F9A"/>
    <w:rsid w:val="00753A5D"/>
    <w:rsid w:val="007A52CE"/>
    <w:rsid w:val="007C402E"/>
    <w:rsid w:val="007E769E"/>
    <w:rsid w:val="007F3456"/>
    <w:rsid w:val="00801FFB"/>
    <w:rsid w:val="0080410E"/>
    <w:rsid w:val="0087663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062FB"/>
    <w:rsid w:val="00A54DA4"/>
    <w:rsid w:val="00A6689D"/>
    <w:rsid w:val="00A71C7E"/>
    <w:rsid w:val="00AA6FD0"/>
    <w:rsid w:val="00AD485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039D7"/>
    <w:rsid w:val="00D05FAA"/>
    <w:rsid w:val="00D117F3"/>
    <w:rsid w:val="00D24037"/>
    <w:rsid w:val="00D33D00"/>
    <w:rsid w:val="00D55923"/>
    <w:rsid w:val="00D64398"/>
    <w:rsid w:val="00D77553"/>
    <w:rsid w:val="00DB1132"/>
    <w:rsid w:val="00DE5F76"/>
    <w:rsid w:val="00E26E00"/>
    <w:rsid w:val="00E67365"/>
    <w:rsid w:val="00E77A99"/>
    <w:rsid w:val="00EA7F2F"/>
    <w:rsid w:val="00F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916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6</cp:revision>
  <dcterms:created xsi:type="dcterms:W3CDTF">2021-05-17T20:59:00Z</dcterms:created>
  <dcterms:modified xsi:type="dcterms:W3CDTF">2022-08-12T21:17:00Z</dcterms:modified>
</cp:coreProperties>
</file>