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_ONLINE_BATCH_Forms_Reports_</w:t>
      </w:r>
      <w:r w:rsidR="004B6F60">
        <w:rPr>
          <w:b/>
        </w:rPr>
        <w:t>to_MUAT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FAR Environments from </w:t>
      </w:r>
      <w:r w:rsidR="004B6F60">
        <w:t>a TEST environment to MUAT/MAINT</w:t>
      </w:r>
      <w:r w:rsidR="00E7591D">
        <w:t xml:space="preserve">.  </w:t>
      </w:r>
    </w:p>
    <w:p w:rsidR="00C94A68" w:rsidRPr="00E7591D" w:rsidRDefault="004B6F60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29919D9" wp14:editId="67DB26D8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4B6F60" w:rsidP="00164A47">
      <w:pPr>
        <w:pStyle w:val="ListParagraph"/>
      </w:pPr>
      <w:r>
        <w:rPr>
          <w:noProof/>
        </w:rPr>
        <w:drawing>
          <wp:inline distT="0" distB="0" distL="0" distR="0" wp14:anchorId="30DE5DB0" wp14:editId="6BF3DDFD">
            <wp:extent cx="1519824" cy="88080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854" cy="8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(TS</w:t>
            </w:r>
            <w:r w:rsidR="004B6F60">
              <w:rPr>
                <w:sz w:val="16"/>
                <w:szCs w:val="16"/>
              </w:rPr>
              <w:t>T1, TST2, TST3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4B6F60">
              <w:rPr>
                <w:sz w:val="16"/>
                <w:szCs w:val="16"/>
              </w:rPr>
              <w:t>MUAT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REFRESH_WEB</w:t>
            </w:r>
          </w:p>
        </w:tc>
        <w:tc>
          <w:tcPr>
            <w:tcW w:w="1636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the Web COMPILE Environments</w:t>
            </w:r>
          </w:p>
        </w:tc>
        <w:tc>
          <w:tcPr>
            <w:tcW w:w="1267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B62A28" w:rsidRDefault="00147E47" w:rsidP="004B6F60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</w:t>
            </w:r>
            <w:r w:rsidR="00136505">
              <w:rPr>
                <w:sz w:val="16"/>
                <w:szCs w:val="16"/>
              </w:rPr>
              <w:t>rue</w:t>
            </w:r>
            <w:proofErr w:type="gramEnd"/>
            <w:r w:rsidR="00136505">
              <w:rPr>
                <w:sz w:val="16"/>
                <w:szCs w:val="16"/>
              </w:rPr>
              <w:t xml:space="preserve"> or false (default is false).  If this is set to true the WEB Compile environment will be </w:t>
            </w:r>
            <w:r w:rsidR="004B6F60">
              <w:rPr>
                <w:sz w:val="16"/>
                <w:szCs w:val="16"/>
              </w:rPr>
              <w:t>released</w:t>
            </w:r>
            <w:r w:rsidR="00136505">
              <w:rPr>
                <w:sz w:val="16"/>
                <w:szCs w:val="16"/>
              </w:rPr>
              <w:t xml:space="preserve">.  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4B6F60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</w:t>
            </w:r>
            <w:r w:rsidR="00147E47">
              <w:rPr>
                <w:sz w:val="16"/>
                <w:szCs w:val="16"/>
              </w:rPr>
              <w:t>_env_vars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B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</w:t>
            </w:r>
            <w:r w:rsidR="00147E47">
              <w:rPr>
                <w:sz w:val="16"/>
                <w:szCs w:val="16"/>
              </w:rPr>
              <w:t>_env_vars</w:t>
            </w:r>
            <w:r w:rsidR="00B370B3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147E47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FAR </w:t>
            </w:r>
            <w:r w:rsidR="00FB2D10">
              <w:rPr>
                <w:sz w:val="16"/>
                <w:szCs w:val="16"/>
              </w:rPr>
              <w:t>Deployments</w:t>
            </w:r>
          </w:p>
        </w:tc>
        <w:tc>
          <w:tcPr>
            <w:tcW w:w="4487" w:type="dxa"/>
          </w:tcPr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Destination_Batch_Compile_Directory</w:t>
            </w:r>
            <w:proofErr w:type="spellEnd"/>
            <w:r w:rsidRPr="00E04D16">
              <w:rPr>
                <w:sz w:val="16"/>
                <w:szCs w:val="16"/>
              </w:rPr>
              <w:t>: \\cronrepmaint\Reports$\defs\muat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Destination_Online_Compile_Directory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muat</w:t>
            </w:r>
            <w:proofErr w:type="spellEnd"/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Destination_Online_Runtime_Directory</w:t>
            </w:r>
            <w:proofErr w:type="spellEnd"/>
            <w:r w:rsidRPr="00E04D16">
              <w:rPr>
                <w:sz w:val="16"/>
                <w:szCs w:val="16"/>
              </w:rPr>
              <w:t>: /opt/</w:t>
            </w:r>
            <w:proofErr w:type="spellStart"/>
            <w:r w:rsidRPr="00E04D16">
              <w:rPr>
                <w:sz w:val="16"/>
                <w:szCs w:val="16"/>
              </w:rPr>
              <w:t>ipas_app_test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muat</w:t>
            </w:r>
            <w:proofErr w:type="spellEnd"/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Destination_WEB_Compile_Directory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webm</w:t>
            </w:r>
            <w:proofErr w:type="spellEnd"/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Source_Batch_Compile_Directory</w:t>
            </w:r>
            <w:proofErr w:type="spellEnd"/>
            <w:r w:rsidRPr="00E04D16">
              <w:rPr>
                <w:sz w:val="16"/>
                <w:szCs w:val="16"/>
              </w:rPr>
              <w:t>: \\cronreptest1\Reports$\defs\tst3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Source_Online_Compile_Directory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/compile/ipas12c/tst3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Source_Online_Runtime_Directory</w:t>
            </w:r>
            <w:proofErr w:type="spellEnd"/>
            <w:r w:rsidRPr="00E04D16">
              <w:rPr>
                <w:sz w:val="16"/>
                <w:szCs w:val="16"/>
              </w:rPr>
              <w:t>: /opt/</w:t>
            </w:r>
            <w:proofErr w:type="spellStart"/>
            <w:r w:rsidRPr="00E04D16">
              <w:rPr>
                <w:sz w:val="16"/>
                <w:szCs w:val="16"/>
              </w:rPr>
              <w:t>ipas_app_test</w:t>
            </w:r>
            <w:proofErr w:type="spellEnd"/>
            <w:r w:rsidRPr="00E04D16">
              <w:rPr>
                <w:sz w:val="16"/>
                <w:szCs w:val="16"/>
              </w:rPr>
              <w:t>/tst3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Source_WEB_Compile_Directory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webt</w:t>
            </w:r>
            <w:proofErr w:type="spellEnd"/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batch_far_server</w:t>
            </w:r>
            <w:proofErr w:type="spellEnd"/>
            <w:r w:rsidRPr="00E04D16">
              <w:rPr>
                <w:sz w:val="16"/>
                <w:szCs w:val="16"/>
              </w:rPr>
              <w:t>: cronreptest1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date_time</w:t>
            </w:r>
            <w:proofErr w:type="spellEnd"/>
            <w:r w:rsidRPr="00E04D16">
              <w:rPr>
                <w:sz w:val="16"/>
                <w:szCs w:val="16"/>
              </w:rPr>
              <w:t>: '20200828_1043'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far_server</w:t>
            </w:r>
            <w:proofErr w:type="spellEnd"/>
            <w:r w:rsidRPr="00E04D16">
              <w:rPr>
                <w:sz w:val="16"/>
                <w:szCs w:val="16"/>
              </w:rPr>
              <w:t>: taras1bcp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open_chmod</w:t>
            </w:r>
            <w:proofErr w:type="spellEnd"/>
            <w:r w:rsidRPr="00E04D16">
              <w:rPr>
                <w:sz w:val="16"/>
                <w:szCs w:val="16"/>
              </w:rPr>
              <w:t>: false</w:t>
            </w:r>
          </w:p>
          <w:p w:rsidR="00E04D16" w:rsidRPr="00E04D16" w:rsidRDefault="00E04D16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stage_server</w:t>
            </w:r>
            <w:proofErr w:type="spellEnd"/>
            <w:r w:rsidRPr="00E04D16">
              <w:rPr>
                <w:sz w:val="16"/>
                <w:szCs w:val="16"/>
              </w:rPr>
              <w:t>: daulis1bcp</w:t>
            </w:r>
          </w:p>
          <w:p w:rsidR="00B370B3" w:rsidRPr="00972D1F" w:rsidRDefault="00E04D16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tower_hostname</w:t>
            </w:r>
            <w:proofErr w:type="spellEnd"/>
            <w:r w:rsidRPr="00E04D16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78078E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</w:p>
        </w:tc>
        <w:tc>
          <w:tcPr>
            <w:tcW w:w="2250" w:type="dxa"/>
          </w:tcPr>
          <w:p w:rsidR="00C94A68" w:rsidRPr="00972D1F" w:rsidRDefault="0078078E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E04D16" w:rsidRDefault="00E04D16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Destination_WEB_Compile_Directory</w:t>
            </w:r>
            <w:proofErr w:type="spellEnd"/>
            <w:r>
              <w:rPr>
                <w:sz w:val="16"/>
                <w:szCs w:val="16"/>
              </w:rPr>
              <w:t>}} Directories and then copies the {{</w:t>
            </w:r>
            <w:proofErr w:type="spellStart"/>
            <w:r>
              <w:rPr>
                <w:sz w:val="16"/>
                <w:szCs w:val="16"/>
              </w:rPr>
              <w:t>Source_Online_Compile_Directory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Source_WEB_Compile_Directory</w:t>
            </w:r>
            <w:proofErr w:type="spellEnd"/>
            <w:r>
              <w:rPr>
                <w:sz w:val="16"/>
                <w:szCs w:val="16"/>
              </w:rPr>
              <w:t>}} (When {{REFRESH_WEB}} is true) to the corresponding Destination Directories.</w:t>
            </w:r>
          </w:p>
          <w:p w:rsidR="00D64398" w:rsidRPr="00972D1F" w:rsidRDefault="00E04D16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D91789" w:rsidRPr="00972D1F" w:rsidTr="00981A2D">
        <w:trPr>
          <w:cantSplit/>
          <w:tblHeader/>
        </w:trPr>
        <w:tc>
          <w:tcPr>
            <w:tcW w:w="2160" w:type="dxa"/>
          </w:tcPr>
          <w:p w:rsidR="00D91789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</w:p>
        </w:tc>
        <w:tc>
          <w:tcPr>
            <w:tcW w:w="2250" w:type="dxa"/>
          </w:tcPr>
          <w:p w:rsidR="00D91789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refresh_windows_env.yml</w:t>
            </w:r>
            <w:proofErr w:type="spellEnd"/>
          </w:p>
        </w:tc>
        <w:tc>
          <w:tcPr>
            <w:tcW w:w="1080" w:type="dxa"/>
          </w:tcPr>
          <w:p w:rsidR="00D91789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6A49B1" w:rsidRPr="006A49B1" w:rsidRDefault="00E04D16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 and then copies the {{</w:t>
            </w:r>
            <w:proofErr w:type="spellStart"/>
            <w:r>
              <w:rPr>
                <w:sz w:val="16"/>
                <w:szCs w:val="16"/>
              </w:rPr>
              <w:t>Source_Batch_Compile_Directory</w:t>
            </w:r>
            <w:proofErr w:type="spellEnd"/>
            <w:r>
              <w:rPr>
                <w:sz w:val="16"/>
                <w:szCs w:val="16"/>
              </w:rPr>
              <w:t>}} to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78078E" w:rsidRPr="00972D1F" w:rsidTr="00981A2D">
        <w:trPr>
          <w:cantSplit/>
          <w:tblHeader/>
        </w:trPr>
        <w:tc>
          <w:tcPr>
            <w:tcW w:w="2160" w:type="dxa"/>
          </w:tcPr>
          <w:p w:rsidR="0078078E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</w:t>
            </w:r>
            <w:proofErr w:type="spellEnd"/>
          </w:p>
        </w:tc>
        <w:tc>
          <w:tcPr>
            <w:tcW w:w="2250" w:type="dxa"/>
          </w:tcPr>
          <w:p w:rsidR="0078078E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converge_workflow.yml</w:t>
            </w:r>
            <w:proofErr w:type="spellEnd"/>
          </w:p>
        </w:tc>
        <w:tc>
          <w:tcPr>
            <w:tcW w:w="1080" w:type="dxa"/>
          </w:tcPr>
          <w:p w:rsidR="0078078E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78078E" w:rsidRPr="006A49B1" w:rsidRDefault="00E04D16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simple convergence job to ensure both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both complete before proceeding.  In earlier versions of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if one converging job completed the next step in the workflow always executed, which is not what we want here.</w:t>
            </w:r>
          </w:p>
        </w:tc>
      </w:tr>
      <w:tr w:rsidR="0078078E" w:rsidRPr="00972D1F" w:rsidTr="00981A2D">
        <w:trPr>
          <w:cantSplit/>
          <w:tblHeader/>
        </w:trPr>
        <w:tc>
          <w:tcPr>
            <w:tcW w:w="2160" w:type="dxa"/>
          </w:tcPr>
          <w:p w:rsidR="0078078E" w:rsidRDefault="00E04D1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</w:t>
            </w:r>
            <w:r w:rsidR="0078078E">
              <w:rPr>
                <w:sz w:val="16"/>
                <w:szCs w:val="16"/>
              </w:rPr>
              <w:t>_logs</w:t>
            </w:r>
            <w:proofErr w:type="spellEnd"/>
          </w:p>
        </w:tc>
        <w:tc>
          <w:tcPr>
            <w:tcW w:w="2250" w:type="dxa"/>
          </w:tcPr>
          <w:p w:rsidR="0078078E" w:rsidRDefault="00E04D16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</w:t>
            </w:r>
            <w:r w:rsidR="0078078E">
              <w:rPr>
                <w:sz w:val="16"/>
                <w:szCs w:val="16"/>
              </w:rPr>
              <w:t>_logs.yml</w:t>
            </w:r>
            <w:proofErr w:type="spellEnd"/>
          </w:p>
        </w:tc>
        <w:tc>
          <w:tcPr>
            <w:tcW w:w="1080" w:type="dxa"/>
          </w:tcPr>
          <w:p w:rsidR="0078078E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78078E" w:rsidRPr="006A49B1" w:rsidRDefault="00E04D16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complete successfully c</w:t>
            </w:r>
            <w:r>
              <w:rPr>
                <w:sz w:val="16"/>
                <w:szCs w:val="16"/>
              </w:rPr>
              <w:t xml:space="preserve">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bookmarkStart w:id="0" w:name="_GoBack"/>
            <w:bookmarkEnd w:id="0"/>
            <w:r>
              <w:rPr>
                <w:sz w:val="16"/>
                <w:szCs w:val="16"/>
              </w:rPr>
              <w:t>/{{DESTINATION}}_Release</w:t>
            </w:r>
            <w:r>
              <w:rPr>
                <w:sz w:val="16"/>
                <w:szCs w:val="16"/>
              </w:rPr>
              <w:t>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D29D7"/>
    <w:rsid w:val="002E694B"/>
    <w:rsid w:val="003E5935"/>
    <w:rsid w:val="00435D86"/>
    <w:rsid w:val="00437D3D"/>
    <w:rsid w:val="004B6F60"/>
    <w:rsid w:val="004E1D82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2CA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442A4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A11E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EABD2-F00D-4643-9128-8BC865E3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2020-09-10T16:49:00Z</dcterms:created>
  <dcterms:modified xsi:type="dcterms:W3CDTF">2020-09-11T15:58:00Z</dcterms:modified>
</cp:coreProperties>
</file>