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BA8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</w:t>
      </w:r>
      <w:r w:rsidR="00466B3D">
        <w:rPr>
          <w:b/>
        </w:rPr>
        <w:t>Individual_FAR_Artifacts</w:t>
      </w:r>
      <w:r w:rsidR="00E7591D">
        <w:rPr>
          <w:b/>
        </w:rPr>
        <w:t>_</w:t>
      </w:r>
      <w:r w:rsidR="00466B3D">
        <w:rPr>
          <w:b/>
        </w:rPr>
        <w:t>T</w:t>
      </w:r>
      <w:r w:rsidR="004B6F60">
        <w:rPr>
          <w:b/>
        </w:rPr>
        <w:t>o_MUAT</w:t>
      </w:r>
      <w:proofErr w:type="spellEnd"/>
    </w:p>
    <w:p w14:paraId="37AA6DAD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</w:t>
      </w:r>
      <w:r w:rsidR="00466B3D">
        <w:t xml:space="preserve">one or more FAR Artifacts to the MUAT environment.  I </w:t>
      </w:r>
      <w:proofErr w:type="gramStart"/>
      <w:r w:rsidR="00466B3D">
        <w:t>migrates</w:t>
      </w:r>
      <w:proofErr w:type="gramEnd"/>
      <w:r w:rsidR="00466B3D">
        <w:t xml:space="preserve"> </w:t>
      </w:r>
      <w:proofErr w:type="spellStart"/>
      <w:r w:rsidR="00466B3D">
        <w:t>fmb’s</w:t>
      </w:r>
      <w:proofErr w:type="spellEnd"/>
      <w:r w:rsidR="00466B3D">
        <w:t xml:space="preserve">, </w:t>
      </w:r>
      <w:proofErr w:type="spellStart"/>
      <w:r w:rsidR="00466B3D">
        <w:t>rdf’s</w:t>
      </w:r>
      <w:proofErr w:type="spellEnd"/>
      <w:r w:rsidR="00466B3D">
        <w:t xml:space="preserve"> and </w:t>
      </w:r>
      <w:proofErr w:type="spellStart"/>
      <w:r w:rsidR="00466B3D">
        <w:t>tif’s</w:t>
      </w:r>
      <w:proofErr w:type="spellEnd"/>
      <w:r w:rsidR="00466B3D">
        <w:t xml:space="preserve"> (and their corresponding binaries, </w:t>
      </w:r>
      <w:proofErr w:type="spellStart"/>
      <w:r w:rsidR="00466B3D">
        <w:t>fmx’s</w:t>
      </w:r>
      <w:proofErr w:type="spellEnd"/>
      <w:r w:rsidR="00466B3D">
        <w:t xml:space="preserve"> and rep’s)</w:t>
      </w:r>
      <w:r w:rsidR="00E7591D">
        <w:t xml:space="preserve">.  </w:t>
      </w:r>
    </w:p>
    <w:p w14:paraId="203E4EAE" w14:textId="1A3602E2" w:rsidR="00C94A68" w:rsidRPr="00E7591D" w:rsidRDefault="007E4046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519474F" wp14:editId="3A139A7E">
            <wp:extent cx="5943600" cy="85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1F8" w14:textId="42C917AF" w:rsidR="00972D1F" w:rsidRDefault="00233D25" w:rsidP="00972D1F">
      <w:pPr>
        <w:pStyle w:val="ListParagraph"/>
        <w:numPr>
          <w:ilvl w:val="0"/>
          <w:numId w:val="2"/>
        </w:numPr>
      </w:pPr>
      <w:r>
        <w:t>Extra Variables defined at the Workflow Level</w:t>
      </w:r>
    </w:p>
    <w:p w14:paraId="379E6353" w14:textId="2223ADF4" w:rsidR="00233D25" w:rsidRDefault="007E4046" w:rsidP="00233D25">
      <w:r>
        <w:rPr>
          <w:noProof/>
        </w:rPr>
        <w:drawing>
          <wp:inline distT="0" distB="0" distL="0" distR="0" wp14:anchorId="4DD53A56" wp14:editId="0B341BE8">
            <wp:extent cx="5427023" cy="239867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778" cy="24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BCB" w14:textId="6FA26488" w:rsidR="00233D25" w:rsidRDefault="00233D25" w:rsidP="00972D1F">
      <w:pPr>
        <w:pStyle w:val="ListParagraph"/>
        <w:numPr>
          <w:ilvl w:val="0"/>
          <w:numId w:val="2"/>
        </w:numPr>
      </w:pPr>
      <w:r>
        <w:t>Survey – User Supplied Variables</w:t>
      </w:r>
    </w:p>
    <w:p w14:paraId="3F52B8E2" w14:textId="77777777" w:rsidR="00164A47" w:rsidRDefault="0064039B" w:rsidP="00164A47">
      <w:pPr>
        <w:pStyle w:val="ListParagraph"/>
      </w:pPr>
      <w:r>
        <w:rPr>
          <w:noProof/>
        </w:rPr>
        <w:drawing>
          <wp:inline distT="0" distB="0" distL="0" distR="0" wp14:anchorId="425718F7" wp14:editId="22659605">
            <wp:extent cx="1757363" cy="1207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442" cy="12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C02" w14:textId="77777777" w:rsidR="0064039B" w:rsidRDefault="0064039B" w:rsidP="00164A47">
      <w:pPr>
        <w:pStyle w:val="ListParagraph"/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14:paraId="3E1817E5" w14:textId="77777777" w:rsidTr="00B42461">
        <w:tc>
          <w:tcPr>
            <w:tcW w:w="1654" w:type="dxa"/>
          </w:tcPr>
          <w:p w14:paraId="7921449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14:paraId="0C5277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14:paraId="52B2FD7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14:paraId="37B1E12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7850490C" w14:textId="77777777" w:rsidTr="00B42461">
        <w:tc>
          <w:tcPr>
            <w:tcW w:w="1654" w:type="dxa"/>
          </w:tcPr>
          <w:p w14:paraId="3D598DE6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14:paraId="2FA58500" w14:textId="77777777"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14:paraId="7BEC1FAC" w14:textId="77777777"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2C87FF0C" w14:textId="77777777"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(TS</w:t>
            </w:r>
            <w:r w:rsidR="004B6F60">
              <w:rPr>
                <w:sz w:val="16"/>
                <w:szCs w:val="16"/>
              </w:rPr>
              <w:t>T1, TST2, TST3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14:paraId="584EA768" w14:textId="77777777" w:rsidTr="00B42461">
        <w:tc>
          <w:tcPr>
            <w:tcW w:w="1654" w:type="dxa"/>
          </w:tcPr>
          <w:p w14:paraId="3B0F3B75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14:paraId="5268D922" w14:textId="77777777"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14:paraId="1B5EE131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21F1E799" w14:textId="77777777" w:rsidR="00EA7F2F" w:rsidRPr="00EA7F2F" w:rsidRDefault="00136505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4B6F60">
              <w:rPr>
                <w:sz w:val="16"/>
                <w:szCs w:val="16"/>
              </w:rPr>
              <w:t>MUAT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14:paraId="0937CD0E" w14:textId="77777777" w:rsidTr="00B42461">
        <w:tc>
          <w:tcPr>
            <w:tcW w:w="1654" w:type="dxa"/>
          </w:tcPr>
          <w:p w14:paraId="5C791DEA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636" w:type="dxa"/>
          </w:tcPr>
          <w:p w14:paraId="2D7D91BF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and Reports Artifacts to Migrate/Release</w:t>
            </w:r>
          </w:p>
        </w:tc>
        <w:tc>
          <w:tcPr>
            <w:tcW w:w="1267" w:type="dxa"/>
          </w:tcPr>
          <w:p w14:paraId="454D09E7" w14:textId="77777777"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– 20000 characters</w:t>
            </w:r>
          </w:p>
        </w:tc>
        <w:tc>
          <w:tcPr>
            <w:tcW w:w="5343" w:type="dxa"/>
          </w:tcPr>
          <w:p w14:paraId="3781C1A1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individual FAR Artifacts (</w:t>
            </w:r>
            <w:proofErr w:type="spellStart"/>
            <w:r>
              <w:rPr>
                <w:sz w:val="16"/>
                <w:szCs w:val="16"/>
              </w:rPr>
              <w:t>fmb’s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rdf’s</w:t>
            </w:r>
            <w:proofErr w:type="spellEnd"/>
            <w:r>
              <w:rPr>
                <w:sz w:val="16"/>
                <w:szCs w:val="16"/>
              </w:rPr>
              <w:t xml:space="preserve"> or </w:t>
            </w:r>
            <w:proofErr w:type="spellStart"/>
            <w:r>
              <w:rPr>
                <w:sz w:val="16"/>
                <w:szCs w:val="16"/>
              </w:rPr>
              <w:t>tif’s</w:t>
            </w:r>
            <w:proofErr w:type="spellEnd"/>
            <w:r>
              <w:rPr>
                <w:sz w:val="16"/>
                <w:szCs w:val="16"/>
              </w:rPr>
              <w:t>).  Each artifact must be on each own line.</w:t>
            </w:r>
          </w:p>
          <w:p w14:paraId="07EE07BF" w14:textId="77777777" w:rsidR="0064039B" w:rsidRDefault="00FD6F0C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i.e.</w:t>
            </w:r>
          </w:p>
          <w:p w14:paraId="51ABDE16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Form1.fmb</w:t>
            </w:r>
          </w:p>
          <w:p w14:paraId="4973D892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Form2.fmb</w:t>
            </w:r>
          </w:p>
          <w:p w14:paraId="7C482610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Report1.rdf</w:t>
            </w:r>
          </w:p>
          <w:p w14:paraId="76E92986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Report2.rdf</w:t>
            </w:r>
          </w:p>
          <w:p w14:paraId="69EAE14E" w14:textId="77777777"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TIFF1.tif</w:t>
            </w:r>
          </w:p>
          <w:p w14:paraId="72D24F44" w14:textId="77777777" w:rsidR="00B62A28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TIFF2.tif</w:t>
            </w:r>
            <w:r w:rsidR="00136505">
              <w:rPr>
                <w:sz w:val="16"/>
                <w:szCs w:val="16"/>
              </w:rPr>
              <w:t xml:space="preserve">  </w:t>
            </w:r>
          </w:p>
        </w:tc>
      </w:tr>
    </w:tbl>
    <w:p w14:paraId="552B3511" w14:textId="5DC6D23A" w:rsidR="00C94A68" w:rsidRDefault="00C94A68" w:rsidP="00A8249F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14:paraId="39D9DBD5" w14:textId="77777777" w:rsidTr="002215D5">
        <w:trPr>
          <w:cantSplit/>
          <w:tblHeader/>
        </w:trPr>
        <w:tc>
          <w:tcPr>
            <w:tcW w:w="1620" w:type="dxa"/>
          </w:tcPr>
          <w:p w14:paraId="759FBFF7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0C944B10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301060AE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7F59D211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14:paraId="33DCD4BB" w14:textId="77777777"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14:paraId="2BA44FE6" w14:textId="77777777" w:rsidTr="002215D5">
        <w:trPr>
          <w:cantSplit/>
          <w:tblHeader/>
        </w:trPr>
        <w:tc>
          <w:tcPr>
            <w:tcW w:w="1620" w:type="dxa"/>
          </w:tcPr>
          <w:p w14:paraId="75D3424F" w14:textId="77777777"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14:paraId="44A3B8ED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14:paraId="57FA290C" w14:textId="77777777"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3305A01B" w14:textId="77777777"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79DBF11D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Destination_Batch_Compile_Directory</w:t>
            </w:r>
            <w:proofErr w:type="spellEnd"/>
            <w:r w:rsidRPr="00FD6F0C">
              <w:rPr>
                <w:sz w:val="16"/>
                <w:szCs w:val="16"/>
              </w:rPr>
              <w:t>: \\cronrepmaint\Reports$\defs\muat</w:t>
            </w:r>
          </w:p>
          <w:p w14:paraId="05BDE66A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Destination_Online_Compile_Directory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muat</w:t>
            </w:r>
            <w:proofErr w:type="spellEnd"/>
          </w:p>
          <w:p w14:paraId="613D342B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Destination_Online_Runtime_Directory</w:t>
            </w:r>
            <w:proofErr w:type="spellEnd"/>
            <w:r w:rsidRPr="00FD6F0C">
              <w:rPr>
                <w:sz w:val="16"/>
                <w:szCs w:val="16"/>
              </w:rPr>
              <w:t>: /opt/</w:t>
            </w:r>
            <w:proofErr w:type="spellStart"/>
            <w:r w:rsidRPr="00FD6F0C">
              <w:rPr>
                <w:sz w:val="16"/>
                <w:szCs w:val="16"/>
              </w:rPr>
              <w:t>ipas_app_test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muat</w:t>
            </w:r>
            <w:proofErr w:type="spellEnd"/>
          </w:p>
          <w:p w14:paraId="0407304A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Destination_WEB_Compile_Directory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webm</w:t>
            </w:r>
            <w:proofErr w:type="spellEnd"/>
          </w:p>
          <w:p w14:paraId="22D4321E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Source_Batch_Compile_Directory</w:t>
            </w:r>
            <w:proofErr w:type="spellEnd"/>
            <w:r w:rsidRPr="00FD6F0C">
              <w:rPr>
                <w:sz w:val="16"/>
                <w:szCs w:val="16"/>
              </w:rPr>
              <w:t>: \\cronreptest1\Reports$\defs\tst1</w:t>
            </w:r>
          </w:p>
          <w:p w14:paraId="41937B52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Source_Online_Compile_Directory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/compile/ipas12c/tst1</w:t>
            </w:r>
          </w:p>
          <w:p w14:paraId="51EECB22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Source_Online_Runtime_Directory</w:t>
            </w:r>
            <w:proofErr w:type="spellEnd"/>
            <w:r w:rsidRPr="00FD6F0C">
              <w:rPr>
                <w:sz w:val="16"/>
                <w:szCs w:val="16"/>
              </w:rPr>
              <w:t>: /opt/</w:t>
            </w:r>
            <w:proofErr w:type="spellStart"/>
            <w:r w:rsidRPr="00FD6F0C">
              <w:rPr>
                <w:sz w:val="16"/>
                <w:szCs w:val="16"/>
              </w:rPr>
              <w:t>ipas_app_test</w:t>
            </w:r>
            <w:proofErr w:type="spellEnd"/>
            <w:r w:rsidRPr="00FD6F0C">
              <w:rPr>
                <w:sz w:val="16"/>
                <w:szCs w:val="16"/>
              </w:rPr>
              <w:t>/tst1</w:t>
            </w:r>
          </w:p>
          <w:p w14:paraId="50F3C918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Source_WEB_Compile_Directory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webt</w:t>
            </w:r>
            <w:proofErr w:type="spellEnd"/>
          </w:p>
          <w:p w14:paraId="33766D38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batch_far_server</w:t>
            </w:r>
            <w:proofErr w:type="spellEnd"/>
            <w:r w:rsidRPr="00FD6F0C">
              <w:rPr>
                <w:sz w:val="16"/>
                <w:szCs w:val="16"/>
              </w:rPr>
              <w:t>: cronreptest1</w:t>
            </w:r>
          </w:p>
          <w:p w14:paraId="6148CC77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date_time</w:t>
            </w:r>
            <w:proofErr w:type="spellEnd"/>
            <w:r w:rsidRPr="00FD6F0C">
              <w:rPr>
                <w:sz w:val="16"/>
                <w:szCs w:val="16"/>
              </w:rPr>
              <w:t>: '20201126_0804'</w:t>
            </w:r>
          </w:p>
          <w:p w14:paraId="40D8EA3D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far_server</w:t>
            </w:r>
            <w:proofErr w:type="spellEnd"/>
            <w:r w:rsidRPr="00FD6F0C">
              <w:rPr>
                <w:sz w:val="16"/>
                <w:szCs w:val="16"/>
              </w:rPr>
              <w:t>: taras1bcp</w:t>
            </w:r>
          </w:p>
          <w:p w14:paraId="5C9F0D69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open_chmod</w:t>
            </w:r>
            <w:proofErr w:type="spellEnd"/>
            <w:r w:rsidRPr="00FD6F0C">
              <w:rPr>
                <w:sz w:val="16"/>
                <w:szCs w:val="16"/>
              </w:rPr>
              <w:t>: false</w:t>
            </w:r>
          </w:p>
          <w:p w14:paraId="5CD25A85" w14:textId="77777777"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stage_server</w:t>
            </w:r>
            <w:proofErr w:type="spellEnd"/>
            <w:r w:rsidRPr="00FD6F0C">
              <w:rPr>
                <w:sz w:val="16"/>
                <w:szCs w:val="16"/>
              </w:rPr>
              <w:t>: daulis1bcp</w:t>
            </w:r>
          </w:p>
          <w:p w14:paraId="0CE7974E" w14:textId="77777777" w:rsidR="002215D5" w:rsidRPr="00972D1F" w:rsidRDefault="00FD6F0C" w:rsidP="00FD6F0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tower_hostname</w:t>
            </w:r>
            <w:proofErr w:type="spellEnd"/>
            <w:r w:rsidRPr="00FD6F0C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14:paraId="57966EF2" w14:textId="77777777" w:rsidTr="002215D5">
        <w:trPr>
          <w:cantSplit/>
          <w:tblHeader/>
        </w:trPr>
        <w:tc>
          <w:tcPr>
            <w:tcW w:w="1620" w:type="dxa"/>
          </w:tcPr>
          <w:p w14:paraId="5999E5BF" w14:textId="77777777" w:rsidR="002215D5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proofErr w:type="spellEnd"/>
          </w:p>
        </w:tc>
        <w:tc>
          <w:tcPr>
            <w:tcW w:w="1890" w:type="dxa"/>
          </w:tcPr>
          <w:p w14:paraId="000FBD43" w14:textId="77777777" w:rsidR="002215D5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14:paraId="76DC63E4" w14:textId="77777777" w:rsidR="008B6EA1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FF116A4" w14:textId="77777777" w:rsidR="008B6EA1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</w:t>
            </w:r>
            <w:proofErr w:type="spellStart"/>
            <w:r w:rsidRPr="008B6EA1">
              <w:rPr>
                <w:sz w:val="16"/>
                <w:szCs w:val="16"/>
              </w:rPr>
              <w:t>process_single_linux_far_artifact.yml</w:t>
            </w:r>
            <w:proofErr w:type="spellEnd"/>
          </w:p>
        </w:tc>
        <w:tc>
          <w:tcPr>
            <w:tcW w:w="1260" w:type="dxa"/>
          </w:tcPr>
          <w:p w14:paraId="5EFE7FF2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14:paraId="647F562E" w14:textId="77777777"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041A18CD" w14:textId="77777777" w:rsidR="002215D5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Release_linux_far_artifacts.yml</w:t>
            </w:r>
            <w:proofErr w:type="spellEnd"/>
            <w:r>
              <w:rPr>
                <w:sz w:val="16"/>
                <w:szCs w:val="16"/>
              </w:rPr>
              <w:t xml:space="preserve"> checks for the existence of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14:paraId="78362E23" w14:textId="77777777" w:rsidR="007F4D90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process_single_linux_far_artifact.yml</w:t>
            </w:r>
            <w:proofErr w:type="spellEnd"/>
            <w:r>
              <w:rPr>
                <w:sz w:val="16"/>
                <w:szCs w:val="16"/>
              </w:rPr>
              <w:t xml:space="preserve"> checks for the existence it and its corresponding binary in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if they exist copies them to the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directo</w:t>
            </w:r>
            <w:r w:rsidR="0047428A">
              <w:rPr>
                <w:sz w:val="16"/>
                <w:szCs w:val="16"/>
              </w:rPr>
              <w:t>ries.  The ansible copy module is used to copy the art</w:t>
            </w:r>
            <w:r w:rsidR="002A2D5B">
              <w:rPr>
                <w:sz w:val="16"/>
                <w:szCs w:val="16"/>
              </w:rPr>
              <w:t>i</w:t>
            </w:r>
            <w:r w:rsidR="0047428A">
              <w:rPr>
                <w:sz w:val="16"/>
                <w:szCs w:val="16"/>
              </w:rPr>
              <w:t>fact so checksums are used to ensure data integrity and backups of any existing FAR artifact in the destination directory are created.</w:t>
            </w:r>
          </w:p>
          <w:p w14:paraId="5194E15C" w14:textId="77777777" w:rsidR="007F4D90" w:rsidRPr="00972D1F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 w:rsidRPr="007F4D90">
              <w:rPr>
                <w:sz w:val="16"/>
                <w:szCs w:val="16"/>
              </w:rPr>
              <w:t>Online_FAR_Artifacts_Deployed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14:paraId="16C88486" w14:textId="77777777" w:rsidTr="002215D5">
        <w:trPr>
          <w:cantSplit/>
          <w:tblHeader/>
        </w:trPr>
        <w:tc>
          <w:tcPr>
            <w:tcW w:w="1620" w:type="dxa"/>
          </w:tcPr>
          <w:p w14:paraId="412B22AA" w14:textId="77777777"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890" w:type="dxa"/>
          </w:tcPr>
          <w:p w14:paraId="2EDDAB0D" w14:textId="77777777"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14:paraId="08F7DCA8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7D8BEB9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411980B2" w14:textId="77777777"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</w:p>
        </w:tc>
        <w:tc>
          <w:tcPr>
            <w:tcW w:w="1260" w:type="dxa"/>
          </w:tcPr>
          <w:p w14:paraId="0A6AFD11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Penc</w:t>
            </w:r>
            <w:proofErr w:type="spellEnd"/>
            <w:r w:rsidRPr="002215D5">
              <w:rPr>
                <w:sz w:val="16"/>
                <w:szCs w:val="16"/>
              </w:rPr>
              <w:t>\</w:t>
            </w:r>
            <w:proofErr w:type="spellStart"/>
            <w:r w:rsidRPr="002215D5">
              <w:rPr>
                <w:sz w:val="16"/>
                <w:szCs w:val="16"/>
              </w:rPr>
              <w:t>ora_cronreptest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batch_far_server</w:t>
            </w:r>
            <w:proofErr w:type="spellEnd"/>
            <w:r w:rsidRPr="002215D5">
              <w:rPr>
                <w:sz w:val="16"/>
                <w:szCs w:val="16"/>
              </w:rPr>
              <w:t>}} typically cronreptest1</w:t>
            </w:r>
          </w:p>
        </w:tc>
        <w:tc>
          <w:tcPr>
            <w:tcW w:w="1080" w:type="dxa"/>
          </w:tcPr>
          <w:p w14:paraId="457B24D5" w14:textId="77777777"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2040C6F0" w14:textId="77777777" w:rsidR="002215D5" w:rsidRDefault="002A2D5B" w:rsidP="006A49B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Release_windows_far_artifacts.yml</w:t>
            </w:r>
            <w:proofErr w:type="spellEnd"/>
            <w:r>
              <w:rPr>
                <w:sz w:val="16"/>
                <w:szCs w:val="16"/>
              </w:rPr>
              <w:t xml:space="preserve"> checks the existence of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  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  <w:r>
              <w:rPr>
                <w:sz w:val="16"/>
                <w:szCs w:val="16"/>
              </w:rPr>
              <w:t xml:space="preserve"> checks the existence of it and its corresponding binary in the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if they exist copies them to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.  The ansible </w:t>
            </w:r>
            <w:proofErr w:type="spellStart"/>
            <w:r>
              <w:rPr>
                <w:sz w:val="16"/>
                <w:szCs w:val="16"/>
              </w:rPr>
              <w:t>win_copy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mudule</w:t>
            </w:r>
            <w:proofErr w:type="spellEnd"/>
            <w:r>
              <w:rPr>
                <w:sz w:val="16"/>
                <w:szCs w:val="16"/>
              </w:rPr>
              <w:t xml:space="preserve"> is used to copy the artifact, so checksums are used to ensure data integrity and backups of any existing FAR artifact in the destination directory are created.</w:t>
            </w:r>
          </w:p>
          <w:p w14:paraId="701CAA92" w14:textId="77777777" w:rsidR="002A2D5B" w:rsidRPr="006A49B1" w:rsidRDefault="002A2D5B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>
              <w:rPr>
                <w:sz w:val="16"/>
                <w:szCs w:val="16"/>
              </w:rPr>
              <w:t>Batch_FAR_Artifacts_Deployed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14:paraId="4A6DDCE1" w14:textId="77777777" w:rsidTr="002215D5">
        <w:trPr>
          <w:cantSplit/>
          <w:tblHeader/>
        </w:trPr>
        <w:tc>
          <w:tcPr>
            <w:tcW w:w="1620" w:type="dxa"/>
          </w:tcPr>
          <w:p w14:paraId="2590C84C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</w:t>
            </w:r>
            <w:proofErr w:type="spellEnd"/>
            <w:r w:rsidR="009B24EB">
              <w:rPr>
                <w:sz w:val="16"/>
                <w:szCs w:val="16"/>
              </w:rPr>
              <w:t xml:space="preserve"> </w:t>
            </w:r>
            <w:proofErr w:type="spellStart"/>
            <w:r w:rsidR="009B24EB">
              <w:rPr>
                <w:sz w:val="16"/>
                <w:szCs w:val="16"/>
              </w:rPr>
              <w:t>artifacts_</w:t>
            </w:r>
            <w:r>
              <w:rPr>
                <w:sz w:val="16"/>
                <w:szCs w:val="16"/>
              </w:rPr>
              <w:t>release_logs</w:t>
            </w:r>
            <w:proofErr w:type="spellEnd"/>
          </w:p>
        </w:tc>
        <w:tc>
          <w:tcPr>
            <w:tcW w:w="1890" w:type="dxa"/>
          </w:tcPr>
          <w:p w14:paraId="3E60C741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far_artifacts_</w:t>
            </w:r>
            <w:r>
              <w:rPr>
                <w:sz w:val="16"/>
                <w:szCs w:val="16"/>
              </w:rPr>
              <w:t>release_logs.yml</w:t>
            </w:r>
            <w:proofErr w:type="spellEnd"/>
          </w:p>
        </w:tc>
        <w:tc>
          <w:tcPr>
            <w:tcW w:w="1260" w:type="dxa"/>
          </w:tcPr>
          <w:p w14:paraId="21C8D292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3042E93B" w14:textId="77777777"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11FA4D22" w14:textId="77777777" w:rsidR="002215D5" w:rsidRPr="006A49B1" w:rsidRDefault="002215D5" w:rsidP="009B2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 w:rsidR="009B24EB">
              <w:rPr>
                <w:sz w:val="16"/>
                <w:szCs w:val="16"/>
              </w:rPr>
              <w:t>release_windows_far_artifacts</w:t>
            </w:r>
            <w:proofErr w:type="spellEnd"/>
            <w:r w:rsidR="009B24EB">
              <w:rPr>
                <w:sz w:val="16"/>
                <w:szCs w:val="16"/>
              </w:rPr>
              <w:t xml:space="preserve"> and </w:t>
            </w:r>
            <w:proofErr w:type="spellStart"/>
            <w:r w:rsidR="009B24EB">
              <w:rPr>
                <w:sz w:val="16"/>
                <w:szCs w:val="16"/>
              </w:rPr>
              <w:t>release_linux_far_artifacts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</w:t>
            </w:r>
            <w:r w:rsidR="009B24EB">
              <w:rPr>
                <w:sz w:val="16"/>
                <w:szCs w:val="16"/>
              </w:rPr>
              <w:t>Emergency_</w:t>
            </w:r>
            <w:r>
              <w:rPr>
                <w:sz w:val="16"/>
                <w:szCs w:val="16"/>
              </w:rPr>
              <w:t>Release_log.html file.</w:t>
            </w:r>
          </w:p>
        </w:tc>
      </w:tr>
      <w:tr w:rsidR="00233D25" w:rsidRPr="00972D1F" w14:paraId="17F5CDF0" w14:textId="77777777" w:rsidTr="002215D5">
        <w:trPr>
          <w:cantSplit/>
          <w:tblHeader/>
        </w:trPr>
        <w:tc>
          <w:tcPr>
            <w:tcW w:w="1620" w:type="dxa"/>
          </w:tcPr>
          <w:p w14:paraId="5187F13D" w14:textId="1B9D8F1D" w:rsidR="00233D25" w:rsidRDefault="007E4046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populate_migration_log_release_individual</w:t>
            </w:r>
            <w:proofErr w:type="spellEnd"/>
          </w:p>
        </w:tc>
        <w:tc>
          <w:tcPr>
            <w:tcW w:w="1890" w:type="dxa"/>
          </w:tcPr>
          <w:p w14:paraId="673E8E4B" w14:textId="3CB37B3D" w:rsidR="00233D25" w:rsidRDefault="007E4046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populate_migration_log_release_individual</w:t>
            </w:r>
            <w:r w:rsidR="00A8249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65E5CAFB" w14:textId="1757BAC2" w:rsidR="00233D25" w:rsidRDefault="00A8249F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3BA8E310" w14:textId="0641509D" w:rsidR="00233D25" w:rsidRDefault="00A8249F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14:paraId="591BBB85" w14:textId="5C49BB6A" w:rsidR="00233D25" w:rsidRDefault="00A8249F" w:rsidP="009B2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73BF812C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33D25"/>
    <w:rsid w:val="002A2D5B"/>
    <w:rsid w:val="002D29D7"/>
    <w:rsid w:val="002E694B"/>
    <w:rsid w:val="003E5935"/>
    <w:rsid w:val="00435D86"/>
    <w:rsid w:val="00437D3D"/>
    <w:rsid w:val="00466B3D"/>
    <w:rsid w:val="0047428A"/>
    <w:rsid w:val="004B6F60"/>
    <w:rsid w:val="004E1D82"/>
    <w:rsid w:val="00553EF9"/>
    <w:rsid w:val="00574BC8"/>
    <w:rsid w:val="00586964"/>
    <w:rsid w:val="0064039B"/>
    <w:rsid w:val="006A49B1"/>
    <w:rsid w:val="00702F9A"/>
    <w:rsid w:val="0074797D"/>
    <w:rsid w:val="0078078E"/>
    <w:rsid w:val="007A103C"/>
    <w:rsid w:val="007C402E"/>
    <w:rsid w:val="007E4046"/>
    <w:rsid w:val="007F4D90"/>
    <w:rsid w:val="00801FFB"/>
    <w:rsid w:val="008849F8"/>
    <w:rsid w:val="00891693"/>
    <w:rsid w:val="00892541"/>
    <w:rsid w:val="008B00AC"/>
    <w:rsid w:val="008B6EA1"/>
    <w:rsid w:val="008F264F"/>
    <w:rsid w:val="00920020"/>
    <w:rsid w:val="009232CA"/>
    <w:rsid w:val="009238BC"/>
    <w:rsid w:val="0095371C"/>
    <w:rsid w:val="00972D1F"/>
    <w:rsid w:val="00977991"/>
    <w:rsid w:val="00981A2D"/>
    <w:rsid w:val="009B24EB"/>
    <w:rsid w:val="00A0623F"/>
    <w:rsid w:val="00A8249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053B5"/>
    <w:rsid w:val="00F442A4"/>
    <w:rsid w:val="00FB2D10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41D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BE1D-7643-4EE3-913B-6961C7F0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7</cp:revision>
  <dcterms:created xsi:type="dcterms:W3CDTF">2020-11-27T16:14:00Z</dcterms:created>
  <dcterms:modified xsi:type="dcterms:W3CDTF">2022-08-24T21:22:00Z</dcterms:modified>
</cp:coreProperties>
</file>