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A6A6" w:sz="6" w:space="8"/>
        </w:pBdr>
        <w:spacing w:after="160" w:before="0" w:line="276"/>
      </w:pPr>
      <w:r>
        <w:rPr>
          <w:rFonts w:ascii="Aptos" w:cs="Aptos" w:eastAsia="Aptos" w:hAnsi="Aptos"/>
          <w:b/>
          <w:bCs/>
          <w:color w:val="00A6A6"/>
          <w:sz w:val="22"/>
          <w:szCs w:val="22"/>
        </w:rPr>
        <w:t xml:space="preserve">M2 LAB</w:t>
      </w:r>
      <w:r>
        <w:rPr>
          <w:rFonts w:ascii="Aptos" w:cs="Aptos" w:eastAsia="Aptos" w:hAnsi="Aptos"/>
          <w:b/>
          <w:bCs/>
          <w:color w:val="14213D"/>
          <w:sz w:val="22"/>
          <w:szCs w:val="22"/>
        </w:rPr>
        <w:t xml:space="preserve">  /  FOCUS DECISION BRIEF</w:t>
      </w:r>
    </w:p>
    <w:p>
      <w:pPr>
        <w:spacing w:after="180" w:line="420"/>
      </w:pPr>
      <w:r>
        <w:rPr>
          <w:rFonts w:ascii="Aptos" w:cs="Aptos" w:eastAsia="Aptos" w:hAnsi="Aptos"/>
          <w:b/>
          <w:bCs/>
          <w:color w:val="14213D"/>
          <w:sz w:val="38"/>
          <w:szCs w:val="38"/>
        </w:rPr>
        <w:t xml:space="preserve">Decide the first content focus. Then run it for 12 posts.</w:t>
      </w:r>
    </w:p>
    <w:p>
      <w:pPr>
        <w:spacing w:after="250" w:before="0" w:line="276"/>
      </w:pPr>
      <w:r>
        <w:rPr>
          <w:rFonts w:ascii="Aptos" w:cs="Aptos" w:eastAsia="Aptos" w:hAnsi="Aptos"/>
          <w:color w:val="5B6472"/>
          <w:sz w:val="19"/>
          <w:szCs w:val="19"/>
        </w:rPr>
        <w:t xml:space="preserve">For Misha + Max  |  Discussion draft  |  4 September 2026</w:t>
      </w:r>
    </w:p>
    <w:p>
      <w:pPr>
        <w:shd w:fill="EAF4F4" w:val="clear"/>
        <w:spacing w:after="230" w:before="8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How to use it — </w:t>
      </w:r>
      <w:r>
        <w:rPr>
          <w:rFonts w:ascii="Aptos" w:cs="Aptos" w:eastAsia="Aptos" w:hAnsi="Aptos"/>
          <w:sz w:val="21"/>
          <w:szCs w:val="21"/>
        </w:rPr>
        <w:t xml:space="preserve">20 minutes. Read the proposal (2 min), debate only the six decisions (12 min), fill the record (4 min), agree the first production session (2 min).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1. Proposed decision</w:t>
      </w:r>
    </w:p>
    <w:p>
      <w:pPr>
        <w:spacing w:after="70" w:before="0" w:line="276"/>
      </w:pPr>
      <w:r>
        <w:rPr>
          <w:rFonts w:ascii="Aptos" w:cs="Aptos" w:eastAsia="Aptos" w:hAnsi="Aptos"/>
          <w:b/>
          <w:bCs/>
          <w:color w:val="00A6A6"/>
          <w:sz w:val="18"/>
          <w:szCs w:val="18"/>
        </w:rPr>
        <w:t xml:space="preserve">PUBLIC POSITIONING</w:t>
      </w:r>
    </w:p>
    <w:p>
      <w:pPr>
        <w:shd w:fill="EEF2F7" w:val="clear"/>
        <w:spacing w:after="160" w:before="70" w:line="320"/>
      </w:pPr>
      <w:r>
        <w:rPr>
          <w:rFonts w:ascii="Aptos" w:cs="Aptos" w:eastAsia="Aptos" w:hAnsi="Aptos"/>
          <w:b/>
          <w:bCs/>
          <w:color w:val="14213D"/>
          <w:sz w:val="25"/>
          <w:szCs w:val="25"/>
        </w:rPr>
        <w:t xml:space="preserve">M2 Lab helps AI-curious SME owner-operators understand what AI can realistically do in their daily work — then turn one repetitive task into a useful workflow, without coding or chasing every new tool.</w:t>
      </w:r>
    </w:p>
    <w:p>
      <w:pPr>
        <w:spacing w:after="70" w:before="0" w:line="276"/>
      </w:pPr>
      <w:r>
        <w:rPr>
          <w:rFonts w:ascii="Aptos" w:cs="Aptos" w:eastAsia="Aptos" w:hAnsi="Aptos"/>
          <w:b/>
          <w:bCs/>
          <w:color w:val="00A6A6"/>
          <w:sz w:val="18"/>
          <w:szCs w:val="18"/>
        </w:rPr>
        <w:t xml:space="preserve">EDITORIAL LEARNING PROMISE</w:t>
      </w:r>
    </w:p>
    <w:p>
      <w:pPr>
        <w:spacing w:after="150" w:before="0" w:line="276"/>
      </w:pPr>
      <w:r>
        <w:rPr>
          <w:rFonts w:ascii="Aptos" w:cs="Aptos" w:eastAsia="Aptos" w:hAnsi="Aptos"/>
          <w:b/>
          <w:bCs/>
          <w:color w:val="14213D"/>
          <w:sz w:val="23"/>
          <w:szCs w:val="23"/>
        </w:rPr>
        <w:t xml:space="preserve">Understand what matters. Choose one task. Build one useful workflow.</w:t>
      </w:r>
    </w:p>
    <w:p>
      <w:pPr>
        <w:spacing w:after="120" w:before="0" w:line="276"/>
      </w:pPr>
      <w:r>
        <w:rPr>
          <w:rFonts w:ascii="Aptos" w:cs="Aptos" w:eastAsia="Aptos" w:hAnsi="Aptos"/>
          <w:sz w:val="21"/>
          <w:szCs w:val="21"/>
        </w:rPr>
        <w:t xml:space="preserve">Education through practical application. We explain AI capability, tool choice and limits only through a real work task. The outcome is not “know AI”; it is a first useful workflow.</w:t>
      </w:r>
    </w:p>
    <w:p>
      <w:pPr>
        <w:spacing w:after="40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Not our territory: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AI news, tool reviews or generic “best tools” lists.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Income claims, fully automated businesses or “hundreds of agents”.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A course, agency or proven client-implementation service before evidence exists.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Content for developers and advanced AI builders.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2. The one reader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Primary reader — </w:t>
      </w:r>
      <w:r>
        <w:rPr>
          <w:rFonts w:ascii="Aptos" w:cs="Aptos" w:eastAsia="Aptos" w:hAnsi="Aptos"/>
          <w:sz w:val="21"/>
          <w:szCs w:val="21"/>
        </w:rPr>
        <w:t xml:space="preserve">an English-speaking or English-working owner-operator of a roughly 2–50-person service SME in Europe. They still oversee marketing, sales, operations or client service; have no AI team; know AI exists; and do not know which repeated task to improve first.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Adjacent reader — </w:t>
      </w:r>
      <w:r>
        <w:rPr>
          <w:rFonts w:ascii="Aptos" w:cs="Aptos" w:eastAsia="Aptos" w:hAnsi="Aptos"/>
          <w:sz w:val="21"/>
          <w:szCs w:val="21"/>
        </w:rPr>
        <w:t xml:space="preserve">a non-technical functional lead in the same type of business who owns a repeatable process and can test one workflow.</w:t>
      </w:r>
    </w:p>
    <w:p>
      <w:pPr>
        <w:spacing w:after="60" w:before="0" w:line="276"/>
      </w:pPr>
      <w:r>
        <w:rPr>
          <w:rFonts w:ascii="Aptos" w:cs="Aptos" w:eastAsia="Aptos" w:hAnsi="Aptos"/>
          <w:b/>
          <w:bCs/>
          <w:color w:val="00A6A6"/>
          <w:sz w:val="18"/>
          <w:szCs w:val="18"/>
        </w:rPr>
        <w:t xml:space="preserve">JOB-TO-BE-DONE</w:t>
      </w:r>
    </w:p>
    <w:p>
      <w:pPr>
        <w:shd w:fill="EAF4F4" w:val="clear"/>
        <w:spacing w:after="130" w:before="0" w:line="276"/>
      </w:pPr>
      <w:r>
        <w:rPr>
          <w:rFonts w:ascii="Aptos" w:cs="Aptos" w:eastAsia="Aptos" w:hAnsi="Aptos"/>
          <w:i/>
          <w:iCs/>
          <w:color w:val="14213D"/>
          <w:sz w:val="21"/>
          <w:szCs w:val="21"/>
        </w:rPr>
        <w:t xml:space="preserve">“Help me understand whether AI is useful for this part of my work, choose a sensible first task, and avoid wasting time or money on the wrong tool.”</w:t>
      </w:r>
    </w:p>
    <w:p>
      <w:pPr>
        <w:shd w:fill="EEF2F7" w:val="clear"/>
        <w:spacing w:after="120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Post filter — </w:t>
      </w:r>
      <w:r>
        <w:rPr>
          <w:rFonts w:ascii="Aptos" w:cs="Aptos" w:eastAsia="Aptos" w:hAnsi="Aptos"/>
          <w:sz w:val="21"/>
          <w:szCs w:val="21"/>
        </w:rPr>
        <w:t xml:space="preserve">Would this person recognise their work, learn one concrete thing, and know the first next step?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3. Three content blocks — decide now</w:t>
      </w:r>
    </w:p>
    <w:p>
      <w:pPr>
        <w:spacing w:after="120" w:before="0" w:line="276"/>
      </w:pPr>
      <w:r>
        <w:rPr>
          <w:rFonts w:ascii="Aptos" w:cs="Aptos" w:eastAsia="Aptos" w:hAnsi="Aptos"/>
          <w:color w:val="5B6472"/>
          <w:sz w:val="21"/>
          <w:szCs w:val="21"/>
        </w:rPr>
        <w:t xml:space="preserve">These are production formats. They are not the same thing as the themes in section 6. Every Reel belongs to one block.</w:t>
      </w:r>
    </w:p>
    <w:tbl>
      <w:tblPr>
        <w:tblW w:type="dxa" w:w="9360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3"/>
          <w:insideV w:val="single" w:color="D6DEE8" w:sz="3"/>
        </w:tblBorders>
      </w:tblPr>
      <w:tblGrid>
        <w:gridCol w:w="1550"/>
        <w:gridCol w:w="2550"/>
        <w:gridCol w:w="3920"/>
        <w:gridCol w:w="1340"/>
      </w:tblGrid>
      <w:tr>
        <w:trPr>
          <w:tblHeader/>
        </w:trPr>
        <w:tc>
          <w:tcPr>
            <w:tcW w:type="dxa" w:w="15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25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92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 post must contain</w:t>
            </w:r>
          </w:p>
        </w:tc>
        <w:tc>
          <w:tcPr>
            <w:tcW w:type="dxa" w:w="134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Target action</w:t>
            </w:r>
          </w:p>
        </w:tc>
      </w:tr>
      <w:tr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M2 Radar</w:t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Translate a tool launch, market signal or external example into one work decision.</w:t>
            </w:r>
          </w:p>
        </w:tc>
        <w:tc>
          <w:tcPr>
            <w:tcW w:type="dxa" w:w="39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A named task and reader. It cannot be news or a tool review alone.</w:t>
            </w:r>
          </w:p>
        </w:tc>
        <w:tc>
          <w:tcPr>
            <w:tcW w:type="dxa" w:w="1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Share / reach</w:t>
            </w:r>
          </w:p>
        </w:tc>
      </w:tr>
      <w:tr>
        <w:tc>
          <w:tcPr>
            <w:tcW w:type="dxa" w:w="155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M2 Builds</w:t>
            </w:r>
          </w:p>
        </w:tc>
        <w:tc>
          <w:tcPr>
            <w:tcW w:type="dxa" w:w="255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Show a workflow you actually built or tested.</w:t>
            </w:r>
          </w:p>
        </w:tc>
        <w:tc>
          <w:tcPr>
            <w:tcW w:type="dxa" w:w="392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The process, result and what broke, cost more than expected or still needs human review.</w:t>
            </w:r>
          </w:p>
        </w:tc>
        <w:tc>
          <w:tcPr>
            <w:tcW w:type="dxa" w:w="134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Follow / save</w:t>
            </w:r>
          </w:p>
        </w:tc>
      </w:tr>
      <w:tr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M2 Teardown</w:t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Break down a repeated business process before proposing AI.</w:t>
            </w:r>
          </w:p>
        </w:tc>
        <w:tc>
          <w:tcPr>
            <w:tcW w:type="dxa" w:w="39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Where time, money or risk leaks; what AI can take; where a human must remain.</w:t>
            </w:r>
          </w:p>
        </w:tc>
        <w:tc>
          <w:tcPr>
            <w:tcW w:type="dxa" w:w="1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Save / search / share</w:t>
            </w:r>
          </w:p>
        </w:tc>
      </w:tr>
    </w:tbl>
    <w:p>
      <w:pPr>
        <w:shd w:fill="EAF4F4" w:val="clear"/>
        <w:spacing w:after="120" w:before="12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Discussion rule — </w:t>
      </w:r>
      <w:r>
        <w:rPr>
          <w:rFonts w:ascii="Aptos" w:cs="Aptos" w:eastAsia="Aptos" w:hAnsi="Aptos"/>
          <w:sz w:val="21"/>
          <w:szCs w:val="21"/>
        </w:rPr>
        <w:t xml:space="preserve">keep these three blocks as the only formats for the first cycle. A new idea must fit one of them; do not create a fourth block to avoid choosing.</w:t>
      </w:r>
    </w:p>
    <w:p>
      <w:pPr>
        <w:spacing w:after="160" w:before="0" w:line="276"/>
      </w:pPr>
      <w:r>
        <w:rPr>
          <w:rFonts w:ascii="Aptos" w:cs="Aptos" w:eastAsia="Aptos" w:hAnsi="Aptos"/>
          <w:i/>
          <w:iCs/>
          <w:color w:val="5B6472"/>
          <w:sz w:val="21"/>
          <w:szCs w:val="21"/>
        </w:rPr>
        <w:t xml:space="preserve">Current theme mapping: Start with the task / Workflow economics / Safe adoption usually become Teardowns; Build log becomes Builds; Tool -&gt; work change becomes Radar. The exact 12-post split is the next decision.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4. Geography: what we do now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Do not put a country in the public positioning for the first 12–24 posts. The reader is defined by their job and AI maturity, not by a country label.</w:t>
      </w:r>
    </w:p>
    <w:p>
      <w:pPr>
        <w:spacing w:after="120" w:before="0" w:line="276"/>
      </w:pPr>
      <w:r>
        <w:rPr>
          <w:rFonts w:ascii="Aptos" w:cs="Aptos" w:eastAsia="Aptos" w:hAnsi="Aptos"/>
          <w:sz w:val="21"/>
          <w:szCs w:val="21"/>
        </w:rPr>
        <w:t xml:space="preserve">Organic Instagram recommendation is driven mainly by a viewer’s interests, prior interactions and predicted actions. A country becomes useful only when the post genuinely contains a local case, collaborator, market norm, event, price or regulation.</w:t>
      </w:r>
    </w:p>
    <w:tbl>
      <w:tblPr>
        <w:tblW w:type="dxa" w:w="9360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3"/>
          <w:insideV w:val="single" w:color="D6DEE8" w:sz="3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30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 now</w:t>
            </w:r>
          </w:p>
        </w:tc>
        <w:tc>
          <w:tcPr>
            <w:tcW w:type="dxa" w:w="466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Working rule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First research / collaboration hypothesis</w:t>
            </w:r>
          </w:p>
        </w:tc>
        <w:tc>
          <w:tcPr>
            <w:tcW w:type="dxa" w:w="4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Target international or cross-border SMEs, not all local Dutch businesses.</w:t>
            </w:r>
          </w:p>
        </w:tc>
      </w:tr>
      <w:tr>
        <w:tc>
          <w:tcPr>
            <w:tcW w:type="dxa" w:w="17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Ireland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First English-first market hypothesis</w:t>
            </w:r>
          </w:p>
        </w:tc>
        <w:tc>
          <w:tcPr>
            <w:tcW w:type="dxa" w:w="46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A clean future test, but not an account identity today.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UK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Distribution and later-test market</w:t>
            </w:r>
          </w:p>
        </w:tc>
        <w:tc>
          <w:tcPr>
            <w:tcW w:type="dxa" w:w="4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Do not adopt it as a default identity; saturation warning is material.</w:t>
            </w:r>
          </w:p>
        </w:tc>
      </w:tr>
      <w:tr>
        <w:tc>
          <w:tcPr>
            <w:tcW w:type="dxa" w:w="17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Denmark / Sweden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Later test</w:t>
            </w:r>
          </w:p>
        </w:tc>
        <w:tc>
          <w:tcPr>
            <w:tcW w:type="dxa" w:w="46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English-working and digitally mature; basic AI education may have less whitespace.</w:t>
            </w:r>
          </w:p>
        </w:tc>
      </w:tr>
    </w:tbl>
    <w:p>
      <w:pPr>
        <w:shd w:fill="EAF4F4" w:val="clear"/>
        <w:spacing w:after="120" w:before="120" w:line="276"/>
      </w:pPr>
      <w:r>
        <w:rPr>
          <w:rFonts w:ascii="Aptos" w:cs="Aptos" w:eastAsia="Aptos" w:hAnsi="Aptos"/>
          <w:sz w:val="21"/>
          <w:szCs w:val="21"/>
        </w:rPr>
        <w:t xml:space="preserve">Rule: first collect country signals from followers, saves, shares, comments and DMs. Then run a 3–4-post local series for one country.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5. What your own radar says</w:t>
      </w:r>
    </w:p>
    <w:tbl>
      <w:tblPr>
        <w:tblW w:type="dxa" w:w="9360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3"/>
          <w:insideV w:val="single" w:color="D6DEE8" w:sz="3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606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2,363 Reels / 100 English-language accounts</w:t>
            </w:r>
          </w:p>
        </w:tc>
        <w:tc>
          <w:tcPr>
            <w:tcW w:type="dxa" w:w="6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A strong source of content mechanics and competitor patterns; snapshot dated 1 September 2026.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Shares separated top Reels more than saves</w:t>
            </w:r>
          </w:p>
        </w:tc>
        <w:tc>
          <w:tcPr>
            <w:tcW w:type="dxa" w:w="60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Write for a concrete person who would forward the Reel, not for passive views.</w:t>
            </w:r>
          </w:p>
        </w:tc>
      </w:tr>
      <w:tr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Top concepts focus on cost, failures, risk and one process</w:t>
            </w:r>
          </w:p>
        </w:tc>
        <w:tc>
          <w:tcPr>
            <w:tcW w:type="dxa" w:w="6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Use one task -&gt; one workflow -&gt; one decision. Do not become broad AI news.</w:t>
            </w:r>
          </w:p>
        </w:tc>
      </w:tr>
      <w:tr>
        <w:tc>
          <w:tcPr>
            <w:tcW w:type="dxa" w:w="33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Radar audience ≠ M2 Lab audience</w:t>
            </w:r>
          </w:p>
        </w:tc>
        <w:tc>
          <w:tcPr>
            <w:tcW w:type="dxa" w:w="60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The data picks hypotheses, not proven demand. Your own first 12 posts are the real test.</w:t>
            </w:r>
          </w:p>
        </w:tc>
      </w:tr>
    </w:tbl>
    <w:p>
      <w:pPr>
        <w:spacing w:after="45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Existing M2 proof you can show now: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The radar ranked a 654-view Reel above a 25,000-view Reel before you fixed the logic.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A real collection bill: 623 units / $12.46, including an avoidable spend.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Failures: sources closed, video links expired and written rules were not enforced in code.</w:t>
      </w:r>
    </w:p>
    <w:p>
      <w:pPr>
        <w:shd w:fill="EEF2F7" w:val="clear"/>
        <w:spacing w:after="120" w:before="0" w:line="276"/>
      </w:pPr>
      <w:r>
        <w:rPr>
          <w:rFonts w:ascii="Aptos" w:cs="Aptos" w:eastAsia="Aptos" w:hAnsi="Aptos"/>
          <w:i/>
          <w:iCs/>
          <w:color w:val="5B6472"/>
          <w:sz w:val="21"/>
          <w:szCs w:val="21"/>
        </w:rPr>
        <w:t xml:space="preserve">Use this as build/teardown evidence. It is finite and is not a client case study.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6. First 12-post thematic test</w:t>
      </w:r>
    </w:p>
    <w:p>
      <w:pPr>
        <w:spacing w:after="120" w:before="0" w:line="276"/>
      </w:pPr>
      <w:r>
        <w:rPr>
          <w:rFonts w:ascii="Aptos" w:cs="Aptos" w:eastAsia="Aptos" w:hAnsi="Aptos"/>
          <w:color w:val="5B6472"/>
          <w:sz w:val="21"/>
          <w:szCs w:val="21"/>
        </w:rPr>
        <w:t xml:space="preserve">This is a thematic slate, not scripts. Each row is a repeatable series.</w:t>
      </w:r>
    </w:p>
    <w:tbl>
      <w:tblPr>
        <w:tblW w:type="dxa" w:w="9360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3"/>
          <w:insideV w:val="single" w:color="D6DEE8" w:sz="3"/>
        </w:tblBorders>
      </w:tblPr>
      <w:tblGrid>
        <w:gridCol w:w="2100"/>
        <w:gridCol w:w="760"/>
        <w:gridCol w:w="2950"/>
        <w:gridCol w:w="3550"/>
      </w:tblGrid>
      <w:tr>
        <w:trPr>
          <w:tblHeader/>
        </w:trPr>
        <w:tc>
          <w:tcPr>
            <w:tcW w:type="dxa" w:w="21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76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Posts</w:t>
            </w:r>
          </w:p>
        </w:tc>
        <w:tc>
          <w:tcPr>
            <w:tcW w:type="dxa" w:w="29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Reader outcome</w:t>
            </w:r>
          </w:p>
        </w:tc>
        <w:tc>
          <w:tcPr>
            <w:tcW w:type="dxa" w:w="355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Example title direction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Start with the task</w:t>
            </w:r>
          </w:p>
        </w:tc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3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Choose a first AI use case</w:t>
            </w:r>
          </w:p>
        </w:tc>
        <w:tc>
          <w:tcPr>
            <w:tcW w:type="dxa" w:w="3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“Don’t start with an AI tool. Start with this 10-minute task map.”</w:t>
            </w:r>
          </w:p>
        </w:tc>
      </w:tr>
      <w:tr>
        <w:tc>
          <w:tcPr>
            <w:tcW w:type="dxa" w:w="21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Build log: what broke</w:t>
            </w:r>
          </w:p>
        </w:tc>
        <w:tc>
          <w:tcPr>
            <w:tcW w:type="dxa" w:w="7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3</w:t>
            </w:r>
          </w:p>
        </w:tc>
        <w:tc>
          <w:tcPr>
            <w:tcW w:type="dxa" w:w="295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Trust through an honest test</w:t>
            </w:r>
          </w:p>
        </w:tc>
        <w:tc>
          <w:tcPr>
            <w:tcW w:type="dxa" w:w="355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“We gave an agent 2,363 Reels. Here is the decision it got wrong.”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Workflow economics</w:t>
            </w:r>
          </w:p>
        </w:tc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Judge cost, time and trade-offs</w:t>
            </w:r>
          </w:p>
        </w:tc>
        <w:tc>
          <w:tcPr>
            <w:tcW w:type="dxa" w:w="3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“Free AI has a price. Here is the bill that arrives in week three.”</w:t>
            </w:r>
          </w:p>
        </w:tc>
      </w:tr>
      <w:tr>
        <w:tc>
          <w:tcPr>
            <w:tcW w:type="dxa" w:w="21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Safe adoption</w:t>
            </w:r>
          </w:p>
        </w:tc>
        <w:tc>
          <w:tcPr>
            <w:tcW w:type="dxa" w:w="7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</w:t>
            </w:r>
          </w:p>
        </w:tc>
        <w:tc>
          <w:tcPr>
            <w:tcW w:type="dxa" w:w="295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Know the boundary for data, clients and human review</w:t>
            </w:r>
          </w:p>
        </w:tc>
        <w:tc>
          <w:tcPr>
            <w:tcW w:type="dxa" w:w="355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“Your team turned on AI in Gmail. Here is what it can read.”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Tool -&gt; work change</w:t>
            </w:r>
          </w:p>
        </w:tc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Translate a current update into a work decision</w:t>
            </w:r>
          </w:p>
        </w:tc>
        <w:tc>
          <w:tcPr>
            <w:tcW w:type="dxa" w:w="3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“A new voice agent is not a customer-service system. Start with these calls.”</w:t>
            </w:r>
          </w:p>
        </w:tc>
      </w:tr>
    </w:tbl>
    <w:p>
      <w:pPr>
        <w:spacing w:after="45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Theme rules: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One Reel = one repeated task, not three tips.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Every build is genuinely tested by Misha and/or Max and includes a failure, limit or human-review point.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A tool/news story passes only when it changes a recognisable process.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No generic tool lists, free lead-scraping or automated-income claims.</w:t>
      </w:r>
    </w:p>
    <w:p>
      <w:pPr>
        <w:pStyle w:val="ListParagraph"/>
        <w:numPr>
          <w:ilvl w:val="0"/>
          <w:numId w:val="1"/>
        </w:numPr>
        <w:spacing w:after="65" w:line="250"/>
      </w:pPr>
      <w:r>
        <w:rPr>
          <w:rFonts w:ascii="Aptos" w:cs="Aptos" w:eastAsia="Aptos" w:hAnsi="Aptos"/>
          <w:sz w:val="21"/>
          <w:szCs w:val="21"/>
        </w:rPr>
        <w:t xml:space="preserve">No forced country label without real local substance.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7. Decisions to make now</w:t>
      </w:r>
    </w:p>
    <w:tbl>
      <w:tblPr>
        <w:tblW w:type="dxa" w:w="9360"/>
        <w:tblBorders>
          <w:top w:val="single" w:color="D6DEE8" w:sz="4"/>
          <w:left w:val="single" w:color="D6DEE8" w:sz="4"/>
          <w:bottom w:val="single" w:color="D6DEE8" w:sz="4"/>
          <w:right w:val="single" w:color="D6DEE8" w:sz="4"/>
          <w:insideH w:val="single" w:color="D6DEE8" w:sz="3"/>
          <w:insideV w:val="single" w:color="D6DEE8" w:sz="3"/>
        </w:tblBorders>
      </w:tblPr>
      <w:tblGrid>
        <w:gridCol w:w="500"/>
        <w:gridCol w:w="1700"/>
        <w:gridCol w:w="5100"/>
        <w:gridCol w:w="2060"/>
      </w:tblGrid>
      <w:tr>
        <w:trPr>
          <w:tblHeader/>
        </w:trPr>
        <w:tc>
          <w:tcPr>
            <w:tcW w:type="dxa" w:w="5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10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Proposed answer</w:t>
            </w:r>
          </w:p>
        </w:tc>
        <w:tc>
          <w:tcPr>
            <w:tcW w:type="dxa" w:w="2060"/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Accept / edit / reject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Use the wording in section 1 for the first 12 posts.</w:t>
            </w:r>
          </w:p>
        </w:tc>
        <w:tc>
          <w:tcPr>
            <w:tcW w:type="dxa" w:w="2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Reader</w:t>
            </w:r>
          </w:p>
        </w:tc>
        <w:tc>
          <w:tcPr>
            <w:tcW w:type="dxa" w:w="51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English-speaking / English-working SME owner-operator in Europe; adjacent functional lead.</w:t>
            </w:r>
          </w:p>
        </w:tc>
        <w:tc>
          <w:tcPr>
            <w:tcW w:type="dxa" w:w="20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Content blocks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Use only M2 Radar / M2 Builds / M2 Teardown. Do not add a fourth format in the first cycle.</w:t>
            </w:r>
          </w:p>
        </w:tc>
        <w:tc>
          <w:tcPr>
            <w:tcW w:type="dxa" w:w="2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Geography</w:t>
            </w:r>
          </w:p>
        </w:tc>
        <w:tc>
          <w:tcPr>
            <w:tcW w:type="dxa" w:w="51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No country in public identity; Netherlands = research hypothesis, Ireland = English-first hypothesis.</w:t>
            </w:r>
          </w:p>
        </w:tc>
        <w:tc>
          <w:tcPr>
            <w:tcW w:type="dxa" w:w="20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Content mix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Use the five themes in section 6; assign each future card to one of the three blocks.</w:t>
            </w:r>
          </w:p>
        </w:tc>
        <w:tc>
          <w:tcPr>
            <w:tcW w:type="dxa" w:w="2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Test discipline</w:t>
            </w:r>
          </w:p>
        </w:tc>
        <w:tc>
          <w:tcPr>
            <w:tcW w:type="dxa" w:w="510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Do not reopen reader, positioning or geography before post 12, except for a factual or ethical problem.</w:t>
            </w:r>
          </w:p>
        </w:tc>
        <w:tc>
          <w:tcPr>
            <w:tcW w:type="dxa" w:w="2060"/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/>
            </w:r>
          </w:p>
        </w:tc>
      </w:tr>
    </w:tbl>
    <w:p>
      <w:pPr>
        <w:shd w:fill="EAF4F4" w:val="clear"/>
        <w:spacing w:after="120" w:before="120" w:line="276"/>
      </w:pPr>
      <w:r>
        <w:rPr>
          <w:rFonts w:ascii="Aptos" w:cs="Aptos" w:eastAsia="Aptos" w:hAnsi="Aptos"/>
          <w:sz w:val="21"/>
          <w:szCs w:val="21"/>
        </w:rPr>
        <w:t xml:space="preserve">If you disagree: write the two alternatives in one sentence, choose the lower-cost reversible 12-post test, and name one tie-break owner before production starts.</w:t>
      </w:r>
    </w:p>
    <w:p>
      <w:pPr>
        <w:pStyle w:val="Heading1"/>
        <w:spacing w:after="130" w:before="300"/>
      </w:pPr>
      <w:r>
        <w:rPr>
          <w:rFonts w:ascii="Aptos" w:cs="Aptos" w:eastAsia="Aptos" w:hAnsi="Aptos"/>
          <w:b/>
          <w:bCs/>
          <w:color w:val="14213D"/>
          <w:sz w:val="29"/>
          <w:szCs w:val="29"/>
        </w:rPr>
        <w:t xml:space="preserve">8. Decision record — complete before leaving</w:t>
      </w:r>
    </w:p>
    <w:p>
      <w:pPr>
        <w:spacing w:after="120" w:before="0" w:line="276"/>
      </w:pPr>
      <w:r>
        <w:rPr>
          <w:rFonts w:ascii="Aptos" w:cs="Aptos" w:eastAsia="Aptos" w:hAnsi="Aptos"/>
          <w:b/>
          <w:bCs/>
          <w:color w:val="14213D"/>
          <w:sz w:val="21"/>
          <w:szCs w:val="21"/>
        </w:rPr>
        <w:t xml:space="preserve">Date: ____________________    Present: Misha / Max</w:t>
      </w:r>
    </w:p>
    <w:p>
      <w:pPr>
        <w:spacing w:after="150" w:before="0" w:line="276"/>
      </w:pPr>
      <w:r>
        <w:rPr>
          <w:rFonts w:ascii="Aptos" w:cs="Aptos" w:eastAsia="Aptos" w:hAnsi="Aptos"/>
          <w:sz w:val="21"/>
          <w:szCs w:val="21"/>
        </w:rPr>
        <w:t xml:space="preserve">Approved public positioning: _________________________________________________________________</w:t>
      </w:r>
    </w:p>
    <w:p>
      <w:pPr>
        <w:spacing w:after="150" w:before="0" w:line="276"/>
      </w:pPr>
      <w:r>
        <w:rPr>
          <w:rFonts w:ascii="Aptos" w:cs="Aptos" w:eastAsia="Aptos" w:hAnsi="Aptos"/>
          <w:sz w:val="21"/>
          <w:szCs w:val="21"/>
        </w:rPr>
        <w:t xml:space="preserve">Approved core reader: _______________________________________________________________________</w:t>
      </w:r>
    </w:p>
    <w:p>
      <w:pPr>
        <w:spacing w:after="150" w:before="0" w:line="276"/>
      </w:pPr>
      <w:r>
        <w:rPr>
          <w:rFonts w:ascii="Aptos" w:cs="Aptos" w:eastAsia="Aptos" w:hAnsi="Aptos"/>
          <w:sz w:val="21"/>
          <w:szCs w:val="21"/>
        </w:rPr>
        <w:t xml:space="preserve">Approved three content blocks / changes: ____________________________________________________</w:t>
      </w:r>
    </w:p>
    <w:p>
      <w:pPr>
        <w:spacing w:after="150" w:before="0" w:line="276"/>
      </w:pPr>
      <w:r>
        <w:rPr>
          <w:rFonts w:ascii="Aptos" w:cs="Aptos" w:eastAsia="Aptos" w:hAnsi="Aptos"/>
          <w:sz w:val="21"/>
          <w:szCs w:val="21"/>
        </w:rPr>
        <w:t xml:space="preserve">Approved geography rule: ____________________________________________________________________</w:t>
      </w:r>
    </w:p>
    <w:p>
      <w:pPr>
        <w:spacing w:after="150" w:before="0" w:line="276"/>
      </w:pPr>
      <w:r>
        <w:rPr>
          <w:rFonts w:ascii="Aptos" w:cs="Aptos" w:eastAsia="Aptos" w:hAnsi="Aptos"/>
          <w:sz w:val="21"/>
          <w:szCs w:val="21"/>
        </w:rPr>
        <w:t xml:space="preserve">Approved five content series / changes: ______________________________________________________</w:t>
      </w:r>
    </w:p>
    <w:p>
      <w:pPr>
        <w:spacing w:after="150" w:before="0" w:line="276"/>
      </w:pPr>
      <w:r>
        <w:rPr>
          <w:rFonts w:ascii="Aptos" w:cs="Aptos" w:eastAsia="Aptos" w:hAnsi="Aptos"/>
          <w:sz w:val="21"/>
          <w:szCs w:val="21"/>
        </w:rPr>
        <w:t xml:space="preserve">Tie-break owner for this cycle: ____________________</w:t>
      </w:r>
    </w:p>
    <w:p>
      <w:pPr>
        <w:spacing w:after="220" w:before="0" w:line="276"/>
      </w:pPr>
      <w:r>
        <w:rPr>
          <w:rFonts w:ascii="Aptos" w:cs="Aptos" w:eastAsia="Aptos" w:hAnsi="Aptos"/>
          <w:sz w:val="21"/>
          <w:szCs w:val="21"/>
        </w:rPr>
        <w:t xml:space="preserve">First production session: ____________________    Review: after post #12 on ____________________</w:t>
      </w:r>
    </w:p>
    <w:p>
      <w:pPr>
        <w:shd w:fill="EEF2F7" w:val="clear"/>
        <w:spacing w:after="120" w:before="0" w:line="276"/>
      </w:pPr>
      <w:r>
        <w:rPr>
          <w:rFonts w:ascii="Aptos" w:cs="Aptos" w:eastAsia="Aptos" w:hAnsi="Aptos"/>
          <w:color w:val="5B6472"/>
          <w:sz w:val="18"/>
          <w:szCs w:val="18"/>
        </w:rPr>
        <w:t xml:space="preserve">PARKING LOT — not part of this decision: permanent country/service market; product/course/agency offer; new industry niche; new language/platform; metric thresholds for the review.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 Lab — Focus Decision Brief</dc:title>
  <dc:creator>M2 Lab</dc:creator>
  <cp:lastModifiedBy>Un-named</cp:lastModifiedBy>
  <cp:revision>1</cp:revision>
  <dcterms:created xsi:type="dcterms:W3CDTF">2026-09-04T13:22:03.107Z</dcterms:created>
  <dcterms:modified xsi:type="dcterms:W3CDTF">2026-09-04T13:22:03.114Z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