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Commented Diagnostic Report for Maksym Charniuk MSc Thesis Draft 2</w:t>
      </w:r>
    </w:p>
    <w:p>
      <w:r>
        <w:t>Working document for comment-by-comment diagnosis and correction planning.</w:t>
      </w:r>
    </w:p>
    <w:p>
      <w:r>
        <w:rPr>
          <w:b/>
          <w:color w:val="375078"/>
        </w:rPr>
        <w:t xml:space="preserve">FACT: </w:t>
      </w:r>
      <w:r>
        <w:t>Source draft inspected: draft/Maksym_Charniuk_MSc_thesis_draft_2.docx.</w:t>
      </w:r>
    </w:p>
    <w:p>
      <w:r>
        <w:rPr>
          <w:b/>
          <w:color w:val="375078"/>
        </w:rPr>
        <w:t xml:space="preserve">FACT: </w:t>
      </w:r>
      <w:r>
        <w:t>Extracted body evidence: 455 non-empty paragraphs, 4 tables, and 0 embedded Word comments.</w:t>
      </w:r>
    </w:p>
    <w:p>
      <w:r>
        <w:rPr>
          <w:b/>
          <w:color w:val="375078"/>
        </w:rPr>
        <w:t xml:space="preserve">FACT: </w:t>
      </w:r>
      <w:r>
        <w:t>The source Word file contains no embedded reviewer comments.</w:t>
      </w:r>
    </w:p>
    <w:p>
      <w:r>
        <w:rPr>
          <w:b/>
          <w:color w:val="375078"/>
        </w:rPr>
        <w:t xml:space="preserve">GAP: </w:t>
      </w:r>
      <w:r>
        <w:t>The grading image mentioned in the prompt was not accessible in the local workspace context during this run.</w:t>
      </w:r>
    </w:p>
    <w:p>
      <w:r>
        <w:rPr>
          <w:b/>
          <w:color w:val="375078"/>
        </w:rPr>
        <w:t xml:space="preserve">INTERPRETATION: </w:t>
      </w:r>
      <w:r>
        <w:t>The strongest visible weakness is not lack of empirical material; it is thesis logic, hypothesis discipline, evidence hierarchy, data-audit clarity, and interpretation of unusual results.</w:t>
      </w:r>
    </w:p>
    <w:p>
      <w:r>
        <w:rPr>
          <w:b/>
          <w:color w:val="375078"/>
        </w:rPr>
        <w:t xml:space="preserve">HYPOTHESIS: </w:t>
      </w:r>
      <w:r>
        <w:t>If Draft 3 is rebuilt around the two required market-power hypotheses, most existing empirical material can be retained without adding new models.</w:t>
      </w:r>
    </w:p>
    <w:p>
      <w:pPr>
        <w:pStyle w:val="Heading1"/>
      </w:pPr>
      <w:r>
        <w:t>1. Executive Summary of Main Weaknesses</w:t>
      </w:r>
    </w:p>
    <w:p>
      <w:pPr>
        <w:pStyle w:val="ListBullet"/>
      </w:pPr>
      <w:r>
        <w:t>The draft must stop presenting four hypotheses. As required, Draft 3 should retain only two hypotheses: retailer market power vis-a-vis processors and processor market power with respect to farmers.</w:t>
      </w:r>
    </w:p>
    <w:p>
      <w:pPr>
        <w:pStyle w:val="ListBullet"/>
      </w:pPr>
      <w:r>
        <w:t>The research problem should be reframed from price co-movement to a multi-stage filtering mechanism: processors, procurement contracts, product mix, retail timing, and promotions shape how shocks become visible.</w:t>
      </w:r>
    </w:p>
    <w:p>
      <w:pPr>
        <w:pStyle w:val="ListBullet"/>
      </w:pPr>
      <w:r>
        <w:t>The introduction already gestures toward wartime disruptions, but it must explain how blackouts, labor shortages, logistics costs, and damaged infrastructure change adjustment speed and bargaining power.</w:t>
      </w:r>
    </w:p>
    <w:p>
      <w:pPr>
        <w:pStyle w:val="ListBullet"/>
      </w:pPr>
      <w:r>
        <w:t>The market-analysis chapter needs a stronger upstream duality narrative and a processor-hinge concept.</w:t>
      </w:r>
    </w:p>
    <w:p>
      <w:pPr>
        <w:pStyle w:val="ListBullet"/>
      </w:pPr>
      <w:r>
        <w:t>The methodology must state the evidence hierarchy: weekly models as structural long-run paths, daily models as short-run mechanism evidence.</w:t>
      </w:r>
    </w:p>
    <w:p>
      <w:pPr>
        <w:pStyle w:val="ListBullet"/>
      </w:pPr>
      <w:r>
        <w:t>The data chapter needs a standardization audit by product, chain stage, frequency, and overlap period.</w:t>
      </w:r>
    </w:p>
    <w:p>
      <w:pPr>
        <w:pStyle w:val="ListBullet"/>
      </w:pPr>
      <w:r>
        <w:t>The results chapter should prioritize ECM and NARDL, then use discount, procurement-scale, aggregate-index, local-projection, and VECM evidence as secondary layers.</w:t>
      </w:r>
    </w:p>
    <w:p>
      <w:pPr>
        <w:pStyle w:val="ListBullet"/>
      </w:pPr>
      <w:r>
        <w:t>Large negative cheese and cream coefficients should be interpreted cautiously as retail nonlinearity under short overlap, not as literal elasticities.</w:t>
      </w:r>
    </w:p>
    <w:p>
      <w:pPr>
        <w:pStyle w:val="ListBullet"/>
      </w:pPr>
      <w:r>
        <w:t>The Silpo yogurt/dessert discount coefficient near 0.601 and ProZorro sour-cream contract-sum coefficient near -0.771 are high-priority mechanism findings.</w:t>
      </w:r>
    </w:p>
    <w:p>
      <w:pPr>
        <w:pStyle w:val="ListBullet"/>
      </w:pPr>
      <w:r>
        <w:t>The conclusion must define market power as control over timing and form of adjustment, not only price levels.</w:t>
      </w:r>
    </w:p>
    <w:p>
      <w:pPr>
        <w:pStyle w:val="Heading1"/>
      </w:pPr>
      <w:r>
        <w:t>2. Evaluation Criteria Priority Map</w:t>
      </w:r>
    </w:p>
    <w:p>
      <w:r>
        <w:t>Because the grading image was not available locally, this priority map reconstructs evaluation pressure from the prompt, the draft audit, and KSE-style Economic Analysis expectations. The map should be updated if the actual image is supplied later.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Priority</w:t>
            </w:r>
          </w:p>
        </w:tc>
        <w:tc>
          <w:tcPr>
            <w:tcW w:type="dxa" w:w="2520"/>
          </w:tcPr>
          <w:p>
            <w:r>
              <w:rPr>
                <w:b/>
              </w:rPr>
              <w:t>Evaluation area</w:t>
            </w:r>
          </w:p>
        </w:tc>
        <w:tc>
          <w:tcPr>
            <w:tcW w:type="dxa" w:w="2520"/>
          </w:tcPr>
          <w:p>
            <w:r>
              <w:rPr>
                <w:b/>
              </w:rPr>
              <w:t>Observed weakness</w:t>
            </w:r>
          </w:p>
        </w:tc>
        <w:tc>
          <w:tcPr>
            <w:tcW w:type="dxa" w:w="2520"/>
          </w:tcPr>
          <w:p>
            <w:r>
              <w:rPr>
                <w:b/>
              </w:rPr>
              <w:t>Revision target</w:t>
            </w:r>
          </w:p>
        </w:tc>
      </w:tr>
      <w:tr>
        <w:tc>
          <w:tcPr>
            <w:tcW w:type="dxa" w:w="2520"/>
          </w:tcPr>
          <w:p>
            <w:r>
              <w:t>1</w:t>
            </w:r>
          </w:p>
        </w:tc>
        <w:tc>
          <w:tcPr>
            <w:tcW w:type="dxa" w:w="2520"/>
          </w:tcPr>
          <w:p>
            <w:r>
              <w:t>Research question and hypotheses</w:t>
            </w:r>
          </w:p>
        </w:tc>
        <w:tc>
          <w:tcPr>
            <w:tcW w:type="dxa" w:w="2520"/>
          </w:tcPr>
          <w:p>
            <w:r>
              <w:t>Four hypotheses dilute the required two-hypothesis structure.</w:t>
            </w:r>
          </w:p>
        </w:tc>
        <w:tc>
          <w:tcPr>
            <w:tcW w:type="dxa" w:w="2520"/>
          </w:tcPr>
          <w:p>
            <w:r>
              <w:t>Use only H1 retailer power and H2 processor power; move asymmetry, buffering, and promotions into mechanisms.</w:t>
            </w:r>
          </w:p>
        </w:tc>
      </w:tr>
      <w:tr>
        <w:tc>
          <w:tcPr>
            <w:tcW w:type="dxa" w:w="2520"/>
          </w:tcPr>
          <w:p>
            <w:r>
              <w:t>2</w:t>
            </w:r>
          </w:p>
        </w:tc>
        <w:tc>
          <w:tcPr>
            <w:tcW w:type="dxa" w:w="2520"/>
          </w:tcPr>
          <w:p>
            <w:r>
              <w:t>Economic logic</w:t>
            </w:r>
          </w:p>
        </w:tc>
        <w:tc>
          <w:tcPr>
            <w:tcW w:type="dxa" w:w="2520"/>
          </w:tcPr>
          <w:p>
            <w:r>
              <w:t>The draft alternates between co-movement and filtering.</w:t>
            </w:r>
          </w:p>
        </w:tc>
        <w:tc>
          <w:tcPr>
            <w:tcW w:type="dxa" w:w="2520"/>
          </w:tcPr>
          <w:p>
            <w:r>
              <w:t>Make multi-stage filtering the thesis frame from Introduction to Conclusion.</w:t>
            </w:r>
          </w:p>
        </w:tc>
      </w:tr>
      <w:tr>
        <w:tc>
          <w:tcPr>
            <w:tcW w:type="dxa" w:w="2520"/>
          </w:tcPr>
          <w:p>
            <w:r>
              <w:t>3</w:t>
            </w:r>
          </w:p>
        </w:tc>
        <w:tc>
          <w:tcPr>
            <w:tcW w:type="dxa" w:w="2520"/>
          </w:tcPr>
          <w:p>
            <w:r>
              <w:t>Methodology</w:t>
            </w:r>
          </w:p>
        </w:tc>
        <w:tc>
          <w:tcPr>
            <w:tcW w:type="dxa" w:w="2520"/>
          </w:tcPr>
          <w:p>
            <w:r>
              <w:t>Model families are not ranked clearly.</w:t>
            </w:r>
          </w:p>
        </w:tc>
        <w:tc>
          <w:tcPr>
            <w:tcW w:type="dxa" w:w="2520"/>
          </w:tcPr>
          <w:p>
            <w:r>
              <w:t>State weekly structural layer vs daily mechanism layer; prioritize ECM/NARDL.</w:t>
            </w:r>
          </w:p>
        </w:tc>
      </w:tr>
      <w:tr>
        <w:tc>
          <w:tcPr>
            <w:tcW w:type="dxa" w:w="2520"/>
          </w:tcPr>
          <w:p>
            <w:r>
              <w:t>4</w:t>
            </w:r>
          </w:p>
        </w:tc>
        <w:tc>
          <w:tcPr>
            <w:tcW w:type="dxa" w:w="2520"/>
          </w:tcPr>
          <w:p>
            <w:r>
              <w:t>Data credibility</w:t>
            </w:r>
          </w:p>
        </w:tc>
        <w:tc>
          <w:tcPr>
            <w:tcW w:type="dxa" w:w="2520"/>
          </w:tcPr>
          <w:p>
            <w:r>
              <w:t>Product, stage, frequency, and overlap comparability need an audit.</w:t>
            </w:r>
          </w:p>
        </w:tc>
        <w:tc>
          <w:tcPr>
            <w:tcW w:type="dxa" w:w="2520"/>
          </w:tcPr>
          <w:p>
            <w:r>
              <w:t>Add admissibility and standardization audit before results.</w:t>
            </w:r>
          </w:p>
        </w:tc>
      </w:tr>
      <w:tr>
        <w:tc>
          <w:tcPr>
            <w:tcW w:type="dxa" w:w="2520"/>
          </w:tcPr>
          <w:p>
            <w:r>
              <w:t>5</w:t>
            </w:r>
          </w:p>
        </w:tc>
        <w:tc>
          <w:tcPr>
            <w:tcW w:type="dxa" w:w="2520"/>
          </w:tcPr>
          <w:p>
            <w:r>
              <w:t>Results interpretation</w:t>
            </w:r>
          </w:p>
        </w:tc>
        <w:tc>
          <w:tcPr>
            <w:tcW w:type="dxa" w:w="2520"/>
          </w:tcPr>
          <w:p>
            <w:r>
              <w:t>Unusual coefficients and multiple model blocks are under-explained.</w:t>
            </w:r>
          </w:p>
        </w:tc>
        <w:tc>
          <w:tcPr>
            <w:tcW w:type="dxa" w:w="2520"/>
          </w:tcPr>
          <w:p>
            <w:r>
              <w:t>Interpret category nonlinearity, discount behavior, procurement buffering, and system limits.</w:t>
            </w:r>
          </w:p>
        </w:tc>
      </w:tr>
      <w:tr>
        <w:tc>
          <w:tcPr>
            <w:tcW w:type="dxa" w:w="2520"/>
          </w:tcPr>
          <w:p>
            <w:r>
              <w:t>6</w:t>
            </w:r>
          </w:p>
        </w:tc>
        <w:tc>
          <w:tcPr>
            <w:tcW w:type="dxa" w:w="2520"/>
          </w:tcPr>
          <w:p>
            <w:r>
              <w:t>Policy relevance</w:t>
            </w:r>
          </w:p>
        </w:tc>
        <w:tc>
          <w:tcPr>
            <w:tcW w:type="dxa" w:w="2520"/>
          </w:tcPr>
          <w:p>
            <w:r>
              <w:t>Policy implications risk being generic.</w:t>
            </w:r>
          </w:p>
        </w:tc>
        <w:tc>
          <w:tcPr>
            <w:tcW w:type="dxa" w:w="2520"/>
          </w:tcPr>
          <w:p>
            <w:r>
              <w:t>Target procurement rules, supplier composition, processor incentives, contract structures, and promotion policy.</w:t>
            </w:r>
          </w:p>
        </w:tc>
      </w:tr>
      <w:tr>
        <w:tc>
          <w:tcPr>
            <w:tcW w:type="dxa" w:w="2520"/>
          </w:tcPr>
          <w:p>
            <w:r>
              <w:t>7</w:t>
            </w:r>
          </w:p>
        </w:tc>
        <w:tc>
          <w:tcPr>
            <w:tcW w:type="dxa" w:w="2520"/>
          </w:tcPr>
          <w:p>
            <w:r>
              <w:t>Academic style</w:t>
            </w:r>
          </w:p>
        </w:tc>
        <w:tc>
          <w:tcPr>
            <w:tcW w:type="dxa" w:w="2520"/>
          </w:tcPr>
          <w:p>
            <w:r>
              <w:t>Grammar and signposting weaken the professional impression.</w:t>
            </w:r>
          </w:p>
        </w:tc>
        <w:tc>
          <w:tcPr>
            <w:tcW w:type="dxa" w:w="2520"/>
          </w:tcPr>
          <w:p>
            <w:r>
              <w:t>Run a final language pass after structural revision.</w:t>
            </w:r>
          </w:p>
        </w:tc>
      </w:tr>
    </w:tbl>
    <w:p>
      <w:pPr>
        <w:pStyle w:val="Heading1"/>
      </w:pPr>
      <w:r>
        <w:t>3. Comment-by-Comment Analysis</w:t>
      </w:r>
    </w:p>
    <w:p>
      <w:pPr>
        <w:pStyle w:val="Heading2"/>
      </w:pPr>
      <w:r>
        <w:t>C01 - Global / evidence base</w:t>
      </w:r>
    </w:p>
    <w:p>
      <w:r>
        <w:rPr>
          <w:b/>
          <w:color w:val="375078"/>
        </w:rPr>
        <w:t xml:space="preserve">Problem: </w:t>
      </w:r>
      <w:r>
        <w:t>The source DOCX contains no embedded reviewer comments. The grading image was not accessible through the local workspace context.</w:t>
      </w:r>
    </w:p>
    <w:p>
      <w:r>
        <w:rPr>
          <w:b/>
          <w:color w:val="375078"/>
        </w:rPr>
        <w:t xml:space="preserve">Reviewer logic: </w:t>
      </w:r>
      <w:r>
        <w:t>A KSE reviewer will expect the revision plan to distinguish observed evidence from inferred priorities.</w:t>
      </w:r>
    </w:p>
    <w:p>
      <w:r>
        <w:rPr>
          <w:b/>
          <w:color w:val="375078"/>
        </w:rPr>
        <w:t xml:space="preserve">Why it matters: </w:t>
      </w:r>
      <w:r>
        <w:t>If the report pretends to have read unavailable comments or grades, the final revision may optimize the wrong criteria.</w:t>
      </w:r>
    </w:p>
    <w:p>
      <w:r>
        <w:rPr>
          <w:b/>
          <w:color w:val="375078"/>
        </w:rPr>
        <w:t xml:space="preserve">Best correction: </w:t>
      </w:r>
      <w:r>
        <w:t>Use prompt-specified comments, the draft text, tables, and research outputs as the diagnostic base; mark the grading-image gap transparently.</w:t>
      </w:r>
    </w:p>
    <w:p>
      <w:r>
        <w:rPr>
          <w:b/>
          <w:color w:val="375078"/>
        </w:rPr>
        <w:t xml:space="preserve">Proposed corrected text: </w:t>
      </w:r>
      <w:r>
        <w:t>Diagnostic note for Draft 3 planning: the present report uses the draft text, extracted tables, local research outputs, and the explicit review priorities supplied in the prompt. The original Word file does not contain embedded comments, and the grading image was not available in the local workspace; therefore, grade-based priorities are reconstructed from the prompt and from the visible weakness pattern in the draft.</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 - include as an internal note only, not in the final thesis.</w:t>
      </w:r>
    </w:p>
    <w:p>
      <w:pPr>
        <w:pStyle w:val="Heading2"/>
      </w:pPr>
      <w:r>
        <w:t>C02 - Chapter 1 / Introduction opening</w:t>
      </w:r>
    </w:p>
    <w:p>
      <w:r>
        <w:rPr>
          <w:b/>
          <w:color w:val="375078"/>
        </w:rPr>
        <w:t xml:space="preserve">Problem: </w:t>
      </w:r>
      <w:r>
        <w:t>The opening paragraph has grammar problems and starts from broad food-price language before giving a precise economic puzzle.</w:t>
      </w:r>
    </w:p>
    <w:p>
      <w:r>
        <w:rPr>
          <w:b/>
          <w:color w:val="375078"/>
        </w:rPr>
        <w:t xml:space="preserve">Reviewer logic: </w:t>
      </w:r>
      <w:r>
        <w:t>The reviewer is likely asking for a sharper problem statement and cleaner academic English.</w:t>
      </w:r>
    </w:p>
    <w:p>
      <w:r>
        <w:rPr>
          <w:b/>
          <w:color w:val="375078"/>
        </w:rPr>
        <w:t xml:space="preserve">Why it matters: </w:t>
      </w:r>
      <w:r>
        <w:t>Weak opening prose lowers perceived analytical control before the thesis question appears.</w:t>
      </w:r>
    </w:p>
    <w:p>
      <w:r>
        <w:rPr>
          <w:b/>
          <w:color w:val="375078"/>
        </w:rPr>
        <w:t xml:space="preserve">Best correction: </w:t>
      </w:r>
      <w:r>
        <w:t>Open with dairy as a food-inflation and bargaining-power chain under war, then move immediately to multi-stage transmission.</w:t>
      </w:r>
    </w:p>
    <w:p>
      <w:r>
        <w:rPr>
          <w:b/>
          <w:color w:val="375078"/>
        </w:rPr>
        <w:t xml:space="preserve">Proposed corrected text: </w:t>
      </w:r>
      <w:r>
        <w:t>Dairy prices matter for Ukraine because they connect household food inflation, farm incomes, processor margins, public procurement, and retail pricing in one perishable food chain. Since the full-scale invasion, this chain has faced damaged logistics, blackouts, labor shortages, higher transport costs, and changing bargaining positions. These shocks do not move mechanically from farms to shelves. They pass through processors, procurement contracts, product composition, inventories, retail timing, and promotions.</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C03 - Chapter 1 / Research problem</w:t>
      </w:r>
    </w:p>
    <w:p>
      <w:r>
        <w:rPr>
          <w:b/>
          <w:color w:val="375078"/>
        </w:rPr>
        <w:t xml:space="preserve">Problem: </w:t>
      </w:r>
      <w:r>
        <w:t>The draft still oscillates between simple price co-movement and a richer filtering-mechanism story.</w:t>
      </w:r>
    </w:p>
    <w:p>
      <w:r>
        <w:rPr>
          <w:b/>
          <w:color w:val="375078"/>
        </w:rPr>
        <w:t xml:space="preserve">Reviewer logic: </w:t>
      </w:r>
      <w:r>
        <w:t>The reviewer wants the central puzzle to be about how shocks are filtered, delayed, absorbed, or reshaped.</w:t>
      </w:r>
    </w:p>
    <w:p>
      <w:r>
        <w:rPr>
          <w:b/>
          <w:color w:val="375078"/>
        </w:rPr>
        <w:t xml:space="preserve">Why it matters: </w:t>
      </w:r>
      <w:r>
        <w:t>If the question remains a co-movement question, the daily retail, procurement, discount, and asymmetry evidence looks like extra material rather than the thesis core.</w:t>
      </w:r>
    </w:p>
    <w:p>
      <w:r>
        <w:rPr>
          <w:b/>
          <w:color w:val="375078"/>
        </w:rPr>
        <w:t xml:space="preserve">Best correction: </w:t>
      </w:r>
      <w:r>
        <w:t>State that the thesis studies multi-stage filtering of shocks, not only pass-through.</w:t>
      </w:r>
    </w:p>
    <w:p>
      <w:r>
        <w:rPr>
          <w:b/>
          <w:color w:val="375078"/>
        </w:rPr>
        <w:t xml:space="preserve">Proposed corrected text: </w:t>
      </w:r>
      <w:r>
        <w:t>The central empirical problem is not whether dairy prices co-move. It is where and how shocks are filtered inside the chain: whether processors transmit or absorb upstream pressure, whether procurement contracts discipline the timing of adjustment, and whether retailers reveal cost pressure through shelf prices, promotions, or product-specific timing.</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C04 - Chapter 1 / Hypotheses</w:t>
      </w:r>
    </w:p>
    <w:p>
      <w:r>
        <w:rPr>
          <w:b/>
          <w:color w:val="375078"/>
        </w:rPr>
        <w:t xml:space="preserve">Problem: </w:t>
      </w:r>
      <w:r>
        <w:t>The draft states four hypotheses, but the required final thesis must keep only two market-power hypotheses.</w:t>
      </w:r>
    </w:p>
    <w:p>
      <w:r>
        <w:rPr>
          <w:b/>
          <w:color w:val="375078"/>
        </w:rPr>
        <w:t xml:space="preserve">Reviewer logic: </w:t>
      </w:r>
      <w:r>
        <w:t>The reviewer is likely seeing hypothesis drift: transmission, asymmetry, buffering, and promotions are mechanisms, not separate hypotheses.</w:t>
      </w:r>
    </w:p>
    <w:p>
      <w:r>
        <w:rPr>
          <w:b/>
          <w:color w:val="375078"/>
        </w:rPr>
        <w:t xml:space="preserve">Why it matters: </w:t>
      </w:r>
      <w:r>
        <w:t>Four hypotheses dilute the thesis and make conclusions answer too many partially overlapping claims.</w:t>
      </w:r>
    </w:p>
    <w:p>
      <w:r>
        <w:rPr>
          <w:b/>
          <w:color w:val="375078"/>
        </w:rPr>
        <w:t xml:space="preserve">Best correction: </w:t>
      </w:r>
      <w:r>
        <w:t>Replace four hypotheses with the two required market-power hypotheses; treat asymmetry, buffering, and promotions as diagnostic channels.</w:t>
      </w:r>
    </w:p>
    <w:p>
      <w:r>
        <w:rPr>
          <w:b/>
          <w:color w:val="375078"/>
        </w:rPr>
        <w:t xml:space="preserve">Proposed corrected text: </w:t>
      </w:r>
      <w:r>
        <w:t>This thesis tests two hypotheses. H1: There is market power exercised by retailers vis-a-vis dairy processors. H2: There is market power exercised by dairy processors with respect to dairy farmers. The empirical design evaluates these hypotheses through the timing, magnitude, asymmetry, and form of adjustment across the farm-gate, processor, procurement, and retail stages.</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C05 - Chapter 1 / Wartime disruptions</w:t>
      </w:r>
    </w:p>
    <w:p>
      <w:r>
        <w:rPr>
          <w:b/>
          <w:color w:val="375078"/>
        </w:rPr>
        <w:t xml:space="preserve">Problem: </w:t>
      </w:r>
      <w:r>
        <w:t>War context is listed but not converted into mechanisms that affect price transmission.</w:t>
      </w:r>
    </w:p>
    <w:p>
      <w:r>
        <w:rPr>
          <w:b/>
          <w:color w:val="375078"/>
        </w:rPr>
        <w:t xml:space="preserve">Reviewer logic: </w:t>
      </w:r>
      <w:r>
        <w:t>KSE Economic Analysis standards require a causal bridge from context to testable economic behavior.</w:t>
      </w:r>
    </w:p>
    <w:p>
      <w:r>
        <w:rPr>
          <w:b/>
          <w:color w:val="375078"/>
        </w:rPr>
        <w:t xml:space="preserve">Why it matters: </w:t>
      </w:r>
      <w:r>
        <w:t>Without the bridge, blackouts and logistics costs read as background, not as reasons for asymmetric adjustment or bargaining shifts.</w:t>
      </w:r>
    </w:p>
    <w:p>
      <w:r>
        <w:rPr>
          <w:b/>
          <w:color w:val="375078"/>
        </w:rPr>
        <w:t xml:space="preserve">Best correction: </w:t>
      </w:r>
      <w:r>
        <w:t>Connect each wartime disruption to timing, inventories, contract renegotiation, perishability, or bargaining power.</w:t>
      </w:r>
    </w:p>
    <w:p>
      <w:r>
        <w:rPr>
          <w:b/>
          <w:color w:val="375078"/>
        </w:rPr>
        <w:t xml:space="preserve">Proposed corrected text: </w:t>
      </w:r>
      <w:r>
        <w:t>Wartime disruptions matter for price transmission because they change the cost and risk of moving perishable products through the chain. Blackouts raise processing and storage risk; labor shortages slow collection and delivery; damaged infrastructure increases transport costs; and volatile demand strengthens the role of contracts and promotions. These mechanisms can shift bargaining power without producing a one-for-one change in shelf prices.</w:t>
      </w:r>
    </w:p>
    <w:p>
      <w:r>
        <w:rPr>
          <w:b/>
          <w:color w:val="375078"/>
        </w:rPr>
        <w:t xml:space="preserve">Reliability level: </w:t>
      </w:r>
      <w:r>
        <w:t>probable</w:t>
      </w:r>
    </w:p>
    <w:p>
      <w:r>
        <w:rPr>
          <w:b/>
          <w:color w:val="375078"/>
        </w:rPr>
        <w:t xml:space="preserve">Implementation priority: </w:t>
      </w:r>
      <w:r>
        <w:t>High</w:t>
      </w:r>
    </w:p>
    <w:p>
      <w:r>
        <w:rPr>
          <w:b/>
          <w:color w:val="375078"/>
        </w:rPr>
        <w:t xml:space="preserve">Implement in final thesis: </w:t>
      </w:r>
      <w:r>
        <w:t>Yes.</w:t>
      </w:r>
    </w:p>
    <w:p>
      <w:pPr>
        <w:pStyle w:val="Heading2"/>
      </w:pPr>
      <w:r>
        <w:t>C06 - Chapter 1 / Definition of market power</w:t>
      </w:r>
    </w:p>
    <w:p>
      <w:r>
        <w:rPr>
          <w:b/>
          <w:color w:val="375078"/>
        </w:rPr>
        <w:t xml:space="preserve">Problem: </w:t>
      </w:r>
      <w:r>
        <w:t>Market power is sometimes treated as a price-level markup rather than as control over adjustment.</w:t>
      </w:r>
    </w:p>
    <w:p>
      <w:r>
        <w:rPr>
          <w:b/>
          <w:color w:val="375078"/>
        </w:rPr>
        <w:t xml:space="preserve">Reviewer logic: </w:t>
      </w:r>
      <w:r>
        <w:t>The reviewer is likely expecting an applied definition compatible with ECM, NARDL, promotions, and procurement evidence.</w:t>
      </w:r>
    </w:p>
    <w:p>
      <w:r>
        <w:rPr>
          <w:b/>
          <w:color w:val="375078"/>
        </w:rPr>
        <w:t xml:space="preserve">Why it matters: </w:t>
      </w:r>
      <w:r>
        <w:t>The strongest evidence in this thesis is not a direct markup estimate; it is about timing, asymmetry, contract scale, and promotion channels.</w:t>
      </w:r>
    </w:p>
    <w:p>
      <w:r>
        <w:rPr>
          <w:b/>
          <w:color w:val="375078"/>
        </w:rPr>
        <w:t xml:space="preserve">Best correction: </w:t>
      </w:r>
      <w:r>
        <w:t>Define market power as control over timing, form, and visibility of adjustment.</w:t>
      </w:r>
    </w:p>
    <w:p>
      <w:r>
        <w:rPr>
          <w:b/>
          <w:color w:val="375078"/>
        </w:rPr>
        <w:t xml:space="preserve">Proposed corrected text: </w:t>
      </w:r>
      <w:r>
        <w:t>In this thesis, market power is interpreted not only as the ability to set a higher price level, but also as the ability to control how quickly, through which instrument, and at which stage a shock becomes visible. A retailer may exercise power by delaying or redirecting processor-price pressure through promotions; a processor may exercise power by changing how farm-gate shocks are translated into processed-product prices.</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C07 - Chapter 2 / Upstream duality</w:t>
      </w:r>
    </w:p>
    <w:p>
      <w:r>
        <w:rPr>
          <w:b/>
          <w:color w:val="375078"/>
        </w:rPr>
        <w:t xml:space="preserve">Problem: </w:t>
      </w:r>
      <w:r>
        <w:t>The draft mentions household and enterprise farms but does not fully explain why processors rely more on industrial agricultural enterprises.</w:t>
      </w:r>
    </w:p>
    <w:p>
      <w:r>
        <w:rPr>
          <w:b/>
          <w:color w:val="375078"/>
        </w:rPr>
        <w:t xml:space="preserve">Reviewer logic: </w:t>
      </w:r>
      <w:r>
        <w:t>The reviewer wants the market-analysis chapter to explain the institutional source of processor bargaining power.</w:t>
      </w:r>
    </w:p>
    <w:p>
      <w:r>
        <w:rPr>
          <w:b/>
          <w:color w:val="375078"/>
        </w:rPr>
        <w:t xml:space="preserve">Why it matters: </w:t>
      </w:r>
      <w:r>
        <w:t>The second hypothesis requires a credible mechanism linking processors to farmers.</w:t>
      </w:r>
    </w:p>
    <w:p>
      <w:r>
        <w:rPr>
          <w:b/>
          <w:color w:val="375078"/>
        </w:rPr>
        <w:t xml:space="preserve">Best correction: </w:t>
      </w:r>
      <w:r>
        <w:t>Show that industrial farms offer volume, quality, documentation, cold-chain discipline, and contract reliability.</w:t>
      </w:r>
    </w:p>
    <w:p>
      <w:r>
        <w:rPr>
          <w:b/>
          <w:color w:val="375078"/>
        </w:rPr>
        <w:t xml:space="preserve">Proposed corrected text: </w:t>
      </w:r>
      <w:r>
        <w:t>The upstream market is dual. Household producers remain important for rural supply, but processors depend more heavily on industrial agricultural enterprises because these suppliers offer larger volumes, more predictable quality, easier documentation, and lower collection costs. This makes enterprise milk the reliable branch for processors and gives processors stronger leverage over fragmented or less standardized farm suppliers.</w:t>
      </w:r>
    </w:p>
    <w:p>
      <w:r>
        <w:rPr>
          <w:b/>
          <w:color w:val="375078"/>
        </w:rPr>
        <w:t xml:space="preserve">Reliability level: </w:t>
      </w:r>
      <w:r>
        <w:t>probable</w:t>
      </w:r>
    </w:p>
    <w:p>
      <w:r>
        <w:rPr>
          <w:b/>
          <w:color w:val="375078"/>
        </w:rPr>
        <w:t xml:space="preserve">Implementation priority: </w:t>
      </w:r>
      <w:r>
        <w:t>High</w:t>
      </w:r>
    </w:p>
    <w:p>
      <w:r>
        <w:rPr>
          <w:b/>
          <w:color w:val="375078"/>
        </w:rPr>
        <w:t xml:space="preserve">Implement in final thesis: </w:t>
      </w:r>
      <w:r>
        <w:t>Yes.</w:t>
      </w:r>
    </w:p>
    <w:p>
      <w:pPr>
        <w:pStyle w:val="Heading2"/>
      </w:pPr>
      <w:r>
        <w:t>C08 - Chapter 2 / Processor hinge</w:t>
      </w:r>
    </w:p>
    <w:p>
      <w:r>
        <w:rPr>
          <w:b/>
          <w:color w:val="375078"/>
        </w:rPr>
        <w:t xml:space="preserve">Problem: </w:t>
      </w:r>
      <w:r>
        <w:t>The processor is described as a stage but not yet as the hinge that filters upstream shocks.</w:t>
      </w:r>
    </w:p>
    <w:p>
      <w:r>
        <w:rPr>
          <w:b/>
          <w:color w:val="375078"/>
        </w:rPr>
        <w:t xml:space="preserve">Reviewer logic: </w:t>
      </w:r>
      <w:r>
        <w:t>The reviewer is likely asking for a clearer chain architecture.</w:t>
      </w:r>
    </w:p>
    <w:p>
      <w:r>
        <w:rPr>
          <w:b/>
          <w:color w:val="375078"/>
        </w:rPr>
        <w:t xml:space="preserve">Why it matters: </w:t>
      </w:r>
      <w:r>
        <w:t>The thesis needs processors to connect the farmer-market-power hypothesis with downstream product-specific results.</w:t>
      </w:r>
    </w:p>
    <w:p>
      <w:r>
        <w:rPr>
          <w:b/>
          <w:color w:val="375078"/>
        </w:rPr>
        <w:t xml:space="preserve">Best correction: </w:t>
      </w:r>
      <w:r>
        <w:t>Introduce a processor-hinge paragraph in Chapter 2 and reuse the concept in Chapters 4 and 6.</w:t>
      </w:r>
    </w:p>
    <w:p>
      <w:r>
        <w:rPr>
          <w:b/>
          <w:color w:val="375078"/>
        </w:rPr>
        <w:t xml:space="preserve">Proposed corrected text: </w:t>
      </w:r>
      <w:r>
        <w:t>Processors are the hinge of the dairy chain. They collect raw milk from a dual upstream base, transform it into products with different perishability and value density, and decide how cost pressure is allocated across drinking milk, fermented products, cream, cheese, butter, and other categories. This means that an upstream shock can be filtered through product mix, timing, inventories, and output composition before it reaches procurement or retail.</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C09 - Chapter 2 / Retail market and promotions</w:t>
      </w:r>
    </w:p>
    <w:p>
      <w:r>
        <w:rPr>
          <w:b/>
          <w:color w:val="375078"/>
        </w:rPr>
        <w:t xml:space="preserve">Problem: </w:t>
      </w:r>
      <w:r>
        <w:t>Retail appears late in the logic despite being central to H1.</w:t>
      </w:r>
    </w:p>
    <w:p>
      <w:r>
        <w:rPr>
          <w:b/>
          <w:color w:val="375078"/>
        </w:rPr>
        <w:t xml:space="preserve">Reviewer logic: </w:t>
      </w:r>
      <w:r>
        <w:t>A reviewer focused on retailer market power will expect clear discussion of retail contracts, assortment, private markdowns, and promotions.</w:t>
      </w:r>
    </w:p>
    <w:p>
      <w:r>
        <w:rPr>
          <w:b/>
          <w:color w:val="375078"/>
        </w:rPr>
        <w:t xml:space="preserve">Why it matters: </w:t>
      </w:r>
      <w:r>
        <w:t>Without this, the Silpo-Novus microdata and discount models appear opportunistic rather than hypothesis-driven.</w:t>
      </w:r>
    </w:p>
    <w:p>
      <w:r>
        <w:rPr>
          <w:b/>
          <w:color w:val="375078"/>
        </w:rPr>
        <w:t xml:space="preserve">Best correction: </w:t>
      </w:r>
      <w:r>
        <w:t>Frame retail as the consumer-visible stage that controls shelf timing and promotional form.</w:t>
      </w:r>
    </w:p>
    <w:p>
      <w:r>
        <w:rPr>
          <w:b/>
          <w:color w:val="375078"/>
        </w:rPr>
        <w:t xml:space="preserve">Proposed corrected text: </w:t>
      </w:r>
      <w:r>
        <w:t>Retailers do not simply receive processor prices. They choose assortment, promotion timing, markdown depth, supplier terms, and shelf-price visibility. In a high-frequency retail environment, part of market power can therefore appear through tactical discounts rather than through a stable retail markup.</w:t>
      </w:r>
    </w:p>
    <w:p>
      <w:r>
        <w:rPr>
          <w:b/>
          <w:color w:val="375078"/>
        </w:rPr>
        <w:t xml:space="preserve">Reliability level: </w:t>
      </w:r>
      <w:r>
        <w:t>probable</w:t>
      </w:r>
    </w:p>
    <w:p>
      <w:r>
        <w:rPr>
          <w:b/>
          <w:color w:val="375078"/>
        </w:rPr>
        <w:t xml:space="preserve">Implementation priority: </w:t>
      </w:r>
      <w:r>
        <w:t>High</w:t>
      </w:r>
    </w:p>
    <w:p>
      <w:r>
        <w:rPr>
          <w:b/>
          <w:color w:val="375078"/>
        </w:rPr>
        <w:t xml:space="preserve">Implement in final thesis: </w:t>
      </w:r>
      <w:r>
        <w:t>Yes.</w:t>
      </w:r>
    </w:p>
    <w:p>
      <w:pPr>
        <w:pStyle w:val="Heading2"/>
      </w:pPr>
      <w:r>
        <w:t>C10 - Chapter 2 / EU integration and procurement institutions</w:t>
      </w:r>
    </w:p>
    <w:p>
      <w:r>
        <w:rPr>
          <w:b/>
          <w:color w:val="375078"/>
        </w:rPr>
        <w:t xml:space="preserve">Problem: </w:t>
      </w:r>
      <w:r>
        <w:t>EU integration and institutional background are present but not tied tightly enough to procurement rules and unfair trading practices.</w:t>
      </w:r>
    </w:p>
    <w:p>
      <w:r>
        <w:rPr>
          <w:b/>
          <w:color w:val="375078"/>
        </w:rPr>
        <w:t xml:space="preserve">Reviewer logic: </w:t>
      </w:r>
      <w:r>
        <w:t>The reviewer likely wants institutional relevance, not just macro background.</w:t>
      </w:r>
    </w:p>
    <w:p>
      <w:r>
        <w:rPr>
          <w:b/>
          <w:color w:val="375078"/>
        </w:rPr>
        <w:t xml:space="preserve">Why it matters: </w:t>
      </w:r>
      <w:r>
        <w:t>Policy conclusions require a reason why procurement and contract structure matter more than shelf-price caps.</w:t>
      </w:r>
    </w:p>
    <w:p>
      <w:r>
        <w:rPr>
          <w:b/>
          <w:color w:val="375078"/>
        </w:rPr>
        <w:t xml:space="preserve">Best correction: </w:t>
      </w:r>
      <w:r>
        <w:t>Use EU food-chain rules as a bridge to bargaining power and contract terms.</w:t>
      </w:r>
    </w:p>
    <w:p>
      <w:r>
        <w:rPr>
          <w:b/>
          <w:color w:val="375078"/>
        </w:rPr>
        <w:t xml:space="preserve">Proposed corrected text: </w:t>
      </w:r>
      <w:r>
        <w:t>The EU policy relevance is that unfair trading practices and bargaining imbalances often appear in payment terms, contract timing, risk allocation, and supplier dependence rather than only in posted prices. For Ukraine, this makes procurement design and retailer-processor contracting part of the food-inflation policy problem.</w:t>
      </w:r>
    </w:p>
    <w:p>
      <w:r>
        <w:rPr>
          <w:b/>
          <w:color w:val="375078"/>
        </w:rPr>
        <w:t xml:space="preserve">Reliability level: </w:t>
      </w:r>
      <w:r>
        <w:t>probable</w:t>
      </w:r>
    </w:p>
    <w:p>
      <w:r>
        <w:rPr>
          <w:b/>
          <w:color w:val="375078"/>
        </w:rPr>
        <w:t xml:space="preserve">Implementation priority: </w:t>
      </w:r>
      <w:r>
        <w:t>Medium</w:t>
      </w:r>
    </w:p>
    <w:p>
      <w:r>
        <w:rPr>
          <w:b/>
          <w:color w:val="375078"/>
        </w:rPr>
        <w:t xml:space="preserve">Implement in final thesis: </w:t>
      </w:r>
      <w:r>
        <w:t>Yes.</w:t>
      </w:r>
    </w:p>
    <w:p>
      <w:pPr>
        <w:pStyle w:val="Heading2"/>
      </w:pPr>
      <w:r>
        <w:t>C11 - Chapter 3 / Literature review - buyer power</w:t>
      </w:r>
    </w:p>
    <w:p>
      <w:r>
        <w:rPr>
          <w:b/>
          <w:color w:val="375078"/>
        </w:rPr>
        <w:t xml:space="preserve">Problem: </w:t>
      </w:r>
      <w:r>
        <w:t>The literature review states themes but should more directly connect vertical coordination, buyer power, and empirical identification.</w:t>
      </w:r>
    </w:p>
    <w:p>
      <w:r>
        <w:rPr>
          <w:b/>
          <w:color w:val="375078"/>
        </w:rPr>
        <w:t xml:space="preserve">Reviewer logic: </w:t>
      </w:r>
      <w:r>
        <w:t>The reviewer wants the literature to justify why market power is measured through adjustment behavior.</w:t>
      </w:r>
    </w:p>
    <w:p>
      <w:r>
        <w:rPr>
          <w:b/>
          <w:color w:val="375078"/>
        </w:rPr>
        <w:t xml:space="preserve">Why it matters: </w:t>
      </w:r>
      <w:r>
        <w:t>If the literature remains descriptive, the empirical design looks detached from theory.</w:t>
      </w:r>
    </w:p>
    <w:p>
      <w:r>
        <w:rPr>
          <w:b/>
          <w:color w:val="375078"/>
        </w:rPr>
        <w:t xml:space="preserve">Best correction: </w:t>
      </w:r>
      <w:r>
        <w:t>Add a synthesis paragraph linking buyer power to asymmetric pass-through and contract-based adjustment.</w:t>
      </w:r>
    </w:p>
    <w:p>
      <w:r>
        <w:rPr>
          <w:b/>
          <w:color w:val="375078"/>
        </w:rPr>
        <w:t xml:space="preserve">Proposed corrected text: </w:t>
      </w:r>
      <w:r>
        <w:t>The relevant literature treats buyer power as a vertical-chain problem: stronger buyers may not only negotiate lower prices, but also shift risk, delay adjustment, or determine which shocks are visible downstream. For this thesis, that logic is tested through error correction, asymmetric adjustment, procurement-scale effects, and promotion behavior rather than through a direct structural markup model.</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C12 - Chapter 3 / Asymmetric adjustment</w:t>
      </w:r>
    </w:p>
    <w:p>
      <w:r>
        <w:rPr>
          <w:b/>
          <w:color w:val="375078"/>
        </w:rPr>
        <w:t xml:space="preserve">Problem: </w:t>
      </w:r>
      <w:r>
        <w:t>The 'rockets and feathers' mechanism needs deeper integration.</w:t>
      </w:r>
    </w:p>
    <w:p>
      <w:r>
        <w:rPr>
          <w:b/>
          <w:color w:val="375078"/>
        </w:rPr>
        <w:t xml:space="preserve">Reviewer logic: </w:t>
      </w:r>
      <w:r>
        <w:t>The reviewer likely expects the standard theory of faster upward than downward transmission, adapted to food markets.</w:t>
      </w:r>
    </w:p>
    <w:p>
      <w:r>
        <w:rPr>
          <w:b/>
          <w:color w:val="375078"/>
        </w:rPr>
        <w:t xml:space="preserve">Why it matters: </w:t>
      </w:r>
      <w:r>
        <w:t>NARDL results will be hard to interpret without a clear theoretical benchmark for asymmetry.</w:t>
      </w:r>
    </w:p>
    <w:p>
      <w:r>
        <w:rPr>
          <w:b/>
          <w:color w:val="375078"/>
        </w:rPr>
        <w:t xml:space="preserve">Best correction: </w:t>
      </w:r>
      <w:r>
        <w:t>Present rockets-and-feathers as one possible asymmetry pattern, not as an automatic finding.</w:t>
      </w:r>
    </w:p>
    <w:p>
      <w:r>
        <w:rPr>
          <w:b/>
          <w:color w:val="375078"/>
        </w:rPr>
        <w:t xml:space="preserve">Proposed corrected text: </w:t>
      </w:r>
      <w:r>
        <w:t>The standard 'rockets and feathers' argument predicts that prices may rise quickly when costs increase but fall slowly when costs decline. In dairy markets this pattern can be reinforced by perishability, contracts, inventory limits, brand positioning, and promotion cycles. The Ukrainian case may also show product-specific departures from the standard pattern because wartime shocks and procurement discreteness can make adjustment nonlinear rather than simply upward-biased.</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C13 - Chapter 3 / Transition economy and repeated shocks</w:t>
      </w:r>
    </w:p>
    <w:p>
      <w:r>
        <w:rPr>
          <w:b/>
          <w:color w:val="375078"/>
        </w:rPr>
        <w:t xml:space="preserve">Problem: </w:t>
      </w:r>
      <w:r>
        <w:t>The review needs a stronger bridge from transition-economy instability to the Ukrainian dairy setting.</w:t>
      </w:r>
    </w:p>
    <w:p>
      <w:r>
        <w:rPr>
          <w:b/>
          <w:color w:val="375078"/>
        </w:rPr>
        <w:t xml:space="preserve">Reviewer logic: </w:t>
      </w:r>
      <w:r>
        <w:t>The reviewer wants the literature to explain why standard pass-through may fail in wartime Ukraine.</w:t>
      </w:r>
    </w:p>
    <w:p>
      <w:r>
        <w:rPr>
          <w:b/>
          <w:color w:val="375078"/>
        </w:rPr>
        <w:t xml:space="preserve">Why it matters: </w:t>
      </w:r>
      <w:r>
        <w:t>Repeated shocks, thin data, and institutional changes are central to interpreting weak or unusual coefficients.</w:t>
      </w:r>
    </w:p>
    <w:p>
      <w:r>
        <w:rPr>
          <w:b/>
          <w:color w:val="375078"/>
        </w:rPr>
        <w:t xml:space="preserve">Best correction: </w:t>
      </w:r>
      <w:r>
        <w:t>Explain that transition economies often combine market concentration, institutional adjustment, and incomplete price discovery.</w:t>
      </w:r>
    </w:p>
    <w:p>
      <w:r>
        <w:rPr>
          <w:b/>
          <w:color w:val="375078"/>
        </w:rPr>
        <w:t xml:space="preserve">Proposed corrected text: </w:t>
      </w:r>
      <w:r>
        <w:t>For transition economies, asymmetric price transmission may reflect not only market concentration but also incomplete contract enforcement, changing supplier structure, volatile logistics, and limited high-frequency price discovery. In wartime Ukraine, these forces are intensified, so the empirical expectation is not a smooth farm-to-retail pass-through path but a staged and product-specific adjustment process.</w:t>
      </w:r>
    </w:p>
    <w:p>
      <w:r>
        <w:rPr>
          <w:b/>
          <w:color w:val="375078"/>
        </w:rPr>
        <w:t xml:space="preserve">Reliability level: </w:t>
      </w:r>
      <w:r>
        <w:t>probable</w:t>
      </w:r>
    </w:p>
    <w:p>
      <w:r>
        <w:rPr>
          <w:b/>
          <w:color w:val="375078"/>
        </w:rPr>
        <w:t xml:space="preserve">Implementation priority: </w:t>
      </w:r>
      <w:r>
        <w:t>Medium</w:t>
      </w:r>
    </w:p>
    <w:p>
      <w:r>
        <w:rPr>
          <w:b/>
          <w:color w:val="375078"/>
        </w:rPr>
        <w:t xml:space="preserve">Implement in final thesis: </w:t>
      </w:r>
      <w:r>
        <w:t>Yes.</w:t>
      </w:r>
    </w:p>
    <w:p>
      <w:pPr>
        <w:pStyle w:val="Heading2"/>
      </w:pPr>
      <w:r>
        <w:t>C14 - Chapter 4 / Evidence hierarchy</w:t>
      </w:r>
    </w:p>
    <w:p>
      <w:r>
        <w:rPr>
          <w:b/>
          <w:color w:val="375078"/>
        </w:rPr>
        <w:t xml:space="preserve">Problem: </w:t>
      </w:r>
      <w:r>
        <w:t>The methodology does not yet state the evidence hierarchy strongly enough.</w:t>
      </w:r>
    </w:p>
    <w:p>
      <w:r>
        <w:rPr>
          <w:b/>
          <w:color w:val="375078"/>
        </w:rPr>
        <w:t xml:space="preserve">Reviewer logic: </w:t>
      </w:r>
      <w:r>
        <w:t>The reviewer is likely asking which models answer the thesis question and which models are supportive.</w:t>
      </w:r>
    </w:p>
    <w:p>
      <w:r>
        <w:rPr>
          <w:b/>
          <w:color w:val="375078"/>
        </w:rPr>
        <w:t xml:space="preserve">Why it matters: </w:t>
      </w:r>
      <w:r>
        <w:t>Without hierarchy, the reader may treat unstable ARDL screens, daily models, and VECM checks as equally authoritative.</w:t>
      </w:r>
    </w:p>
    <w:p>
      <w:r>
        <w:rPr>
          <w:b/>
          <w:color w:val="375078"/>
        </w:rPr>
        <w:t xml:space="preserve">Best correction: </w:t>
      </w:r>
      <w:r>
        <w:t>State weekly models as structural long-run evidence and daily models as tactical mechanism evidence.</w:t>
      </w:r>
    </w:p>
    <w:p>
      <w:r>
        <w:rPr>
          <w:b/>
          <w:color w:val="375078"/>
        </w:rPr>
        <w:t xml:space="preserve">Proposed corrected text: </w:t>
      </w:r>
      <w:r>
        <w:t>The evidence hierarchy is deliberate. Weekly models are treated as the main structural layer because they reduce high-frequency noise and capture the longer adjustment path among official and procurement series. Daily models are treated as mechanism evidence: they reveal tactical retail behavior, promotions, procurement discreteness, and short-run correction that can be hidden in weekly aggregation.</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C15 - Chapter 4 / Pairwise design</w:t>
      </w:r>
    </w:p>
    <w:p>
      <w:r>
        <w:rPr>
          <w:b/>
          <w:color w:val="375078"/>
        </w:rPr>
        <w:t xml:space="preserve">Problem: </w:t>
      </w:r>
      <w:r>
        <w:t>The pairwise model architecture may look weaker than a full system unless explicitly defended.</w:t>
      </w:r>
    </w:p>
    <w:p>
      <w:r>
        <w:rPr>
          <w:b/>
          <w:color w:val="375078"/>
        </w:rPr>
        <w:t xml:space="preserve">Reviewer logic: </w:t>
      </w:r>
      <w:r>
        <w:t>The reviewer may ask why the thesis does not estimate one complete chain model.</w:t>
      </w:r>
    </w:p>
    <w:p>
      <w:r>
        <w:rPr>
          <w:b/>
          <w:color w:val="375078"/>
        </w:rPr>
        <w:t xml:space="preserve">Why it matters: </w:t>
      </w:r>
      <w:r>
        <w:t>Product overlap and frequency constraints make full systems fragile; this must be presented as a design choice, not a failure.</w:t>
      </w:r>
    </w:p>
    <w:p>
      <w:r>
        <w:rPr>
          <w:b/>
          <w:color w:val="375078"/>
        </w:rPr>
        <w:t xml:space="preserve">Best correction: </w:t>
      </w:r>
      <w:r>
        <w:t>Justify pairwise links as the credible identification unit under uneven overlap.</w:t>
      </w:r>
    </w:p>
    <w:p>
      <w:r>
        <w:rPr>
          <w:b/>
          <w:color w:val="375078"/>
        </w:rPr>
        <w:t xml:space="preserve">Proposed corrected text: </w:t>
      </w:r>
      <w:r>
        <w:t>Because product coverage, frequency, and overlap differ sharply across chain stages, the core unit of identification is the admissible pairwise link. A full product-level system is used only as a robustness screen. This avoids forcing a single equilibrium structure onto products and stages where overlap is too short or institutionally non-comparable.</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C16 - Chapter 4 / Model priority</w:t>
      </w:r>
    </w:p>
    <w:p>
      <w:r>
        <w:rPr>
          <w:b/>
          <w:color w:val="375078"/>
        </w:rPr>
        <w:t xml:space="preserve">Problem: </w:t>
      </w:r>
      <w:r>
        <w:t>ARDL appears in the draft but should not be treated as a headline model.</w:t>
      </w:r>
    </w:p>
    <w:p>
      <w:r>
        <w:rPr>
          <w:b/>
          <w:color w:val="375078"/>
        </w:rPr>
        <w:t xml:space="preserve">Reviewer logic: </w:t>
      </w:r>
      <w:r>
        <w:t>The reviewer wants ECM and NARDL interpretation prioritized because they match adjustment and asymmetry.</w:t>
      </w:r>
    </w:p>
    <w:p>
      <w:r>
        <w:rPr>
          <w:b/>
          <w:color w:val="375078"/>
        </w:rPr>
        <w:t xml:space="preserve">Why it matters: </w:t>
      </w:r>
      <w:r>
        <w:t>Unrestricted ARDL coefficients can distract from the thesis's market-power mechanism.</w:t>
      </w:r>
    </w:p>
    <w:p>
      <w:r>
        <w:rPr>
          <w:b/>
          <w:color w:val="375078"/>
        </w:rPr>
        <w:t xml:space="preserve">Best correction: </w:t>
      </w:r>
      <w:r>
        <w:t>Use ARDL as a screen or supporting specification; interpret ECM and NARDL first.</w:t>
      </w:r>
    </w:p>
    <w:p>
      <w:r>
        <w:rPr>
          <w:b/>
          <w:color w:val="375078"/>
        </w:rPr>
        <w:t xml:space="preserve">Proposed corrected text: </w:t>
      </w:r>
      <w:r>
        <w:t>Unrestricted ARDL estimates are used as a preliminary dynamic screen. The interpretation is built primarily on ECM and NARDL results, because ECM identifies equilibrium correction and NARDL separates positive and negative shock adjustment. These are the model families most directly linked to market power as control over timing and form of adjustment.</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C17 - Chapter 4 / Reconstruction robustness</w:t>
      </w:r>
    </w:p>
    <w:p>
      <w:r>
        <w:rPr>
          <w:b/>
          <w:color w:val="375078"/>
        </w:rPr>
        <w:t xml:space="preserve">Problem: </w:t>
      </w:r>
      <w:r>
        <w:t>The draft mentions high-frequency reconstruction but needs clearer robustness logic across interpolation variants.</w:t>
      </w:r>
    </w:p>
    <w:p>
      <w:r>
        <w:rPr>
          <w:b/>
          <w:color w:val="375078"/>
        </w:rPr>
        <w:t xml:space="preserve">Reviewer logic: </w:t>
      </w:r>
      <w:r>
        <w:t>A reviewer may worry that daily results are artifacts of interpolation.</w:t>
      </w:r>
    </w:p>
    <w:p>
      <w:r>
        <w:rPr>
          <w:b/>
          <w:color w:val="375078"/>
        </w:rPr>
        <w:t xml:space="preserve">Why it matters: </w:t>
      </w:r>
      <w:r>
        <w:t>This is a central credibility risk for reconstructed official series.</w:t>
      </w:r>
    </w:p>
    <w:p>
      <w:r>
        <w:rPr>
          <w:b/>
          <w:color w:val="375078"/>
        </w:rPr>
        <w:t xml:space="preserve">Best correction: </w:t>
      </w:r>
      <w:r>
        <w:t>Explain that linear and shape-preserving variants test whether conclusions depend on a specific smoothing path.</w:t>
      </w:r>
    </w:p>
    <w:p>
      <w:r>
        <w:rPr>
          <w:b/>
          <w:color w:val="375078"/>
        </w:rPr>
        <w:t xml:space="preserve">Proposed corrected text: </w:t>
      </w:r>
      <w:r>
        <w:t>Reconstructed daily official series are not treated as directly observed daily prices. They are modelling devices that distribute monthly information across time. Therefore, results should be read through robustness across reconstruction variants, especially linear interpolation and shape-preserving cubic or PCHIP-style paths. Findings that survive both variants are more credible than findings driven by one reconstruction method.</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C18 - Chapter 5 / Standardization audit</w:t>
      </w:r>
    </w:p>
    <w:p>
      <w:r>
        <w:rPr>
          <w:b/>
          <w:color w:val="375078"/>
        </w:rPr>
        <w:t xml:space="preserve">Problem: </w:t>
      </w:r>
      <w:r>
        <w:t>The data chapter needs a standardization audit by product, stage, frequency, and overlap.</w:t>
      </w:r>
    </w:p>
    <w:p>
      <w:r>
        <w:rPr>
          <w:b/>
          <w:color w:val="375078"/>
        </w:rPr>
        <w:t xml:space="preserve">Reviewer logic: </w:t>
      </w:r>
      <w:r>
        <w:t>The reviewer likely wants proof that product names and stages are comparable before econometric interpretation.</w:t>
      </w:r>
    </w:p>
    <w:p>
      <w:r>
        <w:rPr>
          <w:b/>
          <w:color w:val="375078"/>
        </w:rPr>
        <w:t xml:space="preserve">Why it matters: </w:t>
      </w:r>
      <w:r>
        <w:t>Misaligned products would invalidate price-transmission claims.</w:t>
      </w:r>
    </w:p>
    <w:p>
      <w:r>
        <w:rPr>
          <w:b/>
          <w:color w:val="375078"/>
        </w:rPr>
        <w:t xml:space="preserve">Best correction: </w:t>
      </w:r>
      <w:r>
        <w:t>Add a compact audit table classifying each admissible link.</w:t>
      </w:r>
    </w:p>
    <w:p>
      <w:r>
        <w:rPr>
          <w:b/>
          <w:color w:val="375078"/>
        </w:rPr>
        <w:t xml:space="preserve">Proposed corrected text: </w:t>
      </w:r>
      <w:r>
        <w:t>Before model interpretation, each link is audited by four criteria: product comparability, chain stage, frequency, and overlap period. Links are classified as strong, acceptable, weak extension, or unusable. This classification determines whether a result can be used as headline evidence, supporting evidence, or only a descriptive diagnostic.</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C19 - Chapter 5 / Regional procurement data</w:t>
      </w:r>
    </w:p>
    <w:p>
      <w:r>
        <w:rPr>
          <w:b/>
          <w:color w:val="375078"/>
        </w:rPr>
        <w:t xml:space="preserve">Problem: </w:t>
      </w:r>
      <w:r>
        <w:t>Regional ProZorro procurement data may look inconsistent with national averages unless its role is clarified.</w:t>
      </w:r>
    </w:p>
    <w:p>
      <w:r>
        <w:rPr>
          <w:b/>
          <w:color w:val="375078"/>
        </w:rPr>
        <w:t xml:space="preserve">Reviewer logic: </w:t>
      </w:r>
      <w:r>
        <w:t>The reviewer may question why regional procurement observations can support national-chain inference.</w:t>
      </w:r>
    </w:p>
    <w:p>
      <w:r>
        <w:rPr>
          <w:b/>
          <w:color w:val="375078"/>
        </w:rPr>
        <w:t xml:space="preserve">Why it matters: </w:t>
      </w:r>
      <w:r>
        <w:t>Procurement data is important for the buffering story but not equivalent to a national producer or consumer price average.</w:t>
      </w:r>
    </w:p>
    <w:p>
      <w:r>
        <w:rPr>
          <w:b/>
          <w:color w:val="375078"/>
        </w:rPr>
        <w:t xml:space="preserve">Best correction: </w:t>
      </w:r>
      <w:r>
        <w:t>Use regional procurement as supportive evidence about dispersion, contract scale, and institutional purchasing.</w:t>
      </w:r>
    </w:p>
    <w:p>
      <w:r>
        <w:rPr>
          <w:b/>
          <w:color w:val="375078"/>
        </w:rPr>
        <w:t xml:space="preserve">Proposed corrected text: </w:t>
      </w:r>
      <w:r>
        <w:t>Regional procurement prices are not treated as a national price anchor. Their value is supportive: they show dispersion, contract discreteness, and purchasing conditions across public buyers. National official averages remain the main anchor for structural price levels, while ProZorro helps identify the institutional buffer between processors and downstream demand.</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C20 - Chapter 5 / Frequency and overlap limits</w:t>
      </w:r>
    </w:p>
    <w:p>
      <w:r>
        <w:rPr>
          <w:b/>
          <w:color w:val="375078"/>
        </w:rPr>
        <w:t xml:space="preserve">Problem: </w:t>
      </w:r>
      <w:r>
        <w:t>The draft should state more explicitly that retail overlap is short and therefore downstream results are mechanism evidence.</w:t>
      </w:r>
    </w:p>
    <w:p>
      <w:r>
        <w:rPr>
          <w:b/>
          <w:color w:val="375078"/>
        </w:rPr>
        <w:t xml:space="preserve">Reviewer logic: </w:t>
      </w:r>
      <w:r>
        <w:t>The reviewer will likely penalize overclaiming from late 2025 retail windows.</w:t>
      </w:r>
    </w:p>
    <w:p>
      <w:r>
        <w:rPr>
          <w:b/>
          <w:color w:val="375078"/>
        </w:rPr>
        <w:t xml:space="preserve">Why it matters: </w:t>
      </w:r>
      <w:r>
        <w:t>Weekly retail links in the admissibility table have only about 8-11 weeks and are unusable for structural claims.</w:t>
      </w:r>
    </w:p>
    <w:p>
      <w:r>
        <w:rPr>
          <w:b/>
          <w:color w:val="375078"/>
        </w:rPr>
        <w:t xml:space="preserve">Best correction: </w:t>
      </w:r>
      <w:r>
        <w:t>Make retail limitations visible before results.</w:t>
      </w:r>
    </w:p>
    <w:p>
      <w:r>
        <w:rPr>
          <w:b/>
          <w:color w:val="375078"/>
        </w:rPr>
        <w:t xml:space="preserve">Proposed corrected text: </w:t>
      </w:r>
      <w:r>
        <w:t>Retail links have much shorter overlap than the official upstream and producer series. For this reason, retail models are interpreted as high-frequency mechanism evidence rather than as full structural equilibrium estimates. This limitation is not hidden; it determines the status assigned to each model result.</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C21 - Chapter 6 / Results organization</w:t>
      </w:r>
    </w:p>
    <w:p>
      <w:r>
        <w:rPr>
          <w:b/>
          <w:color w:val="375078"/>
        </w:rPr>
        <w:t xml:space="preserve">Problem: </w:t>
      </w:r>
      <w:r>
        <w:t>The results currently answer four hypotheses and should be reorganized around two market-power hypotheses.</w:t>
      </w:r>
    </w:p>
    <w:p>
      <w:r>
        <w:rPr>
          <w:b/>
          <w:color w:val="375078"/>
        </w:rPr>
        <w:t xml:space="preserve">Reviewer logic: </w:t>
      </w:r>
      <w:r>
        <w:t>The reviewer will expect a direct answer to H1 retailer power and H2 processor power.</w:t>
      </w:r>
    </w:p>
    <w:p>
      <w:r>
        <w:rPr>
          <w:b/>
          <w:color w:val="375078"/>
        </w:rPr>
        <w:t xml:space="preserve">Why it matters: </w:t>
      </w:r>
      <w:r>
        <w:t>The current conclusion risks contradicting the user's required hypothesis constraint.</w:t>
      </w:r>
    </w:p>
    <w:p>
      <w:r>
        <w:rPr>
          <w:b/>
          <w:color w:val="375078"/>
        </w:rPr>
        <w:t xml:space="preserve">Best correction: </w:t>
      </w:r>
      <w:r>
        <w:t>Use mechanisms as subtests under H1 and H2.</w:t>
      </w:r>
    </w:p>
    <w:p>
      <w:r>
        <w:rPr>
          <w:b/>
          <w:color w:val="375078"/>
        </w:rPr>
        <w:t xml:space="preserve">Proposed corrected text: </w:t>
      </w:r>
      <w:r>
        <w:t>Results should be organized as follows: first, evidence on processor power with respect to farmers, using farm-gate to producer and producer-hinge results; second, evidence on retailer power with respect to processors, using producer-to-retail, discount, and retail asymmetry evidence; third, supporting procurement evidence explaining the institutional buffer between these two bargaining relationships.</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C22 - Chapter 6 / Large negative cheese and cream coefficients</w:t>
      </w:r>
    </w:p>
    <w:p>
      <w:r>
        <w:rPr>
          <w:b/>
          <w:color w:val="375078"/>
        </w:rPr>
        <w:t xml:space="preserve">Problem: </w:t>
      </w:r>
      <w:r>
        <w:t>Large negative retail-facing coefficients for cheese and cream can be read as mistakes if not explained.</w:t>
      </w:r>
    </w:p>
    <w:p>
      <w:r>
        <w:rPr>
          <w:b/>
          <w:color w:val="375078"/>
        </w:rPr>
        <w:t xml:space="preserve">Reviewer logic: </w:t>
      </w:r>
      <w:r>
        <w:t>The reviewer is likely asking whether these are errors, category-specific nonlinearities, or overfitted artifacts.</w:t>
      </w:r>
    </w:p>
    <w:p>
      <w:r>
        <w:rPr>
          <w:b/>
          <w:color w:val="375078"/>
        </w:rPr>
        <w:t xml:space="preserve">Why it matters: </w:t>
      </w:r>
      <w:r>
        <w:t>Unexplained negative magnitudes weaken the credibility of the results section.</w:t>
      </w:r>
    </w:p>
    <w:p>
      <w:r>
        <w:rPr>
          <w:b/>
          <w:color w:val="375078"/>
        </w:rPr>
        <w:t xml:space="preserve">Best correction: </w:t>
      </w:r>
      <w:r>
        <w:t>Interpret them as category-specific retail nonlinearity under short overlap, with caution.</w:t>
      </w:r>
    </w:p>
    <w:p>
      <w:r>
        <w:rPr>
          <w:b/>
          <w:color w:val="375078"/>
        </w:rPr>
        <w:t xml:space="preserve">Proposed corrected text: </w:t>
      </w:r>
      <w:r>
        <w:t>The large negative coefficients for cheese and cream should not be read as literal proportional pass-through. They are better interpreted as category-specific retail nonlinearity in a short retail window: prices may respond through assortment, promotions, markdown timing, and product-mix changes rather than through a stable one-for-one shelf-price adjustment. These estimates are therefore mechanism signals, not headline structural elasticities.</w:t>
      </w:r>
    </w:p>
    <w:p>
      <w:r>
        <w:rPr>
          <w:b/>
          <w:color w:val="375078"/>
        </w:rPr>
        <w:t xml:space="preserve">Reliability level: </w:t>
      </w:r>
      <w:r>
        <w:t>probable</w:t>
      </w:r>
    </w:p>
    <w:p>
      <w:r>
        <w:rPr>
          <w:b/>
          <w:color w:val="375078"/>
        </w:rPr>
        <w:t xml:space="preserve">Implementation priority: </w:t>
      </w:r>
      <w:r>
        <w:t>High</w:t>
      </w:r>
    </w:p>
    <w:p>
      <w:r>
        <w:rPr>
          <w:b/>
          <w:color w:val="375078"/>
        </w:rPr>
        <w:t xml:space="preserve">Implement in final thesis: </w:t>
      </w:r>
      <w:r>
        <w:t>Yes.</w:t>
      </w:r>
    </w:p>
    <w:p>
      <w:pPr>
        <w:pStyle w:val="Heading2"/>
      </w:pPr>
      <w:r>
        <w:t>C23 - Chapter 6 / Silpo discount channel</w:t>
      </w:r>
    </w:p>
    <w:p>
      <w:r>
        <w:rPr>
          <w:b/>
          <w:color w:val="375078"/>
        </w:rPr>
        <w:t xml:space="preserve">Problem: </w:t>
      </w:r>
      <w:r>
        <w:t>The Silpo discount result for yogurt/dessert is strong but needs to be elevated and interpreted correctly.</w:t>
      </w:r>
    </w:p>
    <w:p>
      <w:r>
        <w:rPr>
          <w:b/>
          <w:color w:val="375078"/>
        </w:rPr>
        <w:t xml:space="preserve">Reviewer logic: </w:t>
      </w:r>
      <w:r>
        <w:t>The reviewer wants the thesis to identify the concrete adjustment tool used by retailers.</w:t>
      </w:r>
    </w:p>
    <w:p>
      <w:r>
        <w:rPr>
          <w:b/>
          <w:color w:val="375078"/>
        </w:rPr>
        <w:t xml:space="preserve">Why it matters: </w:t>
      </w:r>
      <w:r>
        <w:t>The coefficient around 0.601 is one of the clearest pieces of retail-mechanism evidence.</w:t>
      </w:r>
    </w:p>
    <w:p>
      <w:r>
        <w:rPr>
          <w:b/>
          <w:color w:val="375078"/>
        </w:rPr>
        <w:t xml:space="preserve">Best correction: </w:t>
      </w:r>
      <w:r>
        <w:t>Present it as the primary retail adjustment channel for yogurt/dessert, not as general retail pass-through.</w:t>
      </w:r>
    </w:p>
    <w:p>
      <w:r>
        <w:rPr>
          <w:b/>
          <w:color w:val="375078"/>
        </w:rPr>
        <w:t xml:space="preserve">Proposed corrected text: </w:t>
      </w:r>
      <w:r>
        <w:t>The strongest direct retail mechanism is the Silpo discount channel for yogurt and dessert products. The lagged discount coefficient is about 0.601 and statistically significant, which indicates that adjustment in this category is expressed through promotion policy rather than through a simple baseline shelf-price movement. This supports the retailer-power hypothesis only in a product-specific and mechanism-specific sense.</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C24 - Chapter 6 / ProZorro procurement scale</w:t>
      </w:r>
    </w:p>
    <w:p>
      <w:r>
        <w:rPr>
          <w:b/>
          <w:color w:val="375078"/>
        </w:rPr>
        <w:t xml:space="preserve">Problem: </w:t>
      </w:r>
      <w:r>
        <w:t>The sour-cream procurement-scale result is important but must be connected to buffering, not overinterpreted as retail power.</w:t>
      </w:r>
    </w:p>
    <w:p>
      <w:r>
        <w:rPr>
          <w:b/>
          <w:color w:val="375078"/>
        </w:rPr>
        <w:t xml:space="preserve">Reviewer logic: </w:t>
      </w:r>
      <w:r>
        <w:t>The reviewer likely wants procurement evidence tied to contracts and institutional adjustment.</w:t>
      </w:r>
    </w:p>
    <w:p>
      <w:r>
        <w:rPr>
          <w:b/>
          <w:color w:val="375078"/>
        </w:rPr>
        <w:t xml:space="preserve">Why it matters: </w:t>
      </w:r>
      <w:r>
        <w:t>The current contract sum coefficient around -0.771 is one of the clearest buffer signals.</w:t>
      </w:r>
    </w:p>
    <w:p>
      <w:r>
        <w:rPr>
          <w:b/>
          <w:color w:val="375078"/>
        </w:rPr>
        <w:t xml:space="preserve">Best correction: </w:t>
      </w:r>
      <w:r>
        <w:t>Frame it as structural procurement buffering for sour cream.</w:t>
      </w:r>
    </w:p>
    <w:p>
      <w:r>
        <w:rPr>
          <w:b/>
          <w:color w:val="375078"/>
        </w:rPr>
        <w:t xml:space="preserve">Proposed corrected text: </w:t>
      </w:r>
      <w:r>
        <w:t>For sour cream, the ProZorro current contract-sum coefficient of about -0.771 should be interpreted as evidence that procurement scale can buffer short-run price adjustment. Larger or differently timed contracts are associated with lower immediate procurement-price movement, suggesting that institutional purchasing conditions absorb part of the shock before it becomes visible downstream.</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C25 - Chapter 6 / VECM evidence</w:t>
      </w:r>
    </w:p>
    <w:p>
      <w:r>
        <w:rPr>
          <w:b/>
          <w:color w:val="375078"/>
        </w:rPr>
        <w:t xml:space="preserve">Problem: </w:t>
      </w:r>
      <w:r>
        <w:t>The VECM section risks sounding like a failed system model rather than a useful boundary test.</w:t>
      </w:r>
    </w:p>
    <w:p>
      <w:r>
        <w:rPr>
          <w:b/>
          <w:color w:val="375078"/>
        </w:rPr>
        <w:t xml:space="preserve">Reviewer logic: </w:t>
      </w:r>
      <w:r>
        <w:t>A reviewer may ask why only 3 of 27 systems were feasible.</w:t>
      </w:r>
    </w:p>
    <w:p>
      <w:r>
        <w:rPr>
          <w:b/>
          <w:color w:val="375078"/>
        </w:rPr>
        <w:t xml:space="preserve">Why it matters: </w:t>
      </w:r>
      <w:r>
        <w:t>If the limitation is not framed well, it appears as methodological weakness.</w:t>
      </w:r>
    </w:p>
    <w:p>
      <w:r>
        <w:rPr>
          <w:b/>
          <w:color w:val="375078"/>
        </w:rPr>
        <w:t xml:space="preserve">Best correction: </w:t>
      </w:r>
      <w:r>
        <w:t>Use VECM as evidence against a simple whole-chain equilibrium narrative.</w:t>
      </w:r>
    </w:p>
    <w:p>
      <w:r>
        <w:rPr>
          <w:b/>
          <w:color w:val="375078"/>
        </w:rPr>
        <w:t xml:space="preserve">Proposed corrected text: </w:t>
      </w:r>
      <w:r>
        <w:t>The product-level VECM screen is valuable mainly because it sets a boundary. Only 3 of 27 attempted systems are feasible, so the thesis should not claim one dense product-level equilibrium across the whole chain. This supports the thesis's staged-filtering interpretation: the dairy chain is connected, but not through a single uniform system for every product.</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C26 - Chapter 6 / Local projections and extra blocks</w:t>
      </w:r>
    </w:p>
    <w:p>
      <w:r>
        <w:rPr>
          <w:b/>
          <w:color w:val="375078"/>
        </w:rPr>
        <w:t xml:space="preserve">Problem: </w:t>
      </w:r>
      <w:r>
        <w:t>Local projections, spread models, and aggregate-index models can distract from the core evidence.</w:t>
      </w:r>
    </w:p>
    <w:p>
      <w:r>
        <w:rPr>
          <w:b/>
          <w:color w:val="375078"/>
        </w:rPr>
        <w:t xml:space="preserve">Reviewer logic: </w:t>
      </w:r>
      <w:r>
        <w:t>The reviewer wants a clean main line, not a catalogue of models.</w:t>
      </w:r>
    </w:p>
    <w:p>
      <w:r>
        <w:rPr>
          <w:b/>
          <w:color w:val="375078"/>
        </w:rPr>
        <w:t xml:space="preserve">Why it matters: </w:t>
      </w:r>
      <w:r>
        <w:t>Too many parallel model families reduce interpretability.</w:t>
      </w:r>
    </w:p>
    <w:p>
      <w:r>
        <w:rPr>
          <w:b/>
          <w:color w:val="375078"/>
        </w:rPr>
        <w:t xml:space="preserve">Best correction: </w:t>
      </w:r>
      <w:r>
        <w:t>Keep them as robustness and mechanism checks after ECM/NARDL.</w:t>
      </w:r>
    </w:p>
    <w:p>
      <w:r>
        <w:rPr>
          <w:b/>
          <w:color w:val="375078"/>
        </w:rPr>
        <w:t xml:space="preserve">Proposed corrected text: </w:t>
      </w:r>
      <w:r>
        <w:t>Local projections, spread diagnostics, and aggregate-index models should be presented after the ECM/NARDL results as supporting evidence. Their role is to confirm direction, timing, or aggregation robustness, not to replace the main price-transmission interpretation.</w:t>
      </w:r>
    </w:p>
    <w:p>
      <w:r>
        <w:rPr>
          <w:b/>
          <w:color w:val="375078"/>
        </w:rPr>
        <w:t xml:space="preserve">Reliability level: </w:t>
      </w:r>
      <w:r>
        <w:t>reliable</w:t>
      </w:r>
    </w:p>
    <w:p>
      <w:r>
        <w:rPr>
          <w:b/>
          <w:color w:val="375078"/>
        </w:rPr>
        <w:t xml:space="preserve">Implementation priority: </w:t>
      </w:r>
      <w:r>
        <w:t>Medium</w:t>
      </w:r>
    </w:p>
    <w:p>
      <w:r>
        <w:rPr>
          <w:b/>
          <w:color w:val="375078"/>
        </w:rPr>
        <w:t xml:space="preserve">Implement in final thesis: </w:t>
      </w:r>
      <w:r>
        <w:t>Yes.</w:t>
      </w:r>
    </w:p>
    <w:p>
      <w:pPr>
        <w:pStyle w:val="Heading2"/>
      </w:pPr>
      <w:r>
        <w:t>C27 - Chapter 6 / Downstream or backward transmission</w:t>
      </w:r>
    </w:p>
    <w:p>
      <w:r>
        <w:rPr>
          <w:b/>
          <w:color w:val="375078"/>
        </w:rPr>
        <w:t xml:space="preserve">Problem: </w:t>
      </w:r>
      <w:r>
        <w:t>Backward transmission evidence needs careful language to avoid implying reverse causality beyond the data.</w:t>
      </w:r>
    </w:p>
    <w:p>
      <w:r>
        <w:rPr>
          <w:b/>
          <w:color w:val="375078"/>
        </w:rPr>
        <w:t xml:space="preserve">Reviewer logic: </w:t>
      </w:r>
      <w:r>
        <w:t>The reviewer may challenge any claim that retailers cause upstream prices.</w:t>
      </w:r>
    </w:p>
    <w:p>
      <w:r>
        <w:rPr>
          <w:b/>
          <w:color w:val="375078"/>
        </w:rPr>
        <w:t xml:space="preserve">Why it matters: </w:t>
      </w:r>
      <w:r>
        <w:t>Market power claims are sensitive to causal wording.</w:t>
      </w:r>
    </w:p>
    <w:p>
      <w:r>
        <w:rPr>
          <w:b/>
          <w:color w:val="375078"/>
        </w:rPr>
        <w:t xml:space="preserve">Best correction: </w:t>
      </w:r>
      <w:r>
        <w:t>Use terms such as feedback, bargaining signal, and institutional response rather than direct causation.</w:t>
      </w:r>
    </w:p>
    <w:p>
      <w:r>
        <w:rPr>
          <w:b/>
          <w:color w:val="375078"/>
        </w:rPr>
        <w:t xml:space="preserve">Proposed corrected text: </w:t>
      </w:r>
      <w:r>
        <w:t>Backward links should be interpreted as feedback or bargaining signals, not as proof that retail prices mechanically cause upstream prices. In a contracted chain, downstream retail conditions can affect renegotiation, procurement timing, and processor expectations, but the empirical evidence should be described as indicative rather than causal.</w:t>
      </w:r>
    </w:p>
    <w:p>
      <w:r>
        <w:rPr>
          <w:b/>
          <w:color w:val="375078"/>
        </w:rPr>
        <w:t xml:space="preserve">Reliability level: </w:t>
      </w:r>
      <w:r>
        <w:t>probable</w:t>
      </w:r>
    </w:p>
    <w:p>
      <w:r>
        <w:rPr>
          <w:b/>
          <w:color w:val="375078"/>
        </w:rPr>
        <w:t xml:space="preserve">Implementation priority: </w:t>
      </w:r>
      <w:r>
        <w:t>High</w:t>
      </w:r>
    </w:p>
    <w:p>
      <w:r>
        <w:rPr>
          <w:b/>
          <w:color w:val="375078"/>
        </w:rPr>
        <w:t xml:space="preserve">Implement in final thesis: </w:t>
      </w:r>
      <w:r>
        <w:t>Yes.</w:t>
      </w:r>
    </w:p>
    <w:p>
      <w:pPr>
        <w:pStyle w:val="Heading2"/>
      </w:pPr>
      <w:r>
        <w:t>C28 - Chapter 6 / Headline results table</w:t>
      </w:r>
    </w:p>
    <w:p>
      <w:r>
        <w:rPr>
          <w:b/>
          <w:color w:val="375078"/>
        </w:rPr>
        <w:t xml:space="preserve">Problem: </w:t>
      </w:r>
      <w:r>
        <w:t>The first results table mixes ARDL, ECM, NARDL, discount, and procurement-scale evidence without enough interpretation hierarchy.</w:t>
      </w:r>
    </w:p>
    <w:p>
      <w:r>
        <w:rPr>
          <w:b/>
          <w:color w:val="375078"/>
        </w:rPr>
        <w:t xml:space="preserve">Reviewer logic: </w:t>
      </w:r>
      <w:r>
        <w:t>The reviewer wants a reader to know which estimates are headline, supportive, or boundary-setting.</w:t>
      </w:r>
    </w:p>
    <w:p>
      <w:r>
        <w:rPr>
          <w:b/>
          <w:color w:val="375078"/>
        </w:rPr>
        <w:t xml:space="preserve">Why it matters: </w:t>
      </w:r>
      <w:r>
        <w:t>A mixed table can make strong results look arbitrary.</w:t>
      </w:r>
    </w:p>
    <w:p>
      <w:r>
        <w:rPr>
          <w:b/>
          <w:color w:val="375078"/>
        </w:rPr>
        <w:t xml:space="preserve">Best correction: </w:t>
      </w:r>
      <w:r>
        <w:t>Add status labels and a short interpretation column.</w:t>
      </w:r>
    </w:p>
    <w:p>
      <w:r>
        <w:rPr>
          <w:b/>
          <w:color w:val="375078"/>
        </w:rPr>
        <w:t xml:space="preserve">Proposed corrected text: </w:t>
      </w:r>
      <w:r>
        <w:t>Revise the headline table to include columns: evidence role, chain stage, product, model family, coefficient, adjustment term, reliability, and interpretation. Example interpretation: 'Headline structural evidence for H2', 'Retail mechanism evidence for H1', 'Supportive procurement-buffer evidence', or 'Boundary check only'.</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C29 - Tables and figures / Captions</w:t>
      </w:r>
    </w:p>
    <w:p>
      <w:r>
        <w:rPr>
          <w:b/>
          <w:color w:val="375078"/>
        </w:rPr>
        <w:t xml:space="preserve">Problem: </w:t>
      </w:r>
      <w:r>
        <w:t>Tables and figures need clearer titles, notes, and warnings about frequency, overlap, and reconstruction.</w:t>
      </w:r>
    </w:p>
    <w:p>
      <w:r>
        <w:rPr>
          <w:b/>
          <w:color w:val="375078"/>
        </w:rPr>
        <w:t xml:space="preserve">Reviewer logic: </w:t>
      </w:r>
      <w:r>
        <w:t>KSE readers should be able to understand evidence status without searching the methods chapter.</w:t>
      </w:r>
    </w:p>
    <w:p>
      <w:r>
        <w:rPr>
          <w:b/>
          <w:color w:val="375078"/>
        </w:rPr>
        <w:t xml:space="preserve">Why it matters: </w:t>
      </w:r>
      <w:r>
        <w:t>Weak captions create avoidable confusion about synthetic series and short retail windows.</w:t>
      </w:r>
    </w:p>
    <w:p>
      <w:r>
        <w:rPr>
          <w:b/>
          <w:color w:val="375078"/>
        </w:rPr>
        <w:t xml:space="preserve">Best correction: </w:t>
      </w:r>
      <w:r>
        <w:t>Every table or figure should say the frequency, period, source, and whether it is structural or supportive evidence.</w:t>
      </w:r>
    </w:p>
    <w:p>
      <w:r>
        <w:rPr>
          <w:b/>
          <w:color w:val="375078"/>
        </w:rPr>
        <w:t xml:space="preserve">Proposed corrected text: </w:t>
      </w:r>
      <w:r>
        <w:t>Use notes such as: 'Weekly model, official and ProZorro series, structural layer'; 'Daily reconstructed official series, mechanism layer'; 'Retail microdata, short overlap, interpreted as tactical evidence'; 'PCHIP/linear variants used for reconstruction robustness, not as directly observed daily official prices'.</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C30 - Chapter 7 / Conclusions</w:t>
      </w:r>
    </w:p>
    <w:p>
      <w:r>
        <w:rPr>
          <w:b/>
          <w:color w:val="375078"/>
        </w:rPr>
        <w:t xml:space="preserve">Problem: </w:t>
      </w:r>
      <w:r>
        <w:t>The conclusion currently answers four hypotheses and contains wording errors.</w:t>
      </w:r>
    </w:p>
    <w:p>
      <w:r>
        <w:rPr>
          <w:b/>
          <w:color w:val="375078"/>
        </w:rPr>
        <w:t xml:space="preserve">Reviewer logic: </w:t>
      </w:r>
      <w:r>
        <w:t>The reviewer expects a final answer to two hypotheses and a concise policy implication.</w:t>
      </w:r>
    </w:p>
    <w:p>
      <w:r>
        <w:rPr>
          <w:b/>
          <w:color w:val="375078"/>
        </w:rPr>
        <w:t xml:space="preserve">Why it matters: </w:t>
      </w:r>
      <w:r>
        <w:t>A conclusion that preserves obsolete hypotheses will conflict with the revised introduction.</w:t>
      </w:r>
    </w:p>
    <w:p>
      <w:r>
        <w:rPr>
          <w:b/>
          <w:color w:val="375078"/>
        </w:rPr>
        <w:t xml:space="preserve">Best correction: </w:t>
      </w:r>
      <w:r>
        <w:t>Rewrite conclusion around H1 and H2 only, with mechanisms nested inside each.</w:t>
      </w:r>
    </w:p>
    <w:p>
      <w:r>
        <w:rPr>
          <w:b/>
          <w:color w:val="375078"/>
        </w:rPr>
        <w:t xml:space="preserve">Proposed corrected text: </w:t>
      </w:r>
      <w:r>
        <w:t>The evidence supports a qualified interpretation of both market-power hypotheses. Retailers exercise market power vis-a-vis processors mainly through control over the timing and form of consumer-visible adjustment, especially promotions and category-specific pricing. Processors exercise market power with respect to farmers through their role as the chain hinge: they select, transform, and time the conversion of raw-milk cost pressure into processed-product prices. Procurement evidence strengthens this interpretation by showing that contracts and scale can buffer shocks between processing and downstream demand.</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C31 - Chapter 7 / Policy implications</w:t>
      </w:r>
    </w:p>
    <w:p>
      <w:r>
        <w:rPr>
          <w:b/>
          <w:color w:val="375078"/>
        </w:rPr>
        <w:t xml:space="preserve">Problem: </w:t>
      </w:r>
      <w:r>
        <w:t>Policy implications are directionally correct but need a clearer target: procurement rules, supplier composition, and contracts.</w:t>
      </w:r>
    </w:p>
    <w:p>
      <w:r>
        <w:rPr>
          <w:b/>
          <w:color w:val="375078"/>
        </w:rPr>
        <w:t xml:space="preserve">Reviewer logic: </w:t>
      </w:r>
      <w:r>
        <w:t>The reviewer wants policy conclusions derived from mechanisms, not generic anti-inflation claims.</w:t>
      </w:r>
    </w:p>
    <w:p>
      <w:r>
        <w:rPr>
          <w:b/>
          <w:color w:val="375078"/>
        </w:rPr>
        <w:t xml:space="preserve">Why it matters: </w:t>
      </w:r>
      <w:r>
        <w:t>If shelf-price caps are discussed alone, the thesis ignores its own evidence that adjustment happens earlier or through promotions.</w:t>
      </w:r>
    </w:p>
    <w:p>
      <w:r>
        <w:rPr>
          <w:b/>
          <w:color w:val="375078"/>
        </w:rPr>
        <w:t xml:space="preserve">Best correction: </w:t>
      </w:r>
      <w:r>
        <w:t>Argue that food-inflation interventions should inspect the chain, not only the shelf price.</w:t>
      </w:r>
    </w:p>
    <w:p>
      <w:r>
        <w:rPr>
          <w:b/>
          <w:color w:val="375078"/>
        </w:rPr>
        <w:t xml:space="preserve">Proposed corrected text: </w:t>
      </w:r>
      <w:r>
        <w:t>The policy implication is that food-inflation interventions should not focus only on shelf-price caps. In dairy, the strongest adjustment mechanisms appear in procurement rules, supplier composition, processor decisions, contract scale, and retail promotion policy. Competition and food-security policy should therefore monitor how contracts allocate risk and how retailers make shocks visible to consumers.</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C32 - Whole thesis / Language and grammar</w:t>
      </w:r>
    </w:p>
    <w:p>
      <w:r>
        <w:rPr>
          <w:b/>
          <w:color w:val="375078"/>
        </w:rPr>
        <w:t xml:space="preserve">Problem: </w:t>
      </w:r>
      <w:r>
        <w:t>The draft contains recurring grammar and wording errors: subject-verb agreement, articles, awkward clauses, and repeated connectors.</w:t>
      </w:r>
    </w:p>
    <w:p>
      <w:r>
        <w:rPr>
          <w:b/>
          <w:color w:val="375078"/>
        </w:rPr>
        <w:t xml:space="preserve">Reviewer logic: </w:t>
      </w:r>
      <w:r>
        <w:t>The reviewer may treat language weakness as evidence of unclear thinking even where the analysis is strong.</w:t>
      </w:r>
    </w:p>
    <w:p>
      <w:r>
        <w:rPr>
          <w:b/>
          <w:color w:val="375078"/>
        </w:rPr>
        <w:t xml:space="preserve">Why it matters: </w:t>
      </w:r>
      <w:r>
        <w:t>KSE thesis evaluation includes presentation, academic style, and clarity.</w:t>
      </w:r>
    </w:p>
    <w:p>
      <w:r>
        <w:rPr>
          <w:b/>
          <w:color w:val="375078"/>
        </w:rPr>
        <w:t xml:space="preserve">Best correction: </w:t>
      </w:r>
      <w:r>
        <w:t>Perform a chapter-by-chapter language pass after structural revision, not before.</w:t>
      </w:r>
    </w:p>
    <w:p>
      <w:r>
        <w:rPr>
          <w:b/>
          <w:color w:val="375078"/>
        </w:rPr>
        <w:t xml:space="preserve">Proposed corrected text: </w:t>
      </w:r>
      <w:r>
        <w:t>Priority language fixes: replace 'this giving ability' with 'this allows the thesis to identify'; replace 'with . the strongest affects' with 'with the strongest effects'; replace 'significant p' with 'statistically significant p-value'; replace 'the key stages' with 'the key stage'; avoid starting analytical paragraphs with 'So'.</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C33 - Whole thesis / Citation discipline</w:t>
      </w:r>
    </w:p>
    <w:p>
      <w:r>
        <w:rPr>
          <w:b/>
          <w:color w:val="375078"/>
        </w:rPr>
        <w:t xml:space="preserve">Problem: </w:t>
      </w:r>
      <w:r>
        <w:t>Several factual claims are citation-supported, but the draft sometimes stacks citations after broad claims without explaining their relevance.</w:t>
      </w:r>
    </w:p>
    <w:p>
      <w:r>
        <w:rPr>
          <w:b/>
          <w:color w:val="375078"/>
        </w:rPr>
        <w:t xml:space="preserve">Reviewer logic: </w:t>
      </w:r>
      <w:r>
        <w:t>The reviewer wants citations to support specific mechanisms and facts.</w:t>
      </w:r>
    </w:p>
    <w:p>
      <w:r>
        <w:rPr>
          <w:b/>
          <w:color w:val="375078"/>
        </w:rPr>
        <w:t xml:space="preserve">Why it matters: </w:t>
      </w:r>
      <w:r>
        <w:t>Citation stacking weakens the literature-to-evidence bridge.</w:t>
      </w:r>
    </w:p>
    <w:p>
      <w:r>
        <w:rPr>
          <w:b/>
          <w:color w:val="375078"/>
        </w:rPr>
        <w:t xml:space="preserve">Best correction: </w:t>
      </w:r>
      <w:r>
        <w:t>Tie each key citation to a specific use: sector importance, unfair trading practices, asymmetric transmission, transition instability, or data source.</w:t>
      </w:r>
    </w:p>
    <w:p>
      <w:r>
        <w:rPr>
          <w:b/>
          <w:color w:val="375078"/>
        </w:rPr>
        <w:t xml:space="preserve">Proposed corrected text: </w:t>
      </w:r>
      <w:r>
        <w:t>Do not place citations as a generic cluster at the end of broad paragraphs. Use them to support specific claims, for example: 'Directive (EU) 2019/633 is relevant because it treats buyer power as a problem of trading practices and contract terms, not only prices.'</w:t>
      </w:r>
    </w:p>
    <w:p>
      <w:r>
        <w:rPr>
          <w:b/>
          <w:color w:val="375078"/>
        </w:rPr>
        <w:t xml:space="preserve">Reliability level: </w:t>
      </w:r>
      <w:r>
        <w:t>probable</w:t>
      </w:r>
    </w:p>
    <w:p>
      <w:r>
        <w:rPr>
          <w:b/>
          <w:color w:val="375078"/>
        </w:rPr>
        <w:t xml:space="preserve">Implementation priority: </w:t>
      </w:r>
      <w:r>
        <w:t>Medium</w:t>
      </w:r>
    </w:p>
    <w:p>
      <w:r>
        <w:rPr>
          <w:b/>
          <w:color w:val="375078"/>
        </w:rPr>
        <w:t xml:space="preserve">Implement in final thesis: </w:t>
      </w:r>
      <w:r>
        <w:t>Yes.</w:t>
      </w:r>
    </w:p>
    <w:p>
      <w:pPr>
        <w:pStyle w:val="Heading2"/>
      </w:pPr>
      <w:r>
        <w:t>C34 - Whole thesis / KSE Economic Analysis logic</w:t>
      </w:r>
    </w:p>
    <w:p>
      <w:r>
        <w:rPr>
          <w:b/>
          <w:color w:val="375078"/>
        </w:rPr>
        <w:t xml:space="preserve">Problem: </w:t>
      </w:r>
      <w:r>
        <w:t>The draft needs to make the chain from research question to hypothesis, data, model, result, and policy answer more explicit.</w:t>
      </w:r>
    </w:p>
    <w:p>
      <w:r>
        <w:rPr>
          <w:b/>
          <w:color w:val="375078"/>
        </w:rPr>
        <w:t xml:space="preserve">Reviewer logic: </w:t>
      </w:r>
      <w:r>
        <w:t>A KSE reviewer will reward a disciplined applied-economics argument.</w:t>
      </w:r>
    </w:p>
    <w:p>
      <w:r>
        <w:rPr>
          <w:b/>
          <w:color w:val="375078"/>
        </w:rPr>
        <w:t xml:space="preserve">Why it matters: </w:t>
      </w:r>
      <w:r>
        <w:t>The thesis has many empirical parts; without a visible logic chain, the contribution feels scattered.</w:t>
      </w:r>
    </w:p>
    <w:p>
      <w:r>
        <w:rPr>
          <w:b/>
          <w:color w:val="375078"/>
        </w:rPr>
        <w:t xml:space="preserve">Best correction: </w:t>
      </w:r>
      <w:r>
        <w:t>Use repeated signposting: question, hypothesis, evidence layer, interpretation, limitation.</w:t>
      </w:r>
    </w:p>
    <w:p>
      <w:r>
        <w:rPr>
          <w:b/>
          <w:color w:val="375078"/>
        </w:rPr>
        <w:t xml:space="preserve">Proposed corrected text: </w:t>
      </w:r>
      <w:r>
        <w:t>At the start of each empirical subsection, state which hypothesis it informs and what evidence status it has. At the end of each subsection, state one sentence of interpretation and one sentence of limitation. This will turn the results chapter from a model catalogue into an argument.</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C35 - Model scope / No unnecessary new models</w:t>
      </w:r>
    </w:p>
    <w:p>
      <w:r>
        <w:rPr>
          <w:b/>
          <w:color w:val="375078"/>
        </w:rPr>
        <w:t xml:space="preserve">Problem: </w:t>
      </w:r>
      <w:r>
        <w:t>The prompt explicitly warns against adding new models unless absolutely necessary.</w:t>
      </w:r>
    </w:p>
    <w:p>
      <w:r>
        <w:rPr>
          <w:b/>
          <w:color w:val="375078"/>
        </w:rPr>
        <w:t xml:space="preserve">Reviewer logic: </w:t>
      </w:r>
      <w:r>
        <w:t>The reviewer likely wants interpretation and coherence, not additional econometric complexity.</w:t>
      </w:r>
    </w:p>
    <w:p>
      <w:r>
        <w:rPr>
          <w:b/>
          <w:color w:val="375078"/>
        </w:rPr>
        <w:t xml:space="preserve">Why it matters: </w:t>
      </w:r>
      <w:r>
        <w:t>New models could create more robustness burden and distract from the revision.</w:t>
      </w:r>
    </w:p>
    <w:p>
      <w:r>
        <w:rPr>
          <w:b/>
          <w:color w:val="375078"/>
        </w:rPr>
        <w:t xml:space="preserve">Best correction: </w:t>
      </w:r>
      <w:r>
        <w:t>Do not add new model families. Improve hierarchy, diagnostics, captions, and interpretation.</w:t>
      </w:r>
    </w:p>
    <w:p>
      <w:r>
        <w:rPr>
          <w:b/>
          <w:color w:val="375078"/>
        </w:rPr>
        <w:t xml:space="preserve">Proposed corrected text: </w:t>
      </w:r>
      <w:r>
        <w:t>No new model is required for Draft 3. The priority is to reinterpret the existing ECM, NARDL, discount, procurement-scale, aggregate-index, and VECM-screen evidence under a two-hypothesis market-power framework.</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2"/>
      </w:pPr>
      <w:r>
        <w:t>C36 - Model interpretation / Uncertainty</w:t>
      </w:r>
    </w:p>
    <w:p>
      <w:r>
        <w:rPr>
          <w:b/>
          <w:color w:val="375078"/>
        </w:rPr>
        <w:t xml:space="preserve">Problem: </w:t>
      </w:r>
      <w:r>
        <w:t>Some estimates are strong statistically but fragile economically because of short overlap, reconstruction, or product mapping.</w:t>
      </w:r>
    </w:p>
    <w:p>
      <w:r>
        <w:rPr>
          <w:b/>
          <w:color w:val="375078"/>
        </w:rPr>
        <w:t xml:space="preserve">Reviewer logic: </w:t>
      </w:r>
      <w:r>
        <w:t>The reviewer wants limitations acknowledged before they undermine credibility.</w:t>
      </w:r>
    </w:p>
    <w:p>
      <w:r>
        <w:rPr>
          <w:b/>
          <w:color w:val="375078"/>
        </w:rPr>
        <w:t xml:space="preserve">Why it matters: </w:t>
      </w:r>
      <w:r>
        <w:t>Transparent uncertainty improves the perceived reliability of retained claims.</w:t>
      </w:r>
    </w:p>
    <w:p>
      <w:r>
        <w:rPr>
          <w:b/>
          <w:color w:val="375078"/>
        </w:rPr>
        <w:t xml:space="preserve">Best correction: </w:t>
      </w:r>
      <w:r>
        <w:t>Use a three-level language system: structural evidence, mechanism evidence, descriptive/supportive evidence.</w:t>
      </w:r>
    </w:p>
    <w:p>
      <w:r>
        <w:rPr>
          <w:b/>
          <w:color w:val="375078"/>
        </w:rPr>
        <w:t xml:space="preserve">Proposed corrected text: </w:t>
      </w:r>
      <w:r>
        <w:t>Use 'structural evidence' only for strong or acceptable links with adequate overlap and coherent diagnostics. Use 'mechanism evidence' for daily retail, discount, and procurement-scale results. Use 'descriptive/supportive evidence' for weak-extension links, unusual magnitudes, or boundary checks.</w:t>
      </w:r>
    </w:p>
    <w:p>
      <w:r>
        <w:rPr>
          <w:b/>
          <w:color w:val="375078"/>
        </w:rPr>
        <w:t xml:space="preserve">Reliability level: </w:t>
      </w:r>
      <w:r>
        <w:t>reliable</w:t>
      </w:r>
    </w:p>
    <w:p>
      <w:r>
        <w:rPr>
          <w:b/>
          <w:color w:val="375078"/>
        </w:rPr>
        <w:t xml:space="preserve">Implementation priority: </w:t>
      </w:r>
      <w:r>
        <w:t>High</w:t>
      </w:r>
    </w:p>
    <w:p>
      <w:r>
        <w:rPr>
          <w:b/>
          <w:color w:val="375078"/>
        </w:rPr>
        <w:t xml:space="preserve">Implement in final thesis: </w:t>
      </w:r>
      <w:r>
        <w:t>Yes.</w:t>
      </w:r>
    </w:p>
    <w:p>
      <w:pPr>
        <w:pStyle w:val="Heading2"/>
      </w:pPr>
      <w:r>
        <w:t>C37 - Title and framing</w:t>
      </w:r>
    </w:p>
    <w:p>
      <w:r>
        <w:rPr>
          <w:b/>
          <w:color w:val="375078"/>
        </w:rPr>
        <w:t xml:space="preserve">Problem: </w:t>
      </w:r>
      <w:r>
        <w:t>The title 'Retail-to-farm price transmission' may overemphasize reverse movement and simple transmission.</w:t>
      </w:r>
    </w:p>
    <w:p>
      <w:r>
        <w:rPr>
          <w:b/>
          <w:color w:val="375078"/>
        </w:rPr>
        <w:t xml:space="preserve">Reviewer logic: </w:t>
      </w:r>
      <w:r>
        <w:t>The reviewer may expect the title to match market power, vertical chain filtering, and Ukrainian dairy.</w:t>
      </w:r>
    </w:p>
    <w:p>
      <w:r>
        <w:rPr>
          <w:b/>
          <w:color w:val="375078"/>
        </w:rPr>
        <w:t xml:space="preserve">Why it matters: </w:t>
      </w:r>
      <w:r>
        <w:t>A title frames examiner expectations before the introduction.</w:t>
      </w:r>
    </w:p>
    <w:p>
      <w:r>
        <w:rPr>
          <w:b/>
          <w:color w:val="375078"/>
        </w:rPr>
        <w:t xml:space="preserve">Best correction: </w:t>
      </w:r>
      <w:r>
        <w:t>Consider a title that names vertical price transmission and market power without implying one-directional retail-to-farm causality.</w:t>
      </w:r>
    </w:p>
    <w:p>
      <w:r>
        <w:rPr>
          <w:b/>
          <w:color w:val="375078"/>
        </w:rPr>
        <w:t xml:space="preserve">Proposed corrected text: </w:t>
      </w:r>
      <w:r>
        <w:t>Optional title direction: 'Vertical Price Transmission and Market Power in Ukraine's Dairy Chain'. If the final thesis keeps the existing title, the introduction must quickly clarify that the study examines multi-stage filtering in both directions, not only retail-to-farm pass-through.</w:t>
      </w:r>
    </w:p>
    <w:p>
      <w:r>
        <w:rPr>
          <w:b/>
          <w:color w:val="375078"/>
        </w:rPr>
        <w:t xml:space="preserve">Reliability level: </w:t>
      </w:r>
      <w:r>
        <w:t>probable</w:t>
      </w:r>
    </w:p>
    <w:p>
      <w:r>
        <w:rPr>
          <w:b/>
          <w:color w:val="375078"/>
        </w:rPr>
        <w:t xml:space="preserve">Implementation priority: </w:t>
      </w:r>
      <w:r>
        <w:t>Medium</w:t>
      </w:r>
    </w:p>
    <w:p>
      <w:r>
        <w:rPr>
          <w:b/>
          <w:color w:val="375078"/>
        </w:rPr>
        <w:t xml:space="preserve">Implement in final thesis: </w:t>
      </w:r>
      <w:r>
        <w:t>Optional.</w:t>
      </w:r>
    </w:p>
    <w:p>
      <w:pPr>
        <w:pStyle w:val="Heading2"/>
      </w:pPr>
      <w:r>
        <w:t>C38 - Draft 3 workflow</w:t>
      </w:r>
    </w:p>
    <w:p>
      <w:r>
        <w:rPr>
          <w:b/>
          <w:color w:val="375078"/>
        </w:rPr>
        <w:t xml:space="preserve">Problem: </w:t>
      </w:r>
      <w:r>
        <w:t>The final rewrite will fail if structural, model, and language edits are done simultaneously without order.</w:t>
      </w:r>
    </w:p>
    <w:p>
      <w:r>
        <w:rPr>
          <w:b/>
          <w:color w:val="375078"/>
        </w:rPr>
        <w:t xml:space="preserve">Reviewer logic: </w:t>
      </w:r>
      <w:r>
        <w:t>The revision needs a sequence that protects empirical meaning.</w:t>
      </w:r>
    </w:p>
    <w:p>
      <w:r>
        <w:rPr>
          <w:b/>
          <w:color w:val="375078"/>
        </w:rPr>
        <w:t xml:space="preserve">Why it matters: </w:t>
      </w:r>
      <w:r>
        <w:t>Language polishing before hypothesis correction can lock in the wrong structure.</w:t>
      </w:r>
    </w:p>
    <w:p>
      <w:r>
        <w:rPr>
          <w:b/>
          <w:color w:val="375078"/>
        </w:rPr>
        <w:t xml:space="preserve">Best correction: </w:t>
      </w:r>
      <w:r>
        <w:t>Apply revisions in this order: hypotheses, chapter logic, methodology hierarchy, data audit, results interpretation, conclusion, language.</w:t>
      </w:r>
    </w:p>
    <w:p>
      <w:r>
        <w:rPr>
          <w:b/>
          <w:color w:val="375078"/>
        </w:rPr>
        <w:t xml:space="preserve">Proposed corrected text: </w:t>
      </w:r>
      <w:r>
        <w:t>Draft 3 should be revised in a fixed order: first replace the four-hypothesis framework with two market-power hypotheses; second rewrite the introduction and conclusion around multi-stage filtering; third insert evidence hierarchy and data-audit language; fourth reorganize results; fifth polish tables and captions; sixth perform a full language pass.</w:t>
      </w:r>
    </w:p>
    <w:p>
      <w:r>
        <w:rPr>
          <w:b/>
          <w:color w:val="375078"/>
        </w:rPr>
        <w:t xml:space="preserve">Reliability level: </w:t>
      </w:r>
      <w:r>
        <w:t>reliable</w:t>
      </w:r>
    </w:p>
    <w:p>
      <w:r>
        <w:rPr>
          <w:b/>
          <w:color w:val="375078"/>
        </w:rPr>
        <w:t xml:space="preserve">Implementation priority: </w:t>
      </w:r>
      <w:r>
        <w:t>Very high</w:t>
      </w:r>
    </w:p>
    <w:p>
      <w:r>
        <w:rPr>
          <w:b/>
          <w:color w:val="375078"/>
        </w:rPr>
        <w:t xml:space="preserve">Implement in final thesis: </w:t>
      </w:r>
      <w:r>
        <w:t>Yes.</w:t>
      </w:r>
    </w:p>
    <w:p>
      <w:pPr>
        <w:pStyle w:val="Heading1"/>
      </w:pPr>
      <w:r>
        <w:t>4. Chapter-Level Revision Logic</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Chapter</w:t>
            </w:r>
          </w:p>
        </w:tc>
        <w:tc>
          <w:tcPr>
            <w:tcW w:type="dxa" w:w="3360"/>
          </w:tcPr>
          <w:p>
            <w:r>
              <w:rPr>
                <w:b/>
              </w:rPr>
              <w:t>Revision logic</w:t>
            </w:r>
          </w:p>
        </w:tc>
        <w:tc>
          <w:tcPr>
            <w:tcW w:type="dxa" w:w="3360"/>
          </w:tcPr>
          <w:p>
            <w:r>
              <w:rPr>
                <w:b/>
              </w:rPr>
              <w:t>Priority</w:t>
            </w:r>
          </w:p>
        </w:tc>
      </w:tr>
      <w:tr>
        <w:tc>
          <w:tcPr>
            <w:tcW w:type="dxa" w:w="3360"/>
          </w:tcPr>
          <w:p>
            <w:r>
              <w:t>Chapter 1: Introduction</w:t>
            </w:r>
          </w:p>
        </w:tc>
        <w:tc>
          <w:tcPr>
            <w:tcW w:type="dxa" w:w="3360"/>
          </w:tcPr>
          <w:p>
            <w:r>
              <w:t>Replace four hypotheses with two. Define market power as control over timing and form of adjustment. Reframe the question around filtering, not co-movement.</w:t>
            </w:r>
          </w:p>
        </w:tc>
        <w:tc>
          <w:tcPr>
            <w:tcW w:type="dxa" w:w="3360"/>
          </w:tcPr>
          <w:p>
            <w:r>
              <w:t>High</w:t>
            </w:r>
          </w:p>
        </w:tc>
      </w:tr>
      <w:tr>
        <w:tc>
          <w:tcPr>
            <w:tcW w:type="dxa" w:w="3360"/>
          </w:tcPr>
          <w:p>
            <w:r>
              <w:t>Chapter 2: Market Analysis</w:t>
            </w:r>
          </w:p>
        </w:tc>
        <w:tc>
          <w:tcPr>
            <w:tcW w:type="dxa" w:w="3360"/>
          </w:tcPr>
          <w:p>
            <w:r>
              <w:t>Strengthen upstream duality and processor hinge. Explain why industrial enterprises are reliable suppliers for processors.</w:t>
            </w:r>
          </w:p>
        </w:tc>
        <w:tc>
          <w:tcPr>
            <w:tcW w:type="dxa" w:w="3360"/>
          </w:tcPr>
          <w:p>
            <w:r>
              <w:t>High</w:t>
            </w:r>
          </w:p>
        </w:tc>
      </w:tr>
      <w:tr>
        <w:tc>
          <w:tcPr>
            <w:tcW w:type="dxa" w:w="3360"/>
          </w:tcPr>
          <w:p>
            <w:r>
              <w:t>Chapter 3: Literature Review</w:t>
            </w:r>
          </w:p>
        </w:tc>
        <w:tc>
          <w:tcPr>
            <w:tcW w:type="dxa" w:w="3360"/>
          </w:tcPr>
          <w:p>
            <w:r>
              <w:t>Deepen buyer power, rockets-and-feathers, transition-economy, and wartime-shock logic. Link theory to ECM/NARDL.</w:t>
            </w:r>
          </w:p>
        </w:tc>
        <w:tc>
          <w:tcPr>
            <w:tcW w:type="dxa" w:w="3360"/>
          </w:tcPr>
          <w:p>
            <w:r>
              <w:t>High</w:t>
            </w:r>
          </w:p>
        </w:tc>
      </w:tr>
      <w:tr>
        <w:tc>
          <w:tcPr>
            <w:tcW w:type="dxa" w:w="3360"/>
          </w:tcPr>
          <w:p>
            <w:r>
              <w:t>Chapter 4: Methodology</w:t>
            </w:r>
          </w:p>
        </w:tc>
        <w:tc>
          <w:tcPr>
            <w:tcW w:type="dxa" w:w="3360"/>
          </w:tcPr>
          <w:p>
            <w:r>
              <w:t>State evidence hierarchy. Defend pairwise design. Explain reconstruction variants and why ARDL is not the headline model.</w:t>
            </w:r>
          </w:p>
        </w:tc>
        <w:tc>
          <w:tcPr>
            <w:tcW w:type="dxa" w:w="3360"/>
          </w:tcPr>
          <w:p>
            <w:r>
              <w:t>Very high</w:t>
            </w:r>
          </w:p>
        </w:tc>
      </w:tr>
      <w:tr>
        <w:tc>
          <w:tcPr>
            <w:tcW w:type="dxa" w:w="3360"/>
          </w:tcPr>
          <w:p>
            <w:r>
              <w:t>Chapter 5: Data</w:t>
            </w:r>
          </w:p>
        </w:tc>
        <w:tc>
          <w:tcPr>
            <w:tcW w:type="dxa" w:w="3360"/>
          </w:tcPr>
          <w:p>
            <w:r>
              <w:t>Add standardization audit by product, stage, frequency, and overlap. Clarify national vs regional procurement roles.</w:t>
            </w:r>
          </w:p>
        </w:tc>
        <w:tc>
          <w:tcPr>
            <w:tcW w:type="dxa" w:w="3360"/>
          </w:tcPr>
          <w:p>
            <w:r>
              <w:t>Very high</w:t>
            </w:r>
          </w:p>
        </w:tc>
      </w:tr>
      <w:tr>
        <w:tc>
          <w:tcPr>
            <w:tcW w:type="dxa" w:w="3360"/>
          </w:tcPr>
          <w:p>
            <w:r>
              <w:t>Chapter 6: Results</w:t>
            </w:r>
          </w:p>
        </w:tc>
        <w:tc>
          <w:tcPr>
            <w:tcW w:type="dxa" w:w="3360"/>
          </w:tcPr>
          <w:p>
            <w:r>
              <w:t>Reorganize around H1 and H2. Prioritize ECM/NARDL. Interpret 0.601 discount and -0.771 procurement scale. Treat VECM as boundary evidence.</w:t>
            </w:r>
          </w:p>
        </w:tc>
        <w:tc>
          <w:tcPr>
            <w:tcW w:type="dxa" w:w="3360"/>
          </w:tcPr>
          <w:p>
            <w:r>
              <w:t>Very high</w:t>
            </w:r>
          </w:p>
        </w:tc>
      </w:tr>
      <w:tr>
        <w:tc>
          <w:tcPr>
            <w:tcW w:type="dxa" w:w="3360"/>
          </w:tcPr>
          <w:p>
            <w:r>
              <w:t>Chapter 7: Conclusions and Policy</w:t>
            </w:r>
          </w:p>
        </w:tc>
        <w:tc>
          <w:tcPr>
            <w:tcW w:type="dxa" w:w="3360"/>
          </w:tcPr>
          <w:p>
            <w:r>
              <w:t>Answer only two hypotheses. Redefine market power as control over timing/form. Target policy at contracts, procurement, suppliers, and promotions.</w:t>
            </w:r>
          </w:p>
        </w:tc>
        <w:tc>
          <w:tcPr>
            <w:tcW w:type="dxa" w:w="3360"/>
          </w:tcPr>
          <w:p>
            <w:r>
              <w:t>Very high</w:t>
            </w:r>
          </w:p>
        </w:tc>
      </w:tr>
    </w:tbl>
    <w:p>
      <w:pPr>
        <w:pStyle w:val="Heading1"/>
      </w:pPr>
      <w:r>
        <w:t>5. Model and Results Interpretation Audit</w:t>
      </w:r>
    </w:p>
    <w:p>
      <w:r>
        <w:rPr>
          <w:b/>
          <w:color w:val="375078"/>
        </w:rPr>
        <w:t xml:space="preserve">FACT: </w:t>
      </w:r>
      <w:r>
        <w:t>Extracted Table 1 reports weekly ECM drinking milk/fermented milk farm-gate to producer coefficient about 0.973 with ECT about -0.040, and daily NARDL cheese producer to retail coefficient about -31.331 with ECT about -0.442.</w:t>
      </w:r>
    </w:p>
    <w:p>
      <w:r>
        <w:rPr>
          <w:b/>
          <w:color w:val="375078"/>
        </w:rPr>
        <w:t xml:space="preserve">FACT: </w:t>
      </w:r>
      <w:r>
        <w:t>Local outputs show Silpo yogurt/dessert lagged discount coefficient about 0.601 with very small p-value.</w:t>
      </w:r>
    </w:p>
    <w:p>
      <w:r>
        <w:rPr>
          <w:b/>
          <w:color w:val="375078"/>
        </w:rPr>
        <w:t xml:space="preserve">FACT: </w:t>
      </w:r>
      <w:r>
        <w:t>Local outputs show sour-cream ProZorro current contract-sum coefficient about -0.771 with very small p-value.</w:t>
      </w:r>
    </w:p>
    <w:p>
      <w:r>
        <w:rPr>
          <w:b/>
          <w:color w:val="375078"/>
        </w:rPr>
        <w:t xml:space="preserve">INTERPRETATION: </w:t>
      </w:r>
      <w:r>
        <w:t>The thesis should not read all coefficients literally. It should separate structural pass-through, mechanism evidence, and boundary tests.</w:t>
      </w:r>
    </w:p>
    <w:p>
      <w:r>
        <w:rPr>
          <w:b/>
          <w:color w:val="375078"/>
        </w:rPr>
        <w:t xml:space="preserve">GAP: </w:t>
      </w:r>
      <w:r>
        <w:t>No new empirical results should be invented. Any coefficient in Draft 3 must be traceable to the existing tables or output files.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Model block</w:t>
            </w:r>
          </w:p>
        </w:tc>
        <w:tc>
          <w:tcPr>
            <w:tcW w:type="dxa" w:w="3360"/>
          </w:tcPr>
          <w:p>
            <w:r>
              <w:rPr>
                <w:b/>
              </w:rPr>
              <w:t>Use in Draft 3</w:t>
            </w:r>
          </w:p>
        </w:tc>
        <w:tc>
          <w:tcPr>
            <w:tcW w:type="dxa" w:w="3360"/>
          </w:tcPr>
          <w:p>
            <w:r>
              <w:rPr>
                <w:b/>
              </w:rPr>
              <w:t>Interpretation rule</w:t>
            </w:r>
          </w:p>
        </w:tc>
      </w:tr>
      <w:tr>
        <w:tc>
          <w:tcPr>
            <w:tcW w:type="dxa" w:w="3360"/>
          </w:tcPr>
          <w:p>
            <w:r>
              <w:t>ECM</w:t>
            </w:r>
          </w:p>
        </w:tc>
        <w:tc>
          <w:tcPr>
            <w:tcW w:type="dxa" w:w="3360"/>
          </w:tcPr>
          <w:p>
            <w:r>
              <w:t>Primary</w:t>
            </w:r>
          </w:p>
        </w:tc>
        <w:tc>
          <w:tcPr>
            <w:tcW w:type="dxa" w:w="3360"/>
          </w:tcPr>
          <w:p>
            <w:r>
              <w:t>Use to discuss long-run relation and correction toward equilibrium.</w:t>
            </w:r>
          </w:p>
        </w:tc>
      </w:tr>
      <w:tr>
        <w:tc>
          <w:tcPr>
            <w:tcW w:type="dxa" w:w="3360"/>
          </w:tcPr>
          <w:p>
            <w:r>
              <w:t>NARDL</w:t>
            </w:r>
          </w:p>
        </w:tc>
        <w:tc>
          <w:tcPr>
            <w:tcW w:type="dxa" w:w="3360"/>
          </w:tcPr>
          <w:p>
            <w:r>
              <w:t>Primary</w:t>
            </w:r>
          </w:p>
        </w:tc>
        <w:tc>
          <w:tcPr>
            <w:tcW w:type="dxa" w:w="3360"/>
          </w:tcPr>
          <w:p>
            <w:r>
              <w:t>Use to discuss asymmetric positive vs negative shock adjustment.</w:t>
            </w:r>
          </w:p>
        </w:tc>
      </w:tr>
      <w:tr>
        <w:tc>
          <w:tcPr>
            <w:tcW w:type="dxa" w:w="3360"/>
          </w:tcPr>
          <w:p>
            <w:r>
              <w:t>Unrestricted ARDL</w:t>
            </w:r>
          </w:p>
        </w:tc>
        <w:tc>
          <w:tcPr>
            <w:tcW w:type="dxa" w:w="3360"/>
          </w:tcPr>
          <w:p>
            <w:r>
              <w:t>Secondary</w:t>
            </w:r>
          </w:p>
        </w:tc>
        <w:tc>
          <w:tcPr>
            <w:tcW w:type="dxa" w:w="3360"/>
          </w:tcPr>
          <w:p>
            <w:r>
              <w:t>Use only as dynamic screening or appendix support.</w:t>
            </w:r>
          </w:p>
        </w:tc>
      </w:tr>
      <w:tr>
        <w:tc>
          <w:tcPr>
            <w:tcW w:type="dxa" w:w="3360"/>
          </w:tcPr>
          <w:p>
            <w:r>
              <w:t>Silpo discount models</w:t>
            </w:r>
          </w:p>
        </w:tc>
        <w:tc>
          <w:tcPr>
            <w:tcW w:type="dxa" w:w="3360"/>
          </w:tcPr>
          <w:p>
            <w:r>
              <w:t>Mechanism evidence</w:t>
            </w:r>
          </w:p>
        </w:tc>
        <w:tc>
          <w:tcPr>
            <w:tcW w:type="dxa" w:w="3360"/>
          </w:tcPr>
          <w:p>
            <w:r>
              <w:t>Use to show promotion-based retail adjustment, especially yogurt/dessert.</w:t>
            </w:r>
          </w:p>
        </w:tc>
      </w:tr>
      <w:tr>
        <w:tc>
          <w:tcPr>
            <w:tcW w:type="dxa" w:w="3360"/>
          </w:tcPr>
          <w:p>
            <w:r>
              <w:t>Procurement-scale models</w:t>
            </w:r>
          </w:p>
        </w:tc>
        <w:tc>
          <w:tcPr>
            <w:tcW w:type="dxa" w:w="3360"/>
          </w:tcPr>
          <w:p>
            <w:r>
              <w:t>Mechanism evidence</w:t>
            </w:r>
          </w:p>
        </w:tc>
        <w:tc>
          <w:tcPr>
            <w:tcW w:type="dxa" w:w="3360"/>
          </w:tcPr>
          <w:p>
            <w:r>
              <w:t>Use to show contract-scale buffering, especially sour cream.</w:t>
            </w:r>
          </w:p>
        </w:tc>
      </w:tr>
      <w:tr>
        <w:tc>
          <w:tcPr>
            <w:tcW w:type="dxa" w:w="3360"/>
          </w:tcPr>
          <w:p>
            <w:r>
              <w:t>Local projections</w:t>
            </w:r>
          </w:p>
        </w:tc>
        <w:tc>
          <w:tcPr>
            <w:tcW w:type="dxa" w:w="3360"/>
          </w:tcPr>
          <w:p>
            <w:r>
              <w:t>Robustness/support</w:t>
            </w:r>
          </w:p>
        </w:tc>
        <w:tc>
          <w:tcPr>
            <w:tcW w:type="dxa" w:w="3360"/>
          </w:tcPr>
          <w:p>
            <w:r>
              <w:t>Use to show timing patterns, not as the main hypothesis test.</w:t>
            </w:r>
          </w:p>
        </w:tc>
      </w:tr>
      <w:tr>
        <w:tc>
          <w:tcPr>
            <w:tcW w:type="dxa" w:w="3360"/>
          </w:tcPr>
          <w:p>
            <w:r>
              <w:t>Aggregate index models</w:t>
            </w:r>
          </w:p>
        </w:tc>
        <w:tc>
          <w:tcPr>
            <w:tcW w:type="dxa" w:w="3360"/>
          </w:tcPr>
          <w:p>
            <w:r>
              <w:t>Robustness/support</w:t>
            </w:r>
          </w:p>
        </w:tc>
        <w:tc>
          <w:tcPr>
            <w:tcW w:type="dxa" w:w="3360"/>
          </w:tcPr>
          <w:p>
            <w:r>
              <w:t>Use to confirm direction at aggregated chain level.</w:t>
            </w:r>
          </w:p>
        </w:tc>
      </w:tr>
      <w:tr>
        <w:tc>
          <w:tcPr>
            <w:tcW w:type="dxa" w:w="3360"/>
          </w:tcPr>
          <w:p>
            <w:r>
              <w:t>VECM</w:t>
            </w:r>
          </w:p>
        </w:tc>
        <w:tc>
          <w:tcPr>
            <w:tcW w:type="dxa" w:w="3360"/>
          </w:tcPr>
          <w:p>
            <w:r>
              <w:t>Boundary check</w:t>
            </w:r>
          </w:p>
        </w:tc>
        <w:tc>
          <w:tcPr>
            <w:tcW w:type="dxa" w:w="3360"/>
          </w:tcPr>
          <w:p>
            <w:r>
              <w:t>Use to reject overclaim that all product chains share one system equilibrium.</w:t>
            </w:r>
          </w:p>
        </w:tc>
      </w:tr>
    </w:tbl>
    <w:p>
      <w:pPr>
        <w:pStyle w:val="Heading1"/>
      </w:pPr>
      <w:r>
        <w:t>6. Tables and Figures Improvement Audit</w:t>
      </w:r>
    </w:p>
    <w:p>
      <w:pPr>
        <w:pStyle w:val="ListBullet"/>
      </w:pPr>
      <w:r>
        <w:t>Add an admissibility table before estimation results: product, link, frequency, period, overlap count, raw-support share, mapping type, and evidence status.</w:t>
      </w:r>
    </w:p>
    <w:p>
      <w:pPr>
        <w:pStyle w:val="ListBullet"/>
      </w:pPr>
      <w:r>
        <w:t>Retitle the main results table as a hypothesis-evidence map rather than a list of retained models.</w:t>
      </w:r>
    </w:p>
    <w:p>
      <w:pPr>
        <w:pStyle w:val="ListBullet"/>
      </w:pPr>
      <w:r>
        <w:t>For every figure, add whether the series is observed, reconstructed, linearly interpolated, PCHIP-style, smoothed, or retail microdata.</w:t>
      </w:r>
    </w:p>
    <w:p>
      <w:pPr>
        <w:pStyle w:val="ListBullet"/>
      </w:pPr>
      <w:r>
        <w:t>For every model table, include evidence role: structural, mechanism, supportive, descriptive, or boundary check.</w:t>
      </w:r>
    </w:p>
    <w:p>
      <w:pPr>
        <w:pStyle w:val="ListBullet"/>
      </w:pPr>
      <w:r>
        <w:t>For retail figures, state the short overlap explicitly and avoid structural language.</w:t>
      </w:r>
    </w:p>
    <w:p>
      <w:pPr>
        <w:pStyle w:val="ListBullet"/>
      </w:pPr>
      <w:r>
        <w:t>For procurement figures, state that ProZorro is institutional/supportive evidence and not a national average price anchor.</w:t>
      </w:r>
    </w:p>
    <w:p>
      <w:pPr>
        <w:pStyle w:val="ListBullet"/>
      </w:pPr>
      <w:r>
        <w:t>For discount tables, distinguish discount incidence, discount percent, baseline shelf price, and Silpo-Novus gap.</w:t>
      </w:r>
    </w:p>
    <w:p>
      <w:pPr>
        <w:pStyle w:val="ListBullet"/>
      </w:pPr>
      <w:r>
        <w:t>For VECM, report feasibility counts and diagnostic limits before any substantive interpretation.</w:t>
      </w:r>
    </w:p>
    <w:p>
      <w:pPr>
        <w:pStyle w:val="Heading1"/>
      </w:pPr>
      <w:r>
        <w:t>7. Final Implementation Checklist for Draft 3</w:t>
      </w:r>
    </w:p>
    <w:p>
      <w:pPr>
        <w:pStyle w:val="ListNumber"/>
      </w:pPr>
      <w:r>
        <w:t>Replace the four-hypothesis block with the two required hypotheses.</w:t>
      </w:r>
    </w:p>
    <w:p>
      <w:pPr>
        <w:pStyle w:val="ListNumber"/>
      </w:pPr>
      <w:r>
        <w:t>Rewrite the research question around multi-stage filtering of shocks.</w:t>
      </w:r>
    </w:p>
    <w:p>
      <w:pPr>
        <w:pStyle w:val="ListNumber"/>
      </w:pPr>
      <w:r>
        <w:t>Add a paragraph defining market power as timing/form/visibility of adjustment.</w:t>
      </w:r>
    </w:p>
    <w:p>
      <w:pPr>
        <w:pStyle w:val="ListNumber"/>
      </w:pPr>
      <w:r>
        <w:t>Add wartime mechanism language: blackouts, labor, logistics, infrastructure, bargaining.</w:t>
      </w:r>
    </w:p>
    <w:p>
      <w:pPr>
        <w:pStyle w:val="ListNumber"/>
      </w:pPr>
      <w:r>
        <w:t>Strengthen upstream duality and industrial-enterprise reliability.</w:t>
      </w:r>
    </w:p>
    <w:p>
      <w:pPr>
        <w:pStyle w:val="ListNumber"/>
      </w:pPr>
      <w:r>
        <w:t>Introduce the processor-hinge concept in Chapter 2 and reuse it in interpretation.</w:t>
      </w:r>
    </w:p>
    <w:p>
      <w:pPr>
        <w:pStyle w:val="ListNumber"/>
      </w:pPr>
      <w:r>
        <w:t>Deepen the rockets-and-feathers and transition-economy literature subsection.</w:t>
      </w:r>
    </w:p>
    <w:p>
      <w:pPr>
        <w:pStyle w:val="ListNumber"/>
      </w:pPr>
      <w:r>
        <w:t>Add explicit weekly-vs-daily evidence hierarchy in methodology.</w:t>
      </w:r>
    </w:p>
    <w:p>
      <w:pPr>
        <w:pStyle w:val="ListNumber"/>
      </w:pPr>
      <w:r>
        <w:t>Defend pairwise modelling and explain why full system modelling is a robustness screen.</w:t>
      </w:r>
    </w:p>
    <w:p>
      <w:pPr>
        <w:pStyle w:val="ListNumber"/>
      </w:pPr>
      <w:r>
        <w:t>Clarify reconstruction robustness across linear and PCHIP-style variants.</w:t>
      </w:r>
    </w:p>
    <w:p>
      <w:pPr>
        <w:pStyle w:val="ListNumber"/>
      </w:pPr>
      <w:r>
        <w:t>Add product-stage-frequency-overlap standardization audit in Chapter 5.</w:t>
      </w:r>
    </w:p>
    <w:p>
      <w:pPr>
        <w:pStyle w:val="ListNumber"/>
      </w:pPr>
      <w:r>
        <w:t>Clarify ProZorro's supportive regional/institutional role.</w:t>
      </w:r>
    </w:p>
    <w:p>
      <w:pPr>
        <w:pStyle w:val="ListNumber"/>
      </w:pPr>
      <w:r>
        <w:t>Reorganize results around H1 and H2.</w:t>
      </w:r>
    </w:p>
    <w:p>
      <w:pPr>
        <w:pStyle w:val="ListNumber"/>
      </w:pPr>
      <w:r>
        <w:t>Prioritize ECM and NARDL in results prose.</w:t>
      </w:r>
    </w:p>
    <w:p>
      <w:pPr>
        <w:pStyle w:val="ListNumber"/>
      </w:pPr>
      <w:r>
        <w:t>Interpret cheese and cream negative coefficients as retail nonlinearity with caution.</w:t>
      </w:r>
    </w:p>
    <w:p>
      <w:pPr>
        <w:pStyle w:val="ListNumber"/>
      </w:pPr>
      <w:r>
        <w:t>Elevate Silpo yogurt/dessert discount coefficient around 0.601 as the primary retail promotion result.</w:t>
      </w:r>
    </w:p>
    <w:p>
      <w:pPr>
        <w:pStyle w:val="ListNumber"/>
      </w:pPr>
      <w:r>
        <w:t>Elevate sour-cream ProZorro contract-sum coefficient around -0.771 as procurement-buffer evidence.</w:t>
      </w:r>
    </w:p>
    <w:p>
      <w:pPr>
        <w:pStyle w:val="ListNumber"/>
      </w:pPr>
      <w:r>
        <w:t>Treat VECM 3/27 feasibility as a boundary result, not a failure.</w:t>
      </w:r>
    </w:p>
    <w:p>
      <w:pPr>
        <w:pStyle w:val="ListNumber"/>
      </w:pPr>
      <w:r>
        <w:t>Rewrite conclusion to answer only two hypotheses.</w:t>
      </w:r>
    </w:p>
    <w:p>
      <w:pPr>
        <w:pStyle w:val="ListNumber"/>
      </w:pPr>
      <w:r>
        <w:t>Rewrite policy implications toward contracts, procurement rules, supplier composition, and retail promotions.</w:t>
      </w:r>
    </w:p>
    <w:p>
      <w:pPr>
        <w:pStyle w:val="ListNumber"/>
      </w:pPr>
      <w:r>
        <w:t>Run final language pass after structure and results are fixed.</w:t>
      </w:r>
    </w:p>
    <w:p>
      <w:pPr>
        <w:pStyle w:val="ListNumber"/>
      </w:pPr>
      <w:r>
        <w:t>Do not add new hypotheses or new model families.</w:t>
      </w:r>
    </w:p>
    <w:p>
      <w:pPr>
        <w:pStyle w:val="Heading1"/>
      </w:pPr>
      <w:r>
        <w:t>Appendix A. Extracted Draft Anchors</w:t>
      </w:r>
    </w:p>
    <w:tbl>
      <w:tblPr>
        <w:tblStyle w:val="TableGrid"/>
        <w:tblW w:type="auto" w:w="0"/>
        <w:tblLook w:firstColumn="1" w:firstRow="1" w:lastColumn="0" w:lastRow="0" w:noHBand="0" w:noVBand="1" w:val="04A0"/>
      </w:tblPr>
      <w:tblGrid>
        <w:gridCol w:w="5040"/>
        <w:gridCol w:w="5040"/>
      </w:tblGrid>
      <w:tr>
        <w:tc>
          <w:tcPr>
            <w:tcW w:type="dxa" w:w="5040"/>
          </w:tcPr>
          <w:p>
            <w:r>
              <w:rPr>
                <w:b/>
              </w:rPr>
              <w:t>Anchor</w:t>
            </w:r>
          </w:p>
        </w:tc>
        <w:tc>
          <w:tcPr>
            <w:tcW w:type="dxa" w:w="5040"/>
          </w:tcPr>
          <w:p>
            <w:r>
              <w:rPr>
                <w:b/>
              </w:rPr>
              <w:t>Extracted evidence</w:t>
            </w:r>
          </w:p>
        </w:tc>
      </w:tr>
      <w:tr>
        <w:tc>
          <w:tcPr>
            <w:tcW w:type="dxa" w:w="5040"/>
          </w:tcPr>
          <w:p>
            <w:r>
              <w:t>P135</w:t>
            </w:r>
          </w:p>
        </w:tc>
        <w:tc>
          <w:tcPr>
            <w:tcW w:type="dxa" w:w="5040"/>
          </w:tcPr>
          <w:p>
            <w:r>
              <w:t>Opening paragraph links dairy to food prices, war, logistics, blackouts, labor shortages, and bargaining position, but needs cleaner mechanism logic.</w:t>
            </w:r>
          </w:p>
        </w:tc>
      </w:tr>
      <w:tr>
        <w:tc>
          <w:tcPr>
            <w:tcW w:type="dxa" w:w="5040"/>
          </w:tcPr>
          <w:p>
            <w:r>
              <w:t>P136</w:t>
            </w:r>
          </w:p>
        </w:tc>
        <w:tc>
          <w:tcPr>
            <w:tcW w:type="dxa" w:w="5040"/>
          </w:tcPr>
          <w:p>
            <w:r>
              <w:t>Already states the chain should be seen as a multi-factor stage mechanism, which should become the controlling thesis frame.</w:t>
            </w:r>
          </w:p>
        </w:tc>
      </w:tr>
      <w:tr>
        <w:tc>
          <w:tcPr>
            <w:tcW w:type="dxa" w:w="5040"/>
          </w:tcPr>
          <w:p>
            <w:r>
              <w:t>P139-P143</w:t>
            </w:r>
          </w:p>
        </w:tc>
        <w:tc>
          <w:tcPr>
            <w:tcW w:type="dxa" w:w="5040"/>
          </w:tcPr>
          <w:p>
            <w:r>
              <w:t>Current four-hypothesis block conflicts with the required two-hypothesis structure.</w:t>
            </w:r>
          </w:p>
        </w:tc>
      </w:tr>
      <w:tr>
        <w:tc>
          <w:tcPr>
            <w:tcW w:type="dxa" w:w="5040"/>
          </w:tcPr>
          <w:p>
            <w:r>
              <w:t>P259</w:t>
            </w:r>
          </w:p>
        </w:tc>
        <w:tc>
          <w:tcPr>
            <w:tcW w:type="dxa" w:w="5040"/>
          </w:tcPr>
          <w:p>
            <w:r>
              <w:t>Econometric framework section exists and should be revised to foreground ECM/NARDL and evidence hierarchy.</w:t>
            </w:r>
          </w:p>
        </w:tc>
      </w:tr>
      <w:tr>
        <w:tc>
          <w:tcPr>
            <w:tcW w:type="dxa" w:w="5040"/>
          </w:tcPr>
          <w:p>
            <w:r>
              <w:t>P411-P448</w:t>
            </w:r>
          </w:p>
        </w:tc>
        <w:tc>
          <w:tcPr>
            <w:tcW w:type="dxa" w:w="5040"/>
          </w:tcPr>
          <w:p>
            <w:r>
              <w:t>Results sections exist for upstream/downstream transmission, discount effects, and VECM; these should be reorganized by H1/H2.</w:t>
            </w:r>
          </w:p>
        </w:tc>
      </w:tr>
      <w:tr>
        <w:tc>
          <w:tcPr>
            <w:tcW w:type="dxa" w:w="5040"/>
          </w:tcPr>
          <w:p>
            <w:r>
              <w:t>P464-P474</w:t>
            </w:r>
          </w:p>
        </w:tc>
        <w:tc>
          <w:tcPr>
            <w:tcW w:type="dxa" w:w="5040"/>
          </w:tcPr>
          <w:p>
            <w:r>
              <w:t>Conclusion currently answers four hypotheses and must be rewritten around retailer and processor market power.</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