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Bold Corrections And Additions For The Corrected-Format Draft</w:t>
      </w:r>
    </w:p>
    <w:p/>
    <w:p>
      <w:r>
        <w:rPr>
          <w:b/>
        </w:rPr>
        <w:t xml:space="preserve">Target file reviewed: Charniuk_Maksym_MScThesis_Draft_correctedformat.docx. These notes are intentionally separate from the main draft, as requested.</w:t>
      </w:r>
    </w:p>
    <w:p/>
    <w:p>
      <w:r>
        <w:rPr>
          <w:b/>
        </w:rPr>
        <w:t xml:space="preserve">• Correct the farm-gate share statement: the 4.8% core-finding share belongs to FarmGateUA -&gt; ProZorro, not FarmGateUA -&gt; ProducerUA. FarmGateUA -&gt; ProducerUA has 8 core findings out of 709 rows, about 1.1%, so it should be described as the weakest direct farm-gate link.</w:t>
      </w:r>
    </w:p>
    <w:p>
      <w:r>
        <w:rPr>
          <w:b/>
        </w:rPr>
        <w:t xml:space="preserve">• Use institutional procurement layer for ProZorro instead of saying it can simply be interpreted as processors. ProducerUA is the processor-level domestic producer-price layer; ProZorro is a procurement-contract layer.</w:t>
      </w:r>
    </w:p>
    <w:p>
      <w:r>
        <w:rPr>
          <w:b/>
        </w:rPr>
        <w:t xml:space="preserve">• Keep EU, CME, and ConsumerUA outside the endogenous domestic chain. They should be described as external benchmarks, reconstruction anchors, diagnostics, or robustness checks, not as extra structural stages.</w:t>
      </w:r>
    </w:p>
    <w:p>
      <w:r>
        <w:rPr>
          <w:b/>
        </w:rPr>
        <w:t xml:space="preserve">• State explicitly that the farm-gate raw-milk benchmark is not a processed-product price. It is an upstream raw-milk anchor, so direct FarmGateUA-to-retail coefficients must be interpreted conservatively.</w:t>
      </w:r>
    </w:p>
    <w:p>
      <w:r>
        <w:rPr>
          <w:b/>
        </w:rPr>
        <w:t xml:space="preserve">• Write reverse-flow findings as price-leadership or coordination evidence, not as proof of literal reverse causality. Retail -&gt; ProZorro and Retail -&gt; FarmGateUA coefficients show that downstream price setting contains information reflected upstream, but they do not by themselves prove causal control.</w:t>
      </w:r>
    </w:p>
    <w:p>
      <w:r>
        <w:rPr>
          <w:b/>
        </w:rPr>
        <w:t xml:space="preserve">• For Silpo, keep the distinction between observed price and baseline price. Observed price is the effective shelf price after markdown; baseline price is the regular-price proxy. For Novus, do not infer a promotion baseline because the workbook has no comparable discount signal.</w:t>
      </w:r>
    </w:p>
    <w:p>
      <w:r>
        <w:rPr>
          <w:b/>
        </w:rPr>
        <w:t xml:space="preserve">• Correct the ConsumerUA caption in the methodology/data text where it says Ukrainian producer prices by products; it should say Ukrainian consumer prices by products.</w:t>
      </w:r>
    </w:p>
    <w:p>
      <w:r>
        <w:rPr>
          <w:b/>
        </w:rPr>
        <w:t xml:space="preserve">• Correct U.S. CME III stock prices distribution to U.S. CME Class III milk futures price distribution.</w:t>
      </w:r>
    </w:p>
    <w:p>
      <w:r>
        <w:rPr>
          <w:b/>
        </w:rPr>
        <w:t xml:space="preserve">• Correct visible typos in the figure list and prose: balalnce -&gt; balance, Ukraine(gross -&gt; Ukraine (gross, frequenct -&gt; frequency, bee hind / bee hind style fragments -&gt; behind, presenet -&gt; present, and standartisation -&gt; standardization or standardisation consistently.</w:t>
      </w:r>
    </w:p>
    <w:p>
      <w:r>
        <w:rPr>
          <w:b/>
        </w:rPr>
        <w:t xml:space="preserve">• The Casey thesis/reference was not found by filename or searchable DOCX text in this folder. I therefore aligned the separate documents to the available KSE thesis style and the latest corrected-format draft. If the Casey thesis exists under another filename or only as a scanned PDF, add/identify it before final formatting imitation.</w:t>
      </w:r>
    </w:p>
    <w:p>
      <w:r>
        <w:rPr>
          <w:b/>
        </w:rPr>
        <w:t xml:space="preserve">• Do not headline the second-stage FarmGateUA -&gt; ProducerUA local-projection coefficient even when it is statistically strong. Both sides are reconstructed/smoothed over a long horizon, so this block should be treated as reconstruction coherence rather than direct causal farm-to-processor evidence.</w:t>
      </w:r>
    </w:p>
    <w:p>
      <w:r>
        <w:rPr>
          <w:b/>
        </w:rPr>
        <w:t xml:space="preserve">• Add the second-stage robustness sentence after the RW4 estimation discussion: As a robustness redesign, the second-stage local-projection and spread-proxy models keep the same four-stage chain but avoid relying on the same ARDL/ECM/NARDL/VECM identification stack; the resulting evidence remains selective and product-specific, which supports a conservative interpretation of market power as timing and discount-mediated coordination rather than a single universal markup.</w:t>
      </w:r>
    </w:p>
    <w:sectPr>
      <w:pgSz w:w="12240" w:h="15840"/>
      <w:pgMar w:top="1440" w:right="1440" w:bottom="1440" w:left="1440" w:header="720" w:footer="720" w:gutter="0"/>
    </w:sectPr>
  </w:body>
</w:document>
</file>