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RW3 Improvements: Data Integrity and Model Relevance</w:t>
      </w:r>
    </w:p>
    <w:p>
      <w:r>
        <w:t xml:space="preserve"/>
      </w:r>
    </w:p>
    <w:p>
      <w:pPr>
        <w:pStyle w:val="Heading1"/>
      </w:pPr>
      <w:r>
        <w:t xml:space="preserve">Data Integrity Improvements (Recommended)</w:t>
      </w:r>
    </w:p>
    <w:p>
      <w:r>
        <w:t xml:space="preserve">- Add explicit schema validation per sheet: assert required columns, types, and non-null rates before any modeling.</w:t>
      </w:r>
    </w:p>
    <w:p>
      <w:r>
        <w:t xml:space="preserve">- Enforce unit policy as a hard gate: level/log models require unit_ok==1; retail level prices without pack info should be flagged as index-like only.</w:t>
      </w:r>
    </w:p>
    <w:p>
      <w:r>
        <w:t xml:space="preserve">- Strengthen deduping audit: for Novus, store dedupe loss rate per day and top SKUs affected; keep a sample of dropped rows for traceability.</w:t>
      </w:r>
    </w:p>
    <w:p>
      <w:r>
        <w:t xml:space="preserve">- Outlier governance: store winsorization thresholds per (source,product) and share_trimmed; add a check for negative/zero prices before ln.</w:t>
      </w:r>
    </w:p>
    <w:p>
      <w:r>
        <w:t xml:space="preserve">- Missingness/imputation transparency: compute imputed_share per variant and block models if imputed_share exceeds a threshold (e.g., &gt;30%).</w:t>
      </w:r>
    </w:p>
    <w:p>
      <w:r>
        <w:t xml:space="preserve">- Transformation ledger: persist a step-by-step ledger (rows_before/after, date ranges, unit_ok_share, outlier_share) for every module run.</w:t>
      </w:r>
    </w:p>
    <w:p>
      <w:r>
        <w:t xml:space="preserve">- Reproducibility: pin package versions and log environment (python version, key libs) into each output folder.</w:t>
      </w:r>
    </w:p>
    <w:p>
      <w:r>
        <w:t xml:space="preserve"/>
      </w:r>
    </w:p>
    <w:p>
      <w:pPr>
        <w:pStyle w:val="Heading1"/>
      </w:pPr>
      <w:r>
        <w:t xml:space="preserve">Model Relevance to the Data (Fit-to-Data Rules)</w:t>
      </w:r>
    </w:p>
    <w:p>
      <w:r>
        <w:t xml:space="preserve">- Integration-aware modeling: if ADF/KPSS imply I(1)-like, avoid OLS in levels; prefer ARDL/ECM/VECM families with HAC errors.</w:t>
      </w:r>
    </w:p>
    <w:p>
      <w:r>
        <w:t xml:space="preserve">- Autocorrelation is expected in prices: Ljung-Box p&lt;0.05 should automatically imply lagged structure; do not interpret contemporaneous coefficients as causal.</w:t>
      </w:r>
    </w:p>
    <w:p>
      <w:r>
        <w:t xml:space="preserve">- Heteroskedasticity/non-normality: prefer HAC/HC1 robust errors; interpret p-values cautiously and treat IRFs/alphas as robustness-oriented, not definitive.</w:t>
      </w:r>
    </w:p>
    <w:p>
      <w:r>
        <w:t xml:space="preserve">- Stability risk: when stability_flag=1, run split-sample or rolling window sensitivity and report coefficient ranges (not only point estimates).</w:t>
      </w:r>
    </w:p>
    <w:p>
      <w:r>
        <w:t xml:space="preserve">- Short intersection window (retail): use dlog (daily changes) with lag-scan 1..30; do not force long-run cointegration claims on short windows.</w:t>
      </w:r>
    </w:p>
    <w:p>
      <w:r>
        <w:t xml:space="preserve">- Promotions confounding (Silpo): always report pass-through without promo controls and with promo controls; interpret differences as margin/promo regime effects.</w:t>
      </w:r>
    </w:p>
    <w:p>
      <w:r>
        <w:t xml:space="preserve">- ProZorro is institutional: treat region dispersion and expected vs current deltas as institutional mechanisms; keep it separate from retail cointegration spine unless justified.</w:t>
      </w:r>
    </w:p>
    <w:p>
      <w:r>
        <w:t xml:space="preserve"/>
      </w:r>
    </w:p>
    <w:p>
      <w:pPr>
        <w:pStyle w:val="Heading1"/>
      </w:pPr>
      <w:r>
        <w:t xml:space="preserve">Concrete Gaps Observed in Current Outputs (Actionable)</w:t>
      </w:r>
    </w:p>
    <w:p>
      <w:r>
        <w:t xml:space="preserve">- Some summary tables can be empty (e.g., short-run and regional models) when overlap is insufficient; add explicit eligibility reporting (min_obs, overlap days/weeks).</w:t>
      </w:r>
    </w:p>
    <w:p>
      <w:r>
        <w:t xml:space="preserve">- Standardize naming in outputs: keep the same key columns across modules (source, product, standardized_type, date/week, series_variant).</w:t>
      </w:r>
    </w:p>
    <w:p>
      <w:r>
        <w:t xml:space="preserve">- Add per-product coverage tables: date ranges and n_obs by source to explain why some models did not run.</w:t>
      </w:r>
    </w:p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3"/>
    </w:rPr>
  </w:style>
  <w:style w:type="paragraph" w:styleId="Heading5">
    <w:name w:val="heading 5"/>
    <w:basedOn w:val="Normal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