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76D4" w14:textId="1CE7CF77" w:rsidR="003E3CB2" w:rsidRPr="0033435D" w:rsidRDefault="003E3CB2" w:rsidP="00053940">
      <w:pPr>
        <w:pStyle w:val="Author"/>
        <w:spacing w:line="360" w:lineRule="auto"/>
        <w:rPr>
          <w:rFonts w:cs="Arial"/>
          <w:caps/>
          <w:spacing w:val="5"/>
          <w:kern w:val="28"/>
          <w:szCs w:val="24"/>
          <w:shd w:val="clear" w:color="auto" w:fill="FFFFFF"/>
        </w:rPr>
      </w:pPr>
      <w:r w:rsidRPr="0033435D">
        <w:rPr>
          <w:rFonts w:cs="Arial"/>
          <w:caps/>
          <w:spacing w:val="5"/>
          <w:kern w:val="28"/>
          <w:szCs w:val="24"/>
          <w:shd w:val="clear" w:color="auto" w:fill="FFFFFF"/>
        </w:rPr>
        <w:t>Retail</w:t>
      </w:r>
      <w:r w:rsidR="00F61F74" w:rsidRPr="0033435D">
        <w:rPr>
          <w:rFonts w:cs="Arial"/>
          <w:caps/>
          <w:spacing w:val="5"/>
          <w:kern w:val="28"/>
          <w:szCs w:val="24"/>
          <w:shd w:val="clear" w:color="auto" w:fill="FFFFFF"/>
        </w:rPr>
        <w:t>-</w:t>
      </w:r>
      <w:r w:rsidRPr="0033435D">
        <w:rPr>
          <w:rFonts w:cs="Arial"/>
          <w:caps/>
          <w:spacing w:val="5"/>
          <w:kern w:val="28"/>
          <w:szCs w:val="24"/>
          <w:shd w:val="clear" w:color="auto" w:fill="FFFFFF"/>
        </w:rPr>
        <w:t>to</w:t>
      </w:r>
      <w:r w:rsidR="00F61F74" w:rsidRPr="0033435D">
        <w:rPr>
          <w:rFonts w:cs="Arial"/>
          <w:caps/>
          <w:spacing w:val="5"/>
          <w:kern w:val="28"/>
          <w:szCs w:val="24"/>
          <w:shd w:val="clear" w:color="auto" w:fill="FFFFFF"/>
        </w:rPr>
        <w:t>-</w:t>
      </w:r>
      <w:r w:rsidRPr="0033435D">
        <w:rPr>
          <w:rFonts w:cs="Arial"/>
          <w:caps/>
          <w:spacing w:val="5"/>
          <w:kern w:val="28"/>
          <w:szCs w:val="24"/>
          <w:shd w:val="clear" w:color="auto" w:fill="FFFFFF"/>
        </w:rPr>
        <w:t>Farm Price Transmission</w:t>
      </w:r>
      <w:r w:rsidRPr="0033435D">
        <w:rPr>
          <w:rFonts w:cs="Arial"/>
          <w:caps/>
          <w:spacing w:val="5"/>
          <w:kern w:val="28"/>
          <w:szCs w:val="24"/>
          <w:shd w:val="clear" w:color="auto" w:fill="FFFFFF"/>
        </w:rPr>
        <w:br/>
        <w:t>AND VERTICAL COORDINATION</w:t>
      </w:r>
    </w:p>
    <w:p w14:paraId="0D1D0CF9" w14:textId="48DD3B30" w:rsidR="003E3CB2" w:rsidRPr="0033435D" w:rsidRDefault="003E3CB2" w:rsidP="00053940">
      <w:pPr>
        <w:pStyle w:val="Author"/>
        <w:spacing w:line="360" w:lineRule="auto"/>
        <w:rPr>
          <w:rFonts w:cs="Arial"/>
          <w:caps/>
          <w:spacing w:val="5"/>
          <w:kern w:val="28"/>
          <w:szCs w:val="24"/>
          <w:shd w:val="clear" w:color="auto" w:fill="FFFFFF"/>
        </w:rPr>
      </w:pPr>
      <w:r w:rsidRPr="0033435D">
        <w:rPr>
          <w:rFonts w:cs="Arial"/>
          <w:caps/>
          <w:spacing w:val="5"/>
          <w:kern w:val="28"/>
          <w:szCs w:val="24"/>
          <w:shd w:val="clear" w:color="auto" w:fill="FFFFFF"/>
        </w:rPr>
        <w:t>in Ukraine’s Dairy Chain</w:t>
      </w:r>
    </w:p>
    <w:p w14:paraId="674FBBA4" w14:textId="60829864" w:rsidR="003E3CB2" w:rsidRPr="0033435D" w:rsidRDefault="003E3CB2" w:rsidP="00053940">
      <w:pPr>
        <w:pStyle w:val="Author"/>
        <w:spacing w:line="360" w:lineRule="auto"/>
        <w:rPr>
          <w:szCs w:val="24"/>
        </w:rPr>
      </w:pPr>
      <w:r w:rsidRPr="0033435D">
        <w:rPr>
          <w:szCs w:val="24"/>
        </w:rPr>
        <w:t>by</w:t>
      </w:r>
    </w:p>
    <w:p w14:paraId="78DE7404" w14:textId="0B50DCF6" w:rsidR="003E3CB2" w:rsidRPr="0033435D" w:rsidRDefault="003E3CB2" w:rsidP="00053940">
      <w:pPr>
        <w:pStyle w:val="Author"/>
        <w:spacing w:line="360" w:lineRule="auto"/>
        <w:rPr>
          <w:szCs w:val="24"/>
        </w:rPr>
      </w:pPr>
      <w:r w:rsidRPr="0033435D">
        <w:rPr>
          <w:szCs w:val="24"/>
        </w:rPr>
        <w:t>Maksym Charniuk</w:t>
      </w:r>
    </w:p>
    <w:p w14:paraId="0915BDCF" w14:textId="77777777" w:rsidR="003E3CB2" w:rsidRPr="0033435D" w:rsidRDefault="003E3CB2" w:rsidP="00053940">
      <w:pPr>
        <w:pStyle w:val="SubtitleCover"/>
        <w:spacing w:line="360" w:lineRule="auto"/>
        <w:rPr>
          <w:szCs w:val="24"/>
        </w:rPr>
      </w:pPr>
      <w:r w:rsidRPr="0033435D">
        <w:rPr>
          <w:szCs w:val="24"/>
        </w:rPr>
        <w:t>A research proposal</w:t>
      </w:r>
    </w:p>
    <w:p w14:paraId="221F6786" w14:textId="77777777" w:rsidR="003E3CB2" w:rsidRPr="0033435D" w:rsidRDefault="003E3CB2" w:rsidP="00053940">
      <w:pPr>
        <w:pStyle w:val="BodyText"/>
        <w:jc w:val="center"/>
        <w:rPr>
          <w:szCs w:val="24"/>
        </w:rPr>
      </w:pPr>
    </w:p>
    <w:p w14:paraId="29D3316F" w14:textId="77777777" w:rsidR="003E3CB2" w:rsidRPr="0033435D" w:rsidRDefault="003E3CB2" w:rsidP="00053940">
      <w:pPr>
        <w:pStyle w:val="SubtitleCover"/>
        <w:spacing w:line="360" w:lineRule="auto"/>
        <w:rPr>
          <w:szCs w:val="24"/>
        </w:rPr>
      </w:pPr>
      <w:r w:rsidRPr="0033435D">
        <w:rPr>
          <w:szCs w:val="24"/>
        </w:rPr>
        <w:t>Kyiv School of Economics</w:t>
      </w:r>
    </w:p>
    <w:p w14:paraId="261C3A2E" w14:textId="77777777" w:rsidR="003E3CB2" w:rsidRPr="0033435D" w:rsidRDefault="003E3CB2" w:rsidP="00053940">
      <w:pPr>
        <w:pStyle w:val="Date"/>
        <w:rPr>
          <w:szCs w:val="24"/>
        </w:rPr>
      </w:pPr>
      <w:r w:rsidRPr="0033435D">
        <w:rPr>
          <w:szCs w:val="24"/>
        </w:rPr>
        <w:t>2025</w:t>
      </w:r>
    </w:p>
    <w:p w14:paraId="51399207" w14:textId="77777777" w:rsidR="00A940CE" w:rsidRPr="0033435D" w:rsidRDefault="003E3CB2" w:rsidP="00053940">
      <w:pPr>
        <w:tabs>
          <w:tab w:val="center" w:pos="5280"/>
        </w:tabs>
        <w:spacing w:line="360" w:lineRule="auto"/>
        <w:jc w:val="center"/>
        <w:rPr>
          <w:szCs w:val="24"/>
        </w:rPr>
      </w:pPr>
      <w:r w:rsidRPr="0033435D">
        <w:rPr>
          <w:szCs w:val="24"/>
        </w:rPr>
        <w:t xml:space="preserve">Thesis Supervisor: </w:t>
      </w:r>
      <w:r w:rsidRPr="0033435D">
        <w:rPr>
          <w:szCs w:val="24"/>
          <w:u w:val="single"/>
        </w:rPr>
        <w:t>Professor Oleg Nivievskyi</w:t>
      </w:r>
    </w:p>
    <w:p w14:paraId="029E4EF1" w14:textId="77777777" w:rsidR="00A940CE" w:rsidRPr="0033435D" w:rsidRDefault="00A940CE" w:rsidP="00053940">
      <w:pPr>
        <w:tabs>
          <w:tab w:val="center" w:pos="5280"/>
        </w:tabs>
        <w:spacing w:line="360" w:lineRule="auto"/>
        <w:jc w:val="center"/>
        <w:rPr>
          <w:szCs w:val="24"/>
        </w:rPr>
      </w:pPr>
    </w:p>
    <w:p w14:paraId="5C40973D" w14:textId="77777777" w:rsidR="00A940CE" w:rsidRPr="0033435D" w:rsidRDefault="00A940CE" w:rsidP="00053940">
      <w:pPr>
        <w:tabs>
          <w:tab w:val="center" w:pos="5280"/>
        </w:tabs>
        <w:spacing w:line="360" w:lineRule="auto"/>
        <w:jc w:val="center"/>
        <w:rPr>
          <w:szCs w:val="24"/>
        </w:rPr>
      </w:pPr>
    </w:p>
    <w:p w14:paraId="5237EF59" w14:textId="0E473172" w:rsidR="00A940CE" w:rsidRPr="0033435D" w:rsidRDefault="003E3CB2" w:rsidP="00053940">
      <w:pPr>
        <w:tabs>
          <w:tab w:val="center" w:pos="5280"/>
        </w:tabs>
        <w:spacing w:line="360" w:lineRule="auto"/>
        <w:jc w:val="center"/>
        <w:rPr>
          <w:szCs w:val="24"/>
        </w:rPr>
      </w:pPr>
      <w:r w:rsidRPr="0033435D">
        <w:rPr>
          <w:szCs w:val="24"/>
        </w:rPr>
        <w:t>Approved by</w:t>
      </w:r>
    </w:p>
    <w:p w14:paraId="1B73AE31" w14:textId="555C550E" w:rsidR="003E3CB2" w:rsidRPr="0033435D" w:rsidRDefault="003E3CB2" w:rsidP="00053940">
      <w:pPr>
        <w:tabs>
          <w:tab w:val="center" w:pos="5280"/>
        </w:tabs>
        <w:spacing w:line="360" w:lineRule="auto"/>
        <w:jc w:val="center"/>
        <w:rPr>
          <w:szCs w:val="24"/>
        </w:rPr>
      </w:pPr>
      <w:r w:rsidRPr="0033435D">
        <w:rPr>
          <w:szCs w:val="24"/>
        </w:rPr>
        <w:t>Head of the KSE Defense Committee, Professor</w:t>
      </w:r>
    </w:p>
    <w:p w14:paraId="3FEE439A" w14:textId="55974507" w:rsidR="003E3CB2" w:rsidRPr="0033435D" w:rsidRDefault="003E3CB2" w:rsidP="00053940">
      <w:pPr>
        <w:tabs>
          <w:tab w:val="right" w:leader="underscore" w:pos="7440"/>
        </w:tabs>
        <w:spacing w:line="360" w:lineRule="auto"/>
        <w:ind w:left="1440" w:right="720"/>
        <w:jc w:val="center"/>
        <w:rPr>
          <w:b/>
          <w:szCs w:val="24"/>
        </w:rPr>
      </w:pPr>
    </w:p>
    <w:p w14:paraId="32A42E75" w14:textId="273FEF24" w:rsidR="003E3CB2" w:rsidRPr="0033435D" w:rsidRDefault="003E3CB2" w:rsidP="00053940">
      <w:pPr>
        <w:tabs>
          <w:tab w:val="right" w:leader="underscore" w:pos="7440"/>
        </w:tabs>
        <w:spacing w:line="360" w:lineRule="auto"/>
        <w:ind w:left="1440" w:right="720"/>
        <w:jc w:val="center"/>
        <w:rPr>
          <w:b/>
          <w:szCs w:val="24"/>
        </w:rPr>
      </w:pPr>
    </w:p>
    <w:p w14:paraId="5F970B3B" w14:textId="5AC60A7F" w:rsidR="003E3CB2" w:rsidRPr="0033435D" w:rsidRDefault="003E3CB2" w:rsidP="00053940">
      <w:pPr>
        <w:tabs>
          <w:tab w:val="right" w:leader="underscore" w:pos="7440"/>
        </w:tabs>
        <w:spacing w:line="360" w:lineRule="auto"/>
        <w:ind w:left="1440" w:right="720"/>
        <w:jc w:val="center"/>
        <w:rPr>
          <w:b/>
          <w:szCs w:val="24"/>
        </w:rPr>
      </w:pPr>
    </w:p>
    <w:p w14:paraId="4096B046" w14:textId="77777777" w:rsidR="003E3CB2" w:rsidRPr="0033435D" w:rsidRDefault="003E3CB2" w:rsidP="00053940">
      <w:pPr>
        <w:tabs>
          <w:tab w:val="right" w:leader="underscore" w:pos="7440"/>
          <w:tab w:val="right" w:leader="underscore" w:pos="7680"/>
        </w:tabs>
        <w:spacing w:line="360" w:lineRule="auto"/>
        <w:ind w:right="720"/>
        <w:jc w:val="center"/>
        <w:rPr>
          <w:szCs w:val="24"/>
        </w:rPr>
      </w:pPr>
    </w:p>
    <w:p w14:paraId="15C058E9" w14:textId="332E76C8" w:rsidR="00580DC9" w:rsidRPr="0033435D" w:rsidRDefault="003E3CB2" w:rsidP="00053940">
      <w:pPr>
        <w:spacing w:line="360" w:lineRule="auto"/>
        <w:jc w:val="center"/>
        <w:rPr>
          <w:b/>
          <w:szCs w:val="24"/>
        </w:rPr>
      </w:pPr>
      <w:r w:rsidRPr="0033435D">
        <w:rPr>
          <w:szCs w:val="24"/>
        </w:rPr>
        <w:t>Date</w:t>
      </w:r>
      <w:r w:rsidRPr="0033435D">
        <w:rPr>
          <w:b/>
          <w:szCs w:val="24"/>
        </w:rPr>
        <w:t xml:space="preserve"> ___________</w:t>
      </w:r>
      <w:r w:rsidRPr="0033435D">
        <w:rPr>
          <w:b/>
          <w:szCs w:val="24"/>
          <w:u w:val="single"/>
        </w:rPr>
        <w:t>_</w:t>
      </w:r>
      <w:r w:rsidR="00A940CE" w:rsidRPr="0033435D">
        <w:rPr>
          <w:b/>
          <w:szCs w:val="24"/>
          <w:u w:val="single"/>
        </w:rPr>
        <w:t>03</w:t>
      </w:r>
      <w:r w:rsidRPr="0033435D">
        <w:rPr>
          <w:b/>
          <w:szCs w:val="24"/>
          <w:u w:val="single"/>
        </w:rPr>
        <w:t>.1</w:t>
      </w:r>
      <w:r w:rsidR="00A940CE" w:rsidRPr="0033435D">
        <w:rPr>
          <w:b/>
          <w:szCs w:val="24"/>
          <w:u w:val="single"/>
        </w:rPr>
        <w:t>2</w:t>
      </w:r>
      <w:r w:rsidRPr="0033435D">
        <w:rPr>
          <w:b/>
          <w:szCs w:val="24"/>
          <w:u w:val="single"/>
        </w:rPr>
        <w:t>.2025</w:t>
      </w:r>
      <w:r w:rsidRPr="0033435D">
        <w:rPr>
          <w:b/>
          <w:szCs w:val="24"/>
        </w:rPr>
        <w:t>___________________</w:t>
      </w:r>
    </w:p>
    <w:p w14:paraId="7689927B" w14:textId="77777777" w:rsidR="00580DC9" w:rsidRPr="0033435D" w:rsidRDefault="00580DC9" w:rsidP="00053940">
      <w:pPr>
        <w:spacing w:after="160" w:line="360" w:lineRule="auto"/>
        <w:jc w:val="center"/>
        <w:rPr>
          <w:b/>
          <w:szCs w:val="24"/>
        </w:rPr>
      </w:pPr>
      <w:r w:rsidRPr="0033435D">
        <w:rPr>
          <w:b/>
          <w:szCs w:val="24"/>
        </w:rPr>
        <w:br w:type="page"/>
      </w:r>
    </w:p>
    <w:p w14:paraId="43596E96" w14:textId="04E8601A" w:rsidR="005A24A5" w:rsidRPr="006249FB" w:rsidRDefault="00580DC9" w:rsidP="00053940">
      <w:pPr>
        <w:spacing w:line="360" w:lineRule="auto"/>
        <w:jc w:val="center"/>
        <w:rPr>
          <w:szCs w:val="24"/>
        </w:rPr>
      </w:pPr>
      <w:r w:rsidRPr="006249FB">
        <w:rPr>
          <w:szCs w:val="24"/>
        </w:rPr>
        <w:lastRenderedPageBreak/>
        <w:t>TABLE OF CONTENTS</w:t>
      </w:r>
    </w:p>
    <w:p w14:paraId="43C608CE" w14:textId="525CF232" w:rsidR="006249FB" w:rsidRPr="006249FB" w:rsidRDefault="0016261E">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r w:rsidRPr="006249FB">
        <w:rPr>
          <w:rFonts w:ascii="Garamond" w:hAnsi="Garamond"/>
          <w:b w:val="0"/>
          <w:bCs w:val="0"/>
        </w:rPr>
        <w:fldChar w:fldCharType="begin"/>
      </w:r>
      <w:r w:rsidRPr="006249FB">
        <w:rPr>
          <w:rFonts w:ascii="Garamond" w:hAnsi="Garamond"/>
          <w:b w:val="0"/>
          <w:bCs w:val="0"/>
        </w:rPr>
        <w:instrText xml:space="preserve"> TOC \o "1-3" \h \z \u </w:instrText>
      </w:r>
      <w:r w:rsidRPr="006249FB">
        <w:rPr>
          <w:rFonts w:ascii="Garamond" w:hAnsi="Garamond"/>
          <w:b w:val="0"/>
          <w:bCs w:val="0"/>
        </w:rPr>
        <w:fldChar w:fldCharType="separate"/>
      </w:r>
      <w:hyperlink w:anchor="_Toc216525110" w:history="1">
        <w:r w:rsidR="006249FB" w:rsidRPr="006249FB">
          <w:rPr>
            <w:rStyle w:val="Hyperlink"/>
            <w:rFonts w:ascii="Garamond" w:hAnsi="Garamond"/>
            <w:b w:val="0"/>
            <w:bCs w:val="0"/>
            <w:noProof/>
          </w:rPr>
          <w:t>LIST OF FIGURES</w:t>
        </w:r>
        <w:r w:rsidR="006249FB" w:rsidRPr="006249FB">
          <w:rPr>
            <w:rFonts w:ascii="Garamond" w:hAnsi="Garamond"/>
            <w:b w:val="0"/>
            <w:bCs w:val="0"/>
            <w:noProof/>
            <w:webHidden/>
          </w:rPr>
          <w:tab/>
        </w:r>
        <w:r w:rsidR="006249FB" w:rsidRPr="006249FB">
          <w:rPr>
            <w:rFonts w:ascii="Garamond" w:hAnsi="Garamond"/>
            <w:b w:val="0"/>
            <w:bCs w:val="0"/>
            <w:noProof/>
            <w:webHidden/>
          </w:rPr>
          <w:fldChar w:fldCharType="begin"/>
        </w:r>
        <w:r w:rsidR="006249FB" w:rsidRPr="006249FB">
          <w:rPr>
            <w:rFonts w:ascii="Garamond" w:hAnsi="Garamond"/>
            <w:b w:val="0"/>
            <w:bCs w:val="0"/>
            <w:noProof/>
            <w:webHidden/>
          </w:rPr>
          <w:instrText xml:space="preserve"> PAGEREF _Toc216525110 \h </w:instrText>
        </w:r>
        <w:r w:rsidR="006249FB" w:rsidRPr="006249FB">
          <w:rPr>
            <w:rFonts w:ascii="Garamond" w:hAnsi="Garamond"/>
            <w:b w:val="0"/>
            <w:bCs w:val="0"/>
            <w:noProof/>
            <w:webHidden/>
          </w:rPr>
        </w:r>
        <w:r w:rsidR="006249FB" w:rsidRPr="006249FB">
          <w:rPr>
            <w:rFonts w:ascii="Garamond" w:hAnsi="Garamond"/>
            <w:b w:val="0"/>
            <w:bCs w:val="0"/>
            <w:noProof/>
            <w:webHidden/>
          </w:rPr>
          <w:fldChar w:fldCharType="separate"/>
        </w:r>
        <w:r w:rsidR="006249FB" w:rsidRPr="006249FB">
          <w:rPr>
            <w:rFonts w:ascii="Garamond" w:hAnsi="Garamond"/>
            <w:b w:val="0"/>
            <w:bCs w:val="0"/>
            <w:noProof/>
            <w:webHidden/>
          </w:rPr>
          <w:t>iii</w:t>
        </w:r>
        <w:r w:rsidR="006249FB" w:rsidRPr="006249FB">
          <w:rPr>
            <w:rFonts w:ascii="Garamond" w:hAnsi="Garamond"/>
            <w:b w:val="0"/>
            <w:bCs w:val="0"/>
            <w:noProof/>
            <w:webHidden/>
          </w:rPr>
          <w:fldChar w:fldCharType="end"/>
        </w:r>
      </w:hyperlink>
    </w:p>
    <w:p w14:paraId="1F4CA0C1" w14:textId="4E614F52"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11" w:history="1">
        <w:r w:rsidRPr="006249FB">
          <w:rPr>
            <w:rStyle w:val="Hyperlink"/>
            <w:rFonts w:ascii="Garamond" w:hAnsi="Garamond"/>
            <w:b w:val="0"/>
            <w:bCs w:val="0"/>
            <w:noProof/>
          </w:rPr>
          <w:t>LIST OF TABLES</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_Toc216525111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iv</w:t>
        </w:r>
        <w:r w:rsidRPr="006249FB">
          <w:rPr>
            <w:rFonts w:ascii="Garamond" w:hAnsi="Garamond"/>
            <w:b w:val="0"/>
            <w:bCs w:val="0"/>
            <w:noProof/>
            <w:webHidden/>
          </w:rPr>
          <w:fldChar w:fldCharType="end"/>
        </w:r>
      </w:hyperlink>
    </w:p>
    <w:p w14:paraId="59BFBE64" w14:textId="7FA8E1E0"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12" w:history="1">
        <w:r w:rsidRPr="006249FB">
          <w:rPr>
            <w:rStyle w:val="Hyperlink"/>
            <w:rFonts w:ascii="Garamond" w:hAnsi="Garamond"/>
            <w:b w:val="0"/>
            <w:bCs w:val="0"/>
            <w:noProof/>
          </w:rPr>
          <w:t>ACKNOWLEDGMENTS</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_Toc216525112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v</w:t>
        </w:r>
        <w:r w:rsidRPr="006249FB">
          <w:rPr>
            <w:rFonts w:ascii="Garamond" w:hAnsi="Garamond"/>
            <w:b w:val="0"/>
            <w:bCs w:val="0"/>
            <w:noProof/>
            <w:webHidden/>
          </w:rPr>
          <w:fldChar w:fldCharType="end"/>
        </w:r>
      </w:hyperlink>
    </w:p>
    <w:p w14:paraId="2BF7D799" w14:textId="2B9748F8"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13" w:history="1">
        <w:r w:rsidRPr="006249FB">
          <w:rPr>
            <w:rStyle w:val="Hyperlink"/>
            <w:rFonts w:ascii="Garamond" w:hAnsi="Garamond"/>
            <w:b w:val="0"/>
            <w:bCs w:val="0"/>
            <w:noProof/>
          </w:rPr>
          <w:t>INTRODUCTION</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_Toc216525113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1</w:t>
        </w:r>
        <w:r w:rsidRPr="006249FB">
          <w:rPr>
            <w:rFonts w:ascii="Garamond" w:hAnsi="Garamond"/>
            <w:b w:val="0"/>
            <w:bCs w:val="0"/>
            <w:noProof/>
            <w:webHidden/>
          </w:rPr>
          <w:fldChar w:fldCharType="end"/>
        </w:r>
      </w:hyperlink>
    </w:p>
    <w:p w14:paraId="5E16D72E" w14:textId="063115E0"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14" w:history="1">
        <w:r w:rsidRPr="006249FB">
          <w:rPr>
            <w:rStyle w:val="Hyperlink"/>
            <w:rFonts w:ascii="Garamond" w:hAnsi="Garamond"/>
            <w:b w:val="0"/>
            <w:bCs w:val="0"/>
            <w:noProof/>
          </w:rPr>
          <w:t>LITERATURE REVIEW</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_Toc216525114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4</w:t>
        </w:r>
        <w:r w:rsidRPr="006249FB">
          <w:rPr>
            <w:rFonts w:ascii="Garamond" w:hAnsi="Garamond"/>
            <w:b w:val="0"/>
            <w:bCs w:val="0"/>
            <w:noProof/>
            <w:webHidden/>
          </w:rPr>
          <w:fldChar w:fldCharType="end"/>
        </w:r>
      </w:hyperlink>
    </w:p>
    <w:p w14:paraId="2D49EE4E" w14:textId="3DB5CA71" w:rsidR="006249FB" w:rsidRPr="006249FB" w:rsidRDefault="006249FB">
      <w:pPr>
        <w:pStyle w:val="TOC2"/>
        <w:tabs>
          <w:tab w:val="left" w:pos="720"/>
          <w:tab w:val="right" w:leader="dot" w:pos="9350"/>
        </w:tabs>
        <w:rPr>
          <w:rFonts w:ascii="Garamond" w:eastAsiaTheme="minorEastAsia" w:hAnsi="Garamond" w:cstheme="minorBidi"/>
          <w:b w:val="0"/>
          <w:bCs w:val="0"/>
          <w:noProof/>
          <w:spacing w:val="0"/>
          <w:kern w:val="2"/>
          <w:sz w:val="24"/>
          <w:szCs w:val="24"/>
          <w:lang w:val="en-UA" w:eastAsia="en-GB"/>
          <w14:ligatures w14:val="standardContextual"/>
        </w:rPr>
      </w:pPr>
      <w:hyperlink w:anchor="_Toc216525115" w:history="1">
        <w:r w:rsidRPr="006249FB">
          <w:rPr>
            <w:rStyle w:val="Hyperlink"/>
            <w:rFonts w:ascii="Garamond" w:hAnsi="Garamond"/>
            <w:b w:val="0"/>
            <w:bCs w:val="0"/>
            <w:noProof/>
            <w:sz w:val="24"/>
            <w:szCs w:val="24"/>
          </w:rPr>
          <w:t>1.1</w:t>
        </w:r>
        <w:r>
          <w:rPr>
            <w:rFonts w:ascii="Garamond" w:eastAsiaTheme="minorEastAsia" w:hAnsi="Garamond" w:cstheme="minorBidi"/>
            <w:b w:val="0"/>
            <w:bCs w:val="0"/>
            <w:noProof/>
            <w:spacing w:val="0"/>
            <w:kern w:val="2"/>
            <w:sz w:val="24"/>
            <w:szCs w:val="24"/>
            <w:lang w:val="en-UA" w:eastAsia="en-GB"/>
            <w14:ligatures w14:val="standardContextual"/>
          </w:rPr>
          <w:t xml:space="preserve"> </w:t>
        </w:r>
        <w:r w:rsidRPr="006249FB">
          <w:rPr>
            <w:rStyle w:val="Hyperlink"/>
            <w:rFonts w:ascii="Garamond" w:hAnsi="Garamond"/>
            <w:b w:val="0"/>
            <w:bCs w:val="0"/>
            <w:noProof/>
            <w:sz w:val="24"/>
            <w:szCs w:val="24"/>
          </w:rPr>
          <w:t>Vertical coordination, buyer power, and dairy supply chains</w:t>
        </w:r>
        <w:r w:rsidRPr="006249FB">
          <w:rPr>
            <w:rFonts w:ascii="Garamond" w:hAnsi="Garamond"/>
            <w:b w:val="0"/>
            <w:bCs w:val="0"/>
            <w:noProof/>
            <w:webHidden/>
            <w:sz w:val="24"/>
            <w:szCs w:val="24"/>
          </w:rPr>
          <w:tab/>
        </w:r>
        <w:r w:rsidRPr="006249FB">
          <w:rPr>
            <w:rFonts w:ascii="Garamond" w:hAnsi="Garamond"/>
            <w:b w:val="0"/>
            <w:bCs w:val="0"/>
            <w:noProof/>
            <w:webHidden/>
            <w:sz w:val="24"/>
            <w:szCs w:val="24"/>
          </w:rPr>
          <w:fldChar w:fldCharType="begin"/>
        </w:r>
        <w:r w:rsidRPr="006249FB">
          <w:rPr>
            <w:rFonts w:ascii="Garamond" w:hAnsi="Garamond"/>
            <w:b w:val="0"/>
            <w:bCs w:val="0"/>
            <w:noProof/>
            <w:webHidden/>
            <w:sz w:val="24"/>
            <w:szCs w:val="24"/>
          </w:rPr>
          <w:instrText xml:space="preserve"> PAGEREF _Toc216525115 \h </w:instrText>
        </w:r>
        <w:r w:rsidRPr="006249FB">
          <w:rPr>
            <w:rFonts w:ascii="Garamond" w:hAnsi="Garamond"/>
            <w:b w:val="0"/>
            <w:bCs w:val="0"/>
            <w:noProof/>
            <w:webHidden/>
            <w:sz w:val="24"/>
            <w:szCs w:val="24"/>
          </w:rPr>
        </w:r>
        <w:r w:rsidRPr="006249FB">
          <w:rPr>
            <w:rFonts w:ascii="Garamond" w:hAnsi="Garamond"/>
            <w:b w:val="0"/>
            <w:bCs w:val="0"/>
            <w:noProof/>
            <w:webHidden/>
            <w:sz w:val="24"/>
            <w:szCs w:val="24"/>
          </w:rPr>
          <w:fldChar w:fldCharType="separate"/>
        </w:r>
        <w:r w:rsidRPr="006249FB">
          <w:rPr>
            <w:rFonts w:ascii="Garamond" w:hAnsi="Garamond"/>
            <w:b w:val="0"/>
            <w:bCs w:val="0"/>
            <w:noProof/>
            <w:webHidden/>
            <w:sz w:val="24"/>
            <w:szCs w:val="24"/>
          </w:rPr>
          <w:t>4</w:t>
        </w:r>
        <w:r w:rsidRPr="006249FB">
          <w:rPr>
            <w:rFonts w:ascii="Garamond" w:hAnsi="Garamond"/>
            <w:b w:val="0"/>
            <w:bCs w:val="0"/>
            <w:noProof/>
            <w:webHidden/>
            <w:sz w:val="24"/>
            <w:szCs w:val="24"/>
          </w:rPr>
          <w:fldChar w:fldCharType="end"/>
        </w:r>
      </w:hyperlink>
    </w:p>
    <w:p w14:paraId="08480413" w14:textId="2B7D4C29" w:rsidR="006249FB" w:rsidRPr="006249FB" w:rsidRDefault="006249FB">
      <w:pPr>
        <w:pStyle w:val="TOC2"/>
        <w:tabs>
          <w:tab w:val="right" w:leader="dot" w:pos="9350"/>
        </w:tabs>
        <w:rPr>
          <w:rFonts w:ascii="Garamond" w:eastAsiaTheme="minorEastAsia" w:hAnsi="Garamond" w:cstheme="minorBidi"/>
          <w:b w:val="0"/>
          <w:bCs w:val="0"/>
          <w:noProof/>
          <w:spacing w:val="0"/>
          <w:kern w:val="2"/>
          <w:sz w:val="24"/>
          <w:szCs w:val="24"/>
          <w:lang w:val="en-UA" w:eastAsia="en-GB"/>
          <w14:ligatures w14:val="standardContextual"/>
        </w:rPr>
      </w:pPr>
      <w:hyperlink w:anchor="_Toc216525116" w:history="1">
        <w:r w:rsidRPr="006249FB">
          <w:rPr>
            <w:rStyle w:val="Hyperlink"/>
            <w:rFonts w:ascii="Garamond" w:hAnsi="Garamond"/>
            <w:b w:val="0"/>
            <w:bCs w:val="0"/>
            <w:noProof/>
            <w:sz w:val="24"/>
            <w:szCs w:val="24"/>
          </w:rPr>
          <w:t>1.2 Vertical price transmission and agricultural price formation</w:t>
        </w:r>
        <w:r w:rsidRPr="006249FB">
          <w:rPr>
            <w:rFonts w:ascii="Garamond" w:hAnsi="Garamond"/>
            <w:b w:val="0"/>
            <w:bCs w:val="0"/>
            <w:noProof/>
            <w:webHidden/>
            <w:sz w:val="24"/>
            <w:szCs w:val="24"/>
          </w:rPr>
          <w:tab/>
        </w:r>
        <w:r w:rsidRPr="006249FB">
          <w:rPr>
            <w:rFonts w:ascii="Garamond" w:hAnsi="Garamond"/>
            <w:b w:val="0"/>
            <w:bCs w:val="0"/>
            <w:noProof/>
            <w:webHidden/>
            <w:sz w:val="24"/>
            <w:szCs w:val="24"/>
          </w:rPr>
          <w:fldChar w:fldCharType="begin"/>
        </w:r>
        <w:r w:rsidRPr="006249FB">
          <w:rPr>
            <w:rFonts w:ascii="Garamond" w:hAnsi="Garamond"/>
            <w:b w:val="0"/>
            <w:bCs w:val="0"/>
            <w:noProof/>
            <w:webHidden/>
            <w:sz w:val="24"/>
            <w:szCs w:val="24"/>
          </w:rPr>
          <w:instrText xml:space="preserve"> PAGEREF _Toc216525116 \h </w:instrText>
        </w:r>
        <w:r w:rsidRPr="006249FB">
          <w:rPr>
            <w:rFonts w:ascii="Garamond" w:hAnsi="Garamond"/>
            <w:b w:val="0"/>
            <w:bCs w:val="0"/>
            <w:noProof/>
            <w:webHidden/>
            <w:sz w:val="24"/>
            <w:szCs w:val="24"/>
          </w:rPr>
        </w:r>
        <w:r w:rsidRPr="006249FB">
          <w:rPr>
            <w:rFonts w:ascii="Garamond" w:hAnsi="Garamond"/>
            <w:b w:val="0"/>
            <w:bCs w:val="0"/>
            <w:noProof/>
            <w:webHidden/>
            <w:sz w:val="24"/>
            <w:szCs w:val="24"/>
          </w:rPr>
          <w:fldChar w:fldCharType="separate"/>
        </w:r>
        <w:r w:rsidRPr="006249FB">
          <w:rPr>
            <w:rFonts w:ascii="Garamond" w:hAnsi="Garamond"/>
            <w:b w:val="0"/>
            <w:bCs w:val="0"/>
            <w:noProof/>
            <w:webHidden/>
            <w:sz w:val="24"/>
            <w:szCs w:val="24"/>
          </w:rPr>
          <w:t>5</w:t>
        </w:r>
        <w:r w:rsidRPr="006249FB">
          <w:rPr>
            <w:rFonts w:ascii="Garamond" w:hAnsi="Garamond"/>
            <w:b w:val="0"/>
            <w:bCs w:val="0"/>
            <w:noProof/>
            <w:webHidden/>
            <w:sz w:val="24"/>
            <w:szCs w:val="24"/>
          </w:rPr>
          <w:fldChar w:fldCharType="end"/>
        </w:r>
      </w:hyperlink>
    </w:p>
    <w:p w14:paraId="4DD1094B" w14:textId="19D8F728" w:rsidR="006249FB" w:rsidRPr="006249FB" w:rsidRDefault="006249FB">
      <w:pPr>
        <w:pStyle w:val="TOC2"/>
        <w:tabs>
          <w:tab w:val="right" w:leader="dot" w:pos="9350"/>
        </w:tabs>
        <w:rPr>
          <w:rFonts w:ascii="Garamond" w:eastAsiaTheme="minorEastAsia" w:hAnsi="Garamond" w:cstheme="minorBidi"/>
          <w:b w:val="0"/>
          <w:bCs w:val="0"/>
          <w:noProof/>
          <w:spacing w:val="0"/>
          <w:kern w:val="2"/>
          <w:sz w:val="24"/>
          <w:szCs w:val="24"/>
          <w:lang w:val="en-UA" w:eastAsia="en-GB"/>
          <w14:ligatures w14:val="standardContextual"/>
        </w:rPr>
      </w:pPr>
      <w:hyperlink w:anchor="_Toc216525117" w:history="1">
        <w:r w:rsidRPr="006249FB">
          <w:rPr>
            <w:rStyle w:val="Hyperlink"/>
            <w:rFonts w:ascii="Garamond" w:hAnsi="Garamond"/>
            <w:b w:val="0"/>
            <w:bCs w:val="0"/>
            <w:noProof/>
            <w:sz w:val="24"/>
            <w:szCs w:val="24"/>
          </w:rPr>
          <w:t>1.3 Price monitoring, international benchmarks and Ukrainian dairy evidence</w:t>
        </w:r>
        <w:r w:rsidRPr="006249FB">
          <w:rPr>
            <w:rFonts w:ascii="Garamond" w:hAnsi="Garamond"/>
            <w:b w:val="0"/>
            <w:bCs w:val="0"/>
            <w:noProof/>
            <w:webHidden/>
            <w:sz w:val="24"/>
            <w:szCs w:val="24"/>
          </w:rPr>
          <w:tab/>
        </w:r>
        <w:r w:rsidRPr="006249FB">
          <w:rPr>
            <w:rFonts w:ascii="Garamond" w:hAnsi="Garamond"/>
            <w:b w:val="0"/>
            <w:bCs w:val="0"/>
            <w:noProof/>
            <w:webHidden/>
            <w:sz w:val="24"/>
            <w:szCs w:val="24"/>
          </w:rPr>
          <w:fldChar w:fldCharType="begin"/>
        </w:r>
        <w:r w:rsidRPr="006249FB">
          <w:rPr>
            <w:rFonts w:ascii="Garamond" w:hAnsi="Garamond"/>
            <w:b w:val="0"/>
            <w:bCs w:val="0"/>
            <w:noProof/>
            <w:webHidden/>
            <w:sz w:val="24"/>
            <w:szCs w:val="24"/>
          </w:rPr>
          <w:instrText xml:space="preserve"> PAGEREF _Toc216525117 \h </w:instrText>
        </w:r>
        <w:r w:rsidRPr="006249FB">
          <w:rPr>
            <w:rFonts w:ascii="Garamond" w:hAnsi="Garamond"/>
            <w:b w:val="0"/>
            <w:bCs w:val="0"/>
            <w:noProof/>
            <w:webHidden/>
            <w:sz w:val="24"/>
            <w:szCs w:val="24"/>
          </w:rPr>
        </w:r>
        <w:r w:rsidRPr="006249FB">
          <w:rPr>
            <w:rFonts w:ascii="Garamond" w:hAnsi="Garamond"/>
            <w:b w:val="0"/>
            <w:bCs w:val="0"/>
            <w:noProof/>
            <w:webHidden/>
            <w:sz w:val="24"/>
            <w:szCs w:val="24"/>
          </w:rPr>
          <w:fldChar w:fldCharType="separate"/>
        </w:r>
        <w:r w:rsidRPr="006249FB">
          <w:rPr>
            <w:rFonts w:ascii="Garamond" w:hAnsi="Garamond"/>
            <w:b w:val="0"/>
            <w:bCs w:val="0"/>
            <w:noProof/>
            <w:webHidden/>
            <w:sz w:val="24"/>
            <w:szCs w:val="24"/>
          </w:rPr>
          <w:t>7</w:t>
        </w:r>
        <w:r w:rsidRPr="006249FB">
          <w:rPr>
            <w:rFonts w:ascii="Garamond" w:hAnsi="Garamond"/>
            <w:b w:val="0"/>
            <w:bCs w:val="0"/>
            <w:noProof/>
            <w:webHidden/>
            <w:sz w:val="24"/>
            <w:szCs w:val="24"/>
          </w:rPr>
          <w:fldChar w:fldCharType="end"/>
        </w:r>
      </w:hyperlink>
    </w:p>
    <w:p w14:paraId="675E6B85" w14:textId="7D0F3F55"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18" w:history="1">
        <w:r w:rsidRPr="006249FB">
          <w:rPr>
            <w:rStyle w:val="Hyperlink"/>
            <w:rFonts w:ascii="Garamond" w:hAnsi="Garamond"/>
            <w:b w:val="0"/>
            <w:bCs w:val="0"/>
            <w:noProof/>
          </w:rPr>
          <w:t>METHODOLOGY</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_Toc216525118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9</w:t>
        </w:r>
        <w:r w:rsidRPr="006249FB">
          <w:rPr>
            <w:rFonts w:ascii="Garamond" w:hAnsi="Garamond"/>
            <w:b w:val="0"/>
            <w:bCs w:val="0"/>
            <w:noProof/>
            <w:webHidden/>
          </w:rPr>
          <w:fldChar w:fldCharType="end"/>
        </w:r>
      </w:hyperlink>
    </w:p>
    <w:p w14:paraId="2C4FAF06" w14:textId="37F792A8" w:rsidR="006249FB" w:rsidRPr="006249FB" w:rsidRDefault="006249FB">
      <w:pPr>
        <w:pStyle w:val="TOC2"/>
        <w:tabs>
          <w:tab w:val="right" w:leader="dot" w:pos="9350"/>
        </w:tabs>
        <w:rPr>
          <w:rFonts w:ascii="Garamond" w:eastAsiaTheme="minorEastAsia" w:hAnsi="Garamond" w:cstheme="minorBidi"/>
          <w:b w:val="0"/>
          <w:bCs w:val="0"/>
          <w:noProof/>
          <w:spacing w:val="0"/>
          <w:kern w:val="2"/>
          <w:sz w:val="24"/>
          <w:szCs w:val="24"/>
          <w:lang w:val="en-UA" w:eastAsia="en-GB"/>
          <w14:ligatures w14:val="standardContextual"/>
        </w:rPr>
      </w:pPr>
      <w:hyperlink w:anchor="_Toc216525119" w:history="1">
        <w:r w:rsidRPr="006249FB">
          <w:rPr>
            <w:rStyle w:val="Hyperlink"/>
            <w:rFonts w:ascii="Garamond" w:hAnsi="Garamond"/>
            <w:b w:val="0"/>
            <w:bCs w:val="0"/>
            <w:noProof/>
            <w:sz w:val="24"/>
            <w:szCs w:val="24"/>
            <w:lang w:val="en-UA"/>
          </w:rPr>
          <w:t>3.1 Data structure and transformation</w:t>
        </w:r>
        <w:r w:rsidRPr="006249FB">
          <w:rPr>
            <w:rFonts w:ascii="Garamond" w:hAnsi="Garamond"/>
            <w:b w:val="0"/>
            <w:bCs w:val="0"/>
            <w:noProof/>
            <w:webHidden/>
            <w:sz w:val="24"/>
            <w:szCs w:val="24"/>
          </w:rPr>
          <w:tab/>
        </w:r>
        <w:r w:rsidRPr="006249FB">
          <w:rPr>
            <w:rFonts w:ascii="Garamond" w:hAnsi="Garamond"/>
            <w:b w:val="0"/>
            <w:bCs w:val="0"/>
            <w:noProof/>
            <w:webHidden/>
            <w:sz w:val="24"/>
            <w:szCs w:val="24"/>
          </w:rPr>
          <w:fldChar w:fldCharType="begin"/>
        </w:r>
        <w:r w:rsidRPr="006249FB">
          <w:rPr>
            <w:rFonts w:ascii="Garamond" w:hAnsi="Garamond"/>
            <w:b w:val="0"/>
            <w:bCs w:val="0"/>
            <w:noProof/>
            <w:webHidden/>
            <w:sz w:val="24"/>
            <w:szCs w:val="24"/>
          </w:rPr>
          <w:instrText xml:space="preserve"> PAGEREF _Toc216525119 \h </w:instrText>
        </w:r>
        <w:r w:rsidRPr="006249FB">
          <w:rPr>
            <w:rFonts w:ascii="Garamond" w:hAnsi="Garamond"/>
            <w:b w:val="0"/>
            <w:bCs w:val="0"/>
            <w:noProof/>
            <w:webHidden/>
            <w:sz w:val="24"/>
            <w:szCs w:val="24"/>
          </w:rPr>
        </w:r>
        <w:r w:rsidRPr="006249FB">
          <w:rPr>
            <w:rFonts w:ascii="Garamond" w:hAnsi="Garamond"/>
            <w:b w:val="0"/>
            <w:bCs w:val="0"/>
            <w:noProof/>
            <w:webHidden/>
            <w:sz w:val="24"/>
            <w:szCs w:val="24"/>
          </w:rPr>
          <w:fldChar w:fldCharType="separate"/>
        </w:r>
        <w:r w:rsidRPr="006249FB">
          <w:rPr>
            <w:rFonts w:ascii="Garamond" w:hAnsi="Garamond"/>
            <w:b w:val="0"/>
            <w:bCs w:val="0"/>
            <w:noProof/>
            <w:webHidden/>
            <w:sz w:val="24"/>
            <w:szCs w:val="24"/>
          </w:rPr>
          <w:t>9</w:t>
        </w:r>
        <w:r w:rsidRPr="006249FB">
          <w:rPr>
            <w:rFonts w:ascii="Garamond" w:hAnsi="Garamond"/>
            <w:b w:val="0"/>
            <w:bCs w:val="0"/>
            <w:noProof/>
            <w:webHidden/>
            <w:sz w:val="24"/>
            <w:szCs w:val="24"/>
          </w:rPr>
          <w:fldChar w:fldCharType="end"/>
        </w:r>
      </w:hyperlink>
    </w:p>
    <w:p w14:paraId="07FA4DA1" w14:textId="400E8F37" w:rsidR="006249FB" w:rsidRPr="006249FB" w:rsidRDefault="006249FB">
      <w:pPr>
        <w:pStyle w:val="TOC2"/>
        <w:tabs>
          <w:tab w:val="right" w:leader="dot" w:pos="9350"/>
        </w:tabs>
        <w:rPr>
          <w:rFonts w:ascii="Garamond" w:eastAsiaTheme="minorEastAsia" w:hAnsi="Garamond" w:cstheme="minorBidi"/>
          <w:b w:val="0"/>
          <w:bCs w:val="0"/>
          <w:noProof/>
          <w:spacing w:val="0"/>
          <w:kern w:val="2"/>
          <w:sz w:val="24"/>
          <w:szCs w:val="24"/>
          <w:lang w:val="en-UA" w:eastAsia="en-GB"/>
          <w14:ligatures w14:val="standardContextual"/>
        </w:rPr>
      </w:pPr>
      <w:hyperlink w:anchor="_Toc216525120" w:history="1">
        <w:r w:rsidRPr="006249FB">
          <w:rPr>
            <w:rStyle w:val="Hyperlink"/>
            <w:rFonts w:ascii="Garamond" w:hAnsi="Garamond"/>
            <w:b w:val="0"/>
            <w:bCs w:val="0"/>
            <w:noProof/>
            <w:sz w:val="24"/>
            <w:szCs w:val="24"/>
          </w:rPr>
          <w:t>3.2 Long-run relationship and error-correction structure</w:t>
        </w:r>
        <w:r w:rsidRPr="006249FB">
          <w:rPr>
            <w:rFonts w:ascii="Garamond" w:hAnsi="Garamond"/>
            <w:b w:val="0"/>
            <w:bCs w:val="0"/>
            <w:noProof/>
            <w:webHidden/>
            <w:sz w:val="24"/>
            <w:szCs w:val="24"/>
          </w:rPr>
          <w:tab/>
        </w:r>
        <w:r w:rsidRPr="006249FB">
          <w:rPr>
            <w:rFonts w:ascii="Garamond" w:hAnsi="Garamond"/>
            <w:b w:val="0"/>
            <w:bCs w:val="0"/>
            <w:noProof/>
            <w:webHidden/>
            <w:sz w:val="24"/>
            <w:szCs w:val="24"/>
          </w:rPr>
          <w:fldChar w:fldCharType="begin"/>
        </w:r>
        <w:r w:rsidRPr="006249FB">
          <w:rPr>
            <w:rFonts w:ascii="Garamond" w:hAnsi="Garamond"/>
            <w:b w:val="0"/>
            <w:bCs w:val="0"/>
            <w:noProof/>
            <w:webHidden/>
            <w:sz w:val="24"/>
            <w:szCs w:val="24"/>
          </w:rPr>
          <w:instrText xml:space="preserve"> PAGEREF _Toc216525120 \h </w:instrText>
        </w:r>
        <w:r w:rsidRPr="006249FB">
          <w:rPr>
            <w:rFonts w:ascii="Garamond" w:hAnsi="Garamond"/>
            <w:b w:val="0"/>
            <w:bCs w:val="0"/>
            <w:noProof/>
            <w:webHidden/>
            <w:sz w:val="24"/>
            <w:szCs w:val="24"/>
          </w:rPr>
        </w:r>
        <w:r w:rsidRPr="006249FB">
          <w:rPr>
            <w:rFonts w:ascii="Garamond" w:hAnsi="Garamond"/>
            <w:b w:val="0"/>
            <w:bCs w:val="0"/>
            <w:noProof/>
            <w:webHidden/>
            <w:sz w:val="24"/>
            <w:szCs w:val="24"/>
          </w:rPr>
          <w:fldChar w:fldCharType="separate"/>
        </w:r>
        <w:r w:rsidRPr="006249FB">
          <w:rPr>
            <w:rFonts w:ascii="Garamond" w:hAnsi="Garamond"/>
            <w:b w:val="0"/>
            <w:bCs w:val="0"/>
            <w:noProof/>
            <w:webHidden/>
            <w:sz w:val="24"/>
            <w:szCs w:val="24"/>
          </w:rPr>
          <w:t>11</w:t>
        </w:r>
        <w:r w:rsidRPr="006249FB">
          <w:rPr>
            <w:rFonts w:ascii="Garamond" w:hAnsi="Garamond"/>
            <w:b w:val="0"/>
            <w:bCs w:val="0"/>
            <w:noProof/>
            <w:webHidden/>
            <w:sz w:val="24"/>
            <w:szCs w:val="24"/>
          </w:rPr>
          <w:fldChar w:fldCharType="end"/>
        </w:r>
      </w:hyperlink>
    </w:p>
    <w:p w14:paraId="2880C1CD" w14:textId="4D5B21D1" w:rsidR="006249FB" w:rsidRPr="006249FB" w:rsidRDefault="006249FB">
      <w:pPr>
        <w:pStyle w:val="TOC2"/>
        <w:tabs>
          <w:tab w:val="right" w:leader="dot" w:pos="9350"/>
        </w:tabs>
        <w:rPr>
          <w:rFonts w:ascii="Garamond" w:eastAsiaTheme="minorEastAsia" w:hAnsi="Garamond" w:cstheme="minorBidi"/>
          <w:b w:val="0"/>
          <w:bCs w:val="0"/>
          <w:noProof/>
          <w:spacing w:val="0"/>
          <w:kern w:val="2"/>
          <w:sz w:val="24"/>
          <w:szCs w:val="24"/>
          <w:lang w:val="en-UA" w:eastAsia="en-GB"/>
          <w14:ligatures w14:val="standardContextual"/>
        </w:rPr>
      </w:pPr>
      <w:hyperlink w:anchor="_Toc216525121" w:history="1">
        <w:r w:rsidRPr="006249FB">
          <w:rPr>
            <w:rStyle w:val="Hyperlink"/>
            <w:rFonts w:ascii="Garamond" w:hAnsi="Garamond"/>
            <w:b w:val="0"/>
            <w:bCs w:val="0"/>
            <w:noProof/>
            <w:sz w:val="24"/>
            <w:szCs w:val="24"/>
            <w:lang w:val="en-UA" w:eastAsia="en-GB"/>
          </w:rPr>
          <w:t xml:space="preserve">3.3 </w:t>
        </w:r>
        <w:r w:rsidRPr="006249FB">
          <w:rPr>
            <w:rStyle w:val="Hyperlink"/>
            <w:rFonts w:ascii="Garamond" w:hAnsi="Garamond"/>
            <w:b w:val="0"/>
            <w:bCs w:val="0"/>
            <w:noProof/>
            <w:sz w:val="24"/>
            <w:szCs w:val="24"/>
          </w:rPr>
          <w:t>Price leadership, two-way vertical transmission, external-market influence, and inter-product linkages</w:t>
        </w:r>
        <w:r w:rsidRPr="006249FB">
          <w:rPr>
            <w:rFonts w:ascii="Garamond" w:hAnsi="Garamond"/>
            <w:b w:val="0"/>
            <w:bCs w:val="0"/>
            <w:noProof/>
            <w:webHidden/>
            <w:sz w:val="24"/>
            <w:szCs w:val="24"/>
          </w:rPr>
          <w:tab/>
        </w:r>
        <w:r w:rsidRPr="006249FB">
          <w:rPr>
            <w:rFonts w:ascii="Garamond" w:hAnsi="Garamond"/>
            <w:b w:val="0"/>
            <w:bCs w:val="0"/>
            <w:noProof/>
            <w:webHidden/>
            <w:sz w:val="24"/>
            <w:szCs w:val="24"/>
          </w:rPr>
          <w:fldChar w:fldCharType="begin"/>
        </w:r>
        <w:r w:rsidRPr="006249FB">
          <w:rPr>
            <w:rFonts w:ascii="Garamond" w:hAnsi="Garamond"/>
            <w:b w:val="0"/>
            <w:bCs w:val="0"/>
            <w:noProof/>
            <w:webHidden/>
            <w:sz w:val="24"/>
            <w:szCs w:val="24"/>
          </w:rPr>
          <w:instrText xml:space="preserve"> PAGEREF _Toc216525121 \h </w:instrText>
        </w:r>
        <w:r w:rsidRPr="006249FB">
          <w:rPr>
            <w:rFonts w:ascii="Garamond" w:hAnsi="Garamond"/>
            <w:b w:val="0"/>
            <w:bCs w:val="0"/>
            <w:noProof/>
            <w:webHidden/>
            <w:sz w:val="24"/>
            <w:szCs w:val="24"/>
          </w:rPr>
        </w:r>
        <w:r w:rsidRPr="006249FB">
          <w:rPr>
            <w:rFonts w:ascii="Garamond" w:hAnsi="Garamond"/>
            <w:b w:val="0"/>
            <w:bCs w:val="0"/>
            <w:noProof/>
            <w:webHidden/>
            <w:sz w:val="24"/>
            <w:szCs w:val="24"/>
          </w:rPr>
          <w:fldChar w:fldCharType="separate"/>
        </w:r>
        <w:r w:rsidRPr="006249FB">
          <w:rPr>
            <w:rFonts w:ascii="Garamond" w:hAnsi="Garamond"/>
            <w:b w:val="0"/>
            <w:bCs w:val="0"/>
            <w:noProof/>
            <w:webHidden/>
            <w:sz w:val="24"/>
            <w:szCs w:val="24"/>
          </w:rPr>
          <w:t>13</w:t>
        </w:r>
        <w:r w:rsidRPr="006249FB">
          <w:rPr>
            <w:rFonts w:ascii="Garamond" w:hAnsi="Garamond"/>
            <w:b w:val="0"/>
            <w:bCs w:val="0"/>
            <w:noProof/>
            <w:webHidden/>
            <w:sz w:val="24"/>
            <w:szCs w:val="24"/>
          </w:rPr>
          <w:fldChar w:fldCharType="end"/>
        </w:r>
      </w:hyperlink>
    </w:p>
    <w:p w14:paraId="6E97A4AB" w14:textId="2C538F70"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22" w:history="1">
        <w:r w:rsidRPr="006249FB">
          <w:rPr>
            <w:rStyle w:val="Hyperlink"/>
            <w:rFonts w:ascii="Garamond" w:hAnsi="Garamond"/>
            <w:b w:val="0"/>
            <w:bCs w:val="0"/>
            <w:noProof/>
          </w:rPr>
          <w:t>DATA</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_Toc216525122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17</w:t>
        </w:r>
        <w:r w:rsidRPr="006249FB">
          <w:rPr>
            <w:rFonts w:ascii="Garamond" w:hAnsi="Garamond"/>
            <w:b w:val="0"/>
            <w:bCs w:val="0"/>
            <w:noProof/>
            <w:webHidden/>
          </w:rPr>
          <w:fldChar w:fldCharType="end"/>
        </w:r>
      </w:hyperlink>
    </w:p>
    <w:p w14:paraId="4A953419" w14:textId="0537063C" w:rsidR="006249FB" w:rsidRPr="006249FB" w:rsidRDefault="006249FB">
      <w:pPr>
        <w:pStyle w:val="TOC1"/>
        <w:tabs>
          <w:tab w:val="right" w:leader="dot" w:pos="9350"/>
        </w:tabs>
        <w:rPr>
          <w:rFonts w:ascii="Garamond" w:eastAsiaTheme="minorEastAsia" w:hAnsi="Garamond" w:cstheme="minorBidi"/>
          <w:b w:val="0"/>
          <w:bCs w:val="0"/>
          <w:caps w:val="0"/>
          <w:noProof/>
          <w:spacing w:val="0"/>
          <w:kern w:val="2"/>
          <w:lang w:val="en-UA" w:eastAsia="en-GB"/>
          <w14:ligatures w14:val="standardContextual"/>
        </w:rPr>
      </w:pPr>
      <w:hyperlink w:anchor="_Toc216525123" w:history="1">
        <w:r w:rsidRPr="006249FB">
          <w:rPr>
            <w:rStyle w:val="Hyperlink"/>
            <w:rFonts w:ascii="Garamond" w:hAnsi="Garamond"/>
            <w:b w:val="0"/>
            <w:bCs w:val="0"/>
            <w:noProof/>
          </w:rPr>
          <w:t>WORKS CITED</w:t>
        </w:r>
        <w:r w:rsidRPr="006249FB">
          <w:rPr>
            <w:rFonts w:ascii="Garamond" w:hAnsi="Garamond"/>
            <w:b w:val="0"/>
            <w:bCs w:val="0"/>
            <w:noProof/>
            <w:webHidden/>
          </w:rPr>
          <w:tab/>
        </w:r>
        <w:r w:rsidRPr="006249FB">
          <w:rPr>
            <w:rFonts w:ascii="Garamond" w:hAnsi="Garamond"/>
            <w:b w:val="0"/>
            <w:bCs w:val="0"/>
            <w:noProof/>
            <w:webHidden/>
          </w:rPr>
          <w:fldChar w:fldCharType="begin"/>
        </w:r>
        <w:r w:rsidRPr="006249FB">
          <w:rPr>
            <w:rFonts w:ascii="Garamond" w:hAnsi="Garamond"/>
            <w:b w:val="0"/>
            <w:bCs w:val="0"/>
            <w:noProof/>
            <w:webHidden/>
          </w:rPr>
          <w:instrText xml:space="preserve"> PAGEREF _Toc216525123 \h </w:instrText>
        </w:r>
        <w:r w:rsidRPr="006249FB">
          <w:rPr>
            <w:rFonts w:ascii="Garamond" w:hAnsi="Garamond"/>
            <w:b w:val="0"/>
            <w:bCs w:val="0"/>
            <w:noProof/>
            <w:webHidden/>
          </w:rPr>
        </w:r>
        <w:r w:rsidRPr="006249FB">
          <w:rPr>
            <w:rFonts w:ascii="Garamond" w:hAnsi="Garamond"/>
            <w:b w:val="0"/>
            <w:bCs w:val="0"/>
            <w:noProof/>
            <w:webHidden/>
          </w:rPr>
          <w:fldChar w:fldCharType="separate"/>
        </w:r>
        <w:r w:rsidRPr="006249FB">
          <w:rPr>
            <w:rFonts w:ascii="Garamond" w:hAnsi="Garamond"/>
            <w:b w:val="0"/>
            <w:bCs w:val="0"/>
            <w:noProof/>
            <w:webHidden/>
          </w:rPr>
          <w:t>1</w:t>
        </w:r>
        <w:r w:rsidRPr="006249FB">
          <w:rPr>
            <w:rFonts w:ascii="Garamond" w:hAnsi="Garamond"/>
            <w:b w:val="0"/>
            <w:bCs w:val="0"/>
            <w:noProof/>
            <w:webHidden/>
          </w:rPr>
          <w:fldChar w:fldCharType="end"/>
        </w:r>
      </w:hyperlink>
    </w:p>
    <w:p w14:paraId="31367498" w14:textId="58FC8636" w:rsidR="0016261E" w:rsidRPr="0033435D" w:rsidRDefault="0016261E" w:rsidP="00053940">
      <w:pPr>
        <w:spacing w:line="360" w:lineRule="auto"/>
        <w:jc w:val="both"/>
        <w:rPr>
          <w:szCs w:val="24"/>
        </w:rPr>
      </w:pPr>
      <w:r w:rsidRPr="006249FB">
        <w:rPr>
          <w:szCs w:val="24"/>
        </w:rPr>
        <w:fldChar w:fldCharType="end"/>
      </w:r>
    </w:p>
    <w:p w14:paraId="72C1802E" w14:textId="77777777" w:rsidR="005A24A5" w:rsidRPr="0033435D" w:rsidRDefault="005A24A5" w:rsidP="00053940">
      <w:pPr>
        <w:spacing w:after="160" w:line="360" w:lineRule="auto"/>
        <w:jc w:val="both"/>
        <w:rPr>
          <w:rFonts w:eastAsiaTheme="majorEastAsia" w:cstheme="majorBidi"/>
          <w:color w:val="000000" w:themeColor="text1"/>
          <w:szCs w:val="24"/>
        </w:rPr>
      </w:pPr>
      <w:bookmarkStart w:id="0" w:name="_Toc514521503"/>
      <w:bookmarkStart w:id="1" w:name="_Toc514521542"/>
      <w:bookmarkStart w:id="2" w:name="_Toc7187255"/>
      <w:bookmarkStart w:id="3" w:name="_Toc7187699"/>
      <w:bookmarkStart w:id="4" w:name="_Toc7187735"/>
      <w:bookmarkStart w:id="5" w:name="_Toc66809559"/>
      <w:bookmarkStart w:id="6" w:name="_Toc66810527"/>
      <w:r w:rsidRPr="0033435D">
        <w:rPr>
          <w:szCs w:val="24"/>
        </w:rPr>
        <w:br w:type="page"/>
      </w:r>
    </w:p>
    <w:p w14:paraId="7AD28D11" w14:textId="77777777" w:rsidR="005A24A5" w:rsidRPr="0033435D" w:rsidRDefault="005A24A5" w:rsidP="00053940">
      <w:pPr>
        <w:pStyle w:val="Heading1"/>
      </w:pPr>
      <w:bookmarkStart w:id="7" w:name="_Toc216525110"/>
      <w:r w:rsidRPr="0033435D">
        <w:lastRenderedPageBreak/>
        <w:t>LIST OF FIGURES</w:t>
      </w:r>
      <w:bookmarkEnd w:id="7"/>
      <w:r w:rsidRPr="0033435D">
        <w:t xml:space="preserve"> </w:t>
      </w:r>
    </w:p>
    <w:p w14:paraId="5309EAF3" w14:textId="77777777" w:rsidR="005A24A5" w:rsidRPr="0033435D" w:rsidRDefault="005A24A5" w:rsidP="00053940">
      <w:pPr>
        <w:spacing w:after="160" w:line="360" w:lineRule="auto"/>
        <w:jc w:val="both"/>
        <w:rPr>
          <w:rFonts w:eastAsiaTheme="majorEastAsia" w:cstheme="majorBidi"/>
          <w:b/>
          <w:color w:val="000000" w:themeColor="text1"/>
          <w:szCs w:val="24"/>
        </w:rPr>
      </w:pPr>
      <w:r w:rsidRPr="0033435D">
        <w:rPr>
          <w:szCs w:val="24"/>
        </w:rPr>
        <w:br w:type="page"/>
      </w:r>
    </w:p>
    <w:p w14:paraId="0CFF7BF3" w14:textId="77777777" w:rsidR="005A24A5" w:rsidRPr="0033435D" w:rsidRDefault="005A24A5" w:rsidP="00053940">
      <w:pPr>
        <w:pStyle w:val="Heading1"/>
      </w:pPr>
      <w:bookmarkStart w:id="8" w:name="_Toc216525111"/>
      <w:r w:rsidRPr="0033435D">
        <w:lastRenderedPageBreak/>
        <w:t>LIST OF TABLES</w:t>
      </w:r>
      <w:bookmarkEnd w:id="8"/>
      <w:r w:rsidRPr="0033435D">
        <w:t xml:space="preserve"> </w:t>
      </w:r>
    </w:p>
    <w:p w14:paraId="5BC77007" w14:textId="77777777" w:rsidR="005A24A5" w:rsidRPr="0033435D" w:rsidRDefault="005A24A5" w:rsidP="00053940">
      <w:pPr>
        <w:spacing w:after="160" w:line="360" w:lineRule="auto"/>
        <w:jc w:val="both"/>
        <w:rPr>
          <w:rFonts w:eastAsiaTheme="majorEastAsia" w:cstheme="majorBidi"/>
          <w:b/>
          <w:color w:val="000000" w:themeColor="text1"/>
          <w:szCs w:val="24"/>
        </w:rPr>
      </w:pPr>
      <w:r w:rsidRPr="0033435D">
        <w:rPr>
          <w:szCs w:val="24"/>
        </w:rPr>
        <w:br w:type="page"/>
      </w:r>
    </w:p>
    <w:p w14:paraId="30839D27" w14:textId="77777777" w:rsidR="005A24A5" w:rsidRPr="0033435D" w:rsidRDefault="005A24A5" w:rsidP="00053940">
      <w:pPr>
        <w:pStyle w:val="Heading1"/>
      </w:pPr>
      <w:bookmarkStart w:id="9" w:name="_Toc216525112"/>
      <w:r w:rsidRPr="0033435D">
        <w:lastRenderedPageBreak/>
        <w:t>ACKNOWLEDGMENTS</w:t>
      </w:r>
      <w:bookmarkEnd w:id="9"/>
      <w:r w:rsidRPr="0033435D">
        <w:t xml:space="preserve"> </w:t>
      </w:r>
    </w:p>
    <w:p w14:paraId="26297D72" w14:textId="77777777" w:rsidR="00370AD1" w:rsidRPr="0033435D" w:rsidRDefault="00370AD1" w:rsidP="00053940">
      <w:pPr>
        <w:pStyle w:val="Heading1"/>
        <w:jc w:val="both"/>
        <w:sectPr w:rsidR="00370AD1" w:rsidRPr="0033435D" w:rsidSect="00370AD1">
          <w:headerReference w:type="default" r:id="rId8"/>
          <w:footerReference w:type="even" r:id="rId9"/>
          <w:footerReference w:type="default" r:id="rId10"/>
          <w:pgSz w:w="12240" w:h="15840"/>
          <w:pgMar w:top="1440" w:right="1440" w:bottom="1440" w:left="1440" w:header="708" w:footer="708" w:gutter="0"/>
          <w:pgNumType w:fmt="lowerRoman"/>
          <w:cols w:space="708"/>
          <w:docGrid w:linePitch="360"/>
        </w:sectPr>
      </w:pPr>
    </w:p>
    <w:p w14:paraId="71FD5EC7" w14:textId="7C232D6E" w:rsidR="009E6092" w:rsidRDefault="00A940CE" w:rsidP="0071132E">
      <w:pPr>
        <w:pStyle w:val="Heading1"/>
      </w:pPr>
      <w:bookmarkStart w:id="10" w:name="_Toc216525113"/>
      <w:r w:rsidRPr="0033435D">
        <w:lastRenderedPageBreak/>
        <w:t>INT</w:t>
      </w:r>
      <w:r w:rsidR="00CD4FE5" w:rsidRPr="0033435D">
        <w:t>R</w:t>
      </w:r>
      <w:r w:rsidRPr="0033435D">
        <w:t>ODUCTION</w:t>
      </w:r>
      <w:bookmarkEnd w:id="10"/>
    </w:p>
    <w:p w14:paraId="2AD9E674" w14:textId="003F6899" w:rsidR="009E6092" w:rsidRPr="0071132E" w:rsidRDefault="009E6092" w:rsidP="0071132E">
      <w:pPr>
        <w:rPr>
          <w:rFonts w:ascii="Times New Roman" w:hAnsi="Times New Roman"/>
          <w:spacing w:val="0"/>
          <w:lang w:eastAsia="en-GB"/>
        </w:rPr>
      </w:pPr>
      <w:r>
        <w:t xml:space="preserve">Dairy is one of </w:t>
      </w:r>
      <w:r>
        <w:t xml:space="preserve">most </w:t>
      </w:r>
      <w:r>
        <w:t>quietly strategic markets: it is a staple for households, a politically sensitive component of food inflation, and a sector where perishable inputs collide with concentrated downstream distribution. In Ukraine, the dairy chain has been forced to operate under overlapping shocks since 2022</w:t>
      </w:r>
      <w:r w:rsidR="0071132E">
        <w:t xml:space="preserve"> </w:t>
      </w:r>
      <w:r>
        <w:t>—</w:t>
      </w:r>
      <w:r w:rsidR="0071132E">
        <w:t xml:space="preserve"> </w:t>
      </w:r>
      <w:r>
        <w:t>war-related logistics disruption, energy insecurity, and a high-inflation environment</w:t>
      </w:r>
      <w:r w:rsidR="0071132E">
        <w:t xml:space="preserve"> </w:t>
      </w:r>
      <w:r>
        <w:t>—</w:t>
      </w:r>
      <w:r w:rsidR="0071132E">
        <w:t xml:space="preserve"> </w:t>
      </w:r>
      <w:r>
        <w:t>while still undergoing slower structural transitions in production, processing, and retail. These conditions make a basic</w:t>
      </w:r>
      <w:r w:rsidR="0071132E">
        <w:t xml:space="preserve">, </w:t>
      </w:r>
      <w:r>
        <w:t>but consequential question unavoidable: when the cost environment changes, which stage of the chain absorbs the shock and which stage passes it on</w:t>
      </w:r>
      <w:r w:rsidR="0071132E">
        <w:t xml:space="preserve"> </w:t>
      </w:r>
      <w:r>
        <w:t>—</w:t>
      </w:r>
      <w:r w:rsidR="0071132E">
        <w:t xml:space="preserve"> </w:t>
      </w:r>
      <w:r>
        <w:t>farms, processors, or retailers</w:t>
      </w:r>
      <w:r w:rsidR="0071132E">
        <w:t>?</w:t>
      </w:r>
    </w:p>
    <w:p w14:paraId="3E52E57B" w14:textId="77777777" w:rsidR="0071132E" w:rsidRDefault="009E6092" w:rsidP="0071132E">
      <w:r>
        <w:t>The Ukrainian dairy sector is structurally dual, combining household production that remains socially important with an industrial segment that increasingly supplies the commercially relevant, quality-compliant milk stream. Over the past decade, this duality has become sharper as overall production declines and quality regulation tightens, pushing more of the processing-relevant supply toward industrial farms. A recent KSE sector report frames this as a long-run transformation of the production base and a re-sorting of competitiveness as Ukraine aligns standards with EU requirements. [42]</w:t>
      </w:r>
    </w:p>
    <w:p w14:paraId="046ACBA2" w14:textId="70245EB9" w:rsidR="009E6092" w:rsidRDefault="009E6092" w:rsidP="0071132E">
      <w:r>
        <w:t>A complementary snapshot from industry monitoring illustrates what this means operationally: in January–August 2025, 2</w:t>
      </w:r>
      <w:r w:rsidR="0071132E">
        <w:t>.4</w:t>
      </w:r>
      <w:r>
        <w:t xml:space="preserve"> </w:t>
      </w:r>
      <w:r w:rsidR="0071132E">
        <w:t>million</w:t>
      </w:r>
      <w:r>
        <w:t xml:space="preserve"> tonnes of raw milk were delivered to processing plants, and 87% of that volume came from agricultural enterprises (industrial farms). [48] In the same period, the processing output mix (drinking milk, fermented products, butter, cheeses, and powders) shows that downstream product markets are diverse enough to create different outside options for processors when raw milk tightens or when export parity shifts. [48]</w:t>
      </w:r>
    </w:p>
    <w:p w14:paraId="1012B103" w14:textId="190A64A8" w:rsidR="009E6092" w:rsidRDefault="009E6092" w:rsidP="0071132E">
      <w:r>
        <w:t>The processor segment sits in the middle of the chain as the pivotal conversion technology: it transforms raw milk into products with radically different storability, trade exposure, and margin behavior. Ukraine’s processing landscape is not a single-firm story, but it is structured enough for pricing power and coordination frictions to matter, especially when procurement quality and volumes fluctuate. KSE’s sector analysis emphasizes that the post-2022 environment has amplified constraints around raw milk quality, regional concentration of production, and the institutional conditions under which processors rebuild or re-orient product portfolios. [42]</w:t>
      </w:r>
      <w:r w:rsidR="0071132E">
        <w:t xml:space="preserve"> </w:t>
      </w:r>
      <w:r>
        <w:t xml:space="preserve">A dedicated processing-sector study prepared under USAID’s competitiveness program </w:t>
      </w:r>
      <w:r w:rsidR="0071132E">
        <w:t>indentifies</w:t>
      </w:r>
      <w:r>
        <w:t xml:space="preserve"> strategic bottlenecks, investment needs, and how processing capacity and product specialization shape competitiveness and margins. [43]</w:t>
      </w:r>
    </w:p>
    <w:p w14:paraId="381D8B8B" w14:textId="77777777" w:rsidR="009E6092" w:rsidRDefault="009E6092" w:rsidP="0071132E">
      <w:r>
        <w:t>Downstream, modern grocery retail has become the dominant interface for urban consumers and an increasingly important bargaining counterparty for processors. Two simple indicators make this visible: revenue concentration and physical network scale. Opendatabot’s retail index documents the scale of leading retailers and the concentration of revenues at the top of the market. [46] RAU’s reporting on store networks complements this by showing that a small set of chains controls a very large share of modern retail outlets, meaning shelf access, promotions, and listing conditions are governed by relatively few buyers. [47] This structure matters in dairy because dairy pricing is rarely “cost-plus in real time”; it is a managed category with frequent promotions, stable price points, and private-label strategies. Empirical work on menu costs and retail price rigidity explains why even competitive retailers can display sticky shelf prices, while scanner-data evidence shows that pricing can behave differently during demand peaks and promotion cycles than in standard textbook settings. [32] [33]</w:t>
      </w:r>
    </w:p>
    <w:p w14:paraId="607F29F6" w14:textId="63F9353E" w:rsidR="009E6092" w:rsidRDefault="009E6092" w:rsidP="0071132E">
      <w:r>
        <w:t>Recent Ukrainian market monitoring makes the “rigidity vs pass-through” problem concrete. In early 2026, MilkUA describes raw milk prices facing downward pressure due to weak demand, blackouts, and weather shocks</w:t>
      </w:r>
      <w:r w:rsidR="0071132E">
        <w:t xml:space="preserve"> </w:t>
      </w:r>
      <w:r>
        <w:t>—</w:t>
      </w:r>
      <w:r w:rsidR="0071132E">
        <w:t xml:space="preserve"> </w:t>
      </w:r>
      <w:r>
        <w:t xml:space="preserve">exactly the kind of environment in which upstream prices can fall faster than retail shelf prices. [50] At the same time, AVM’s retail monitoring notes that dairy prices in retail </w:t>
      </w:r>
      <w:r>
        <w:lastRenderedPageBreak/>
        <w:t>remained high, implying that at least part of the adjustment occurs through margins, promotions, or delayed transmission rather than immediate list-price reductions. [49] This upstream-downstream wedge is precisely where the classic “rockets and feathers” concern becomes an empirical object: it may reflect market power, but it may also reflect contracts, inventories, promotions, and adjustment frictions that create asymmetric dynamics even without explicit collusion. [5] [6] [11] [14]</w:t>
      </w:r>
    </w:p>
    <w:p w14:paraId="0979B3BD" w14:textId="199E46FE" w:rsidR="009E6092" w:rsidRDefault="009E6092" w:rsidP="0071132E">
      <w:r>
        <w:t>Ukraine’s dairy chain is also increasingly embedded in an external price corridor shaped by EU and global dairy cycles. The European Commission’s Milk Market Observatory provides standardized EU and world price monitoring that is useful both as an external benchmark and as a way to interpret whether Ukrainian movements are aligned with broader regional cycles. [22] [23] The EU raw milk price sheets and world price comparisons offer a transparent reference for the external environment that influences processors’ product-mix incentives and export parity conditions. [55] [56] Global conditions are also visible through FAO’s food-price system, which tracks dairy within the broader global inflation cycle and provides context for why 2025–2026 is a natural correction-phase window to test downward transmission. [51]</w:t>
      </w:r>
    </w:p>
    <w:p w14:paraId="1CF10652" w14:textId="77777777" w:rsidR="009E6092" w:rsidRDefault="009E6092" w:rsidP="0071132E">
      <w:r>
        <w:t>This thesis focuses on fluid cow’s milk sold in modern retail chains and asks a deliberately narrow but policy-relevant question: when prices change at one stage of the dairy chain, to what extent and how quickly do prices adjust at the other stages once common external shocks are accounted for. The empirical design uses daily retail prices from two large chains to observe retail behavior at high frequency rather than through monthly averages that hide promotions and discounting. [12] [41] Those retail series are aligned with domestic upstream indicators on raw milk deliveries and prices, which provide an institutional backbone for the upstream market structure even when retail observation windows are shorter in calendar time. [13] The system is anchored with external benchmarks capturing global and regional dairy cycles, including a market-based global signal from CME Class III milk futures and EU realized price monitoring. [2] [22] [23]</w:t>
      </w:r>
    </w:p>
    <w:p w14:paraId="658C3527" w14:textId="77777777" w:rsidR="009E6092" w:rsidRDefault="009E6092" w:rsidP="0071132E">
      <w:r>
        <w:t>The research sits inside the established vertical price transmission literature, where the key objects are long-run relationships, short-run error correction, and the possibility of asymmetric adjustment when prices rise versus when they fall. [14] [5] [6] It also connects directly to the modern “market power vs friction” debate in food retailing, where concentrated downstream actors can buffer shocks through pricing regimes and contracting rather than through immediate price changes. [11] [8] The methodological motivation for the thesis follows from this logic: if prices are linked in the long run but adjust asymmetrically in the short run, the pattern is economically meaningful because it implies systematic distribution of shocks across farms, processors, retailers, and consumers rather than random noise. [35] [36] [30]</w:t>
      </w:r>
    </w:p>
    <w:p w14:paraId="369F0300" w14:textId="358CB07C" w:rsidR="0071132E" w:rsidRDefault="0071132E" w:rsidP="0071132E">
      <w:r>
        <w:t>Consequently, I would choose to emphasize the main reasons for this research:</w:t>
      </w:r>
    </w:p>
    <w:p w14:paraId="4719910A" w14:textId="77777777" w:rsidR="0071132E" w:rsidRDefault="0071132E" w:rsidP="0071132E"/>
    <w:p w14:paraId="04DE52D6" w14:textId="77777777" w:rsidR="009E6092" w:rsidRDefault="009E6092" w:rsidP="0071132E">
      <w:pPr>
        <w:pStyle w:val="ListParagraph"/>
        <w:numPr>
          <w:ilvl w:val="0"/>
          <w:numId w:val="21"/>
        </w:numPr>
      </w:pPr>
      <w:r>
        <w:t>First, dairy is a high-salience category for household welfare and for the political economy of food inflation because purchases are frequent and substitution away from basic dairy is limited in the short run. When prices move, consumers notice immediately, which is why dairy is regularly monitored in both international price systems and EU market observatories. [51] [22]</w:t>
      </w:r>
    </w:p>
    <w:p w14:paraId="601C8EB1" w14:textId="077611D7" w:rsidR="009E6092" w:rsidRDefault="009E6092" w:rsidP="0071132E">
      <w:pPr>
        <w:pStyle w:val="ListParagraph"/>
        <w:numPr>
          <w:ilvl w:val="0"/>
          <w:numId w:val="21"/>
        </w:numPr>
      </w:pPr>
      <w:r>
        <w:t xml:space="preserve">Second, the Ukrainian debate about “fair margins” in the food chain cannot be resolved </w:t>
      </w:r>
      <w:r w:rsidR="0064459C">
        <w:t xml:space="preserve">by jokes, </w:t>
      </w:r>
      <w:r>
        <w:t>because the same observed retail-price rigidity can be generated by market power, by menu costs and promotion regimes, or by wartime logistics and inventory constraints. The point of a transmission study is to separate these mechanisms by measuring the timing and asymmetry of adjustment rather than simply correlating price levels. [14] [32] [33]</w:t>
      </w:r>
    </w:p>
    <w:p w14:paraId="429B09EC" w14:textId="59C7E71C" w:rsidR="009E6092" w:rsidRDefault="009E6092" w:rsidP="0071132E">
      <w:pPr>
        <w:pStyle w:val="ListParagraph"/>
        <w:numPr>
          <w:ilvl w:val="0"/>
          <w:numId w:val="21"/>
        </w:numPr>
      </w:pPr>
      <w:r>
        <w:t xml:space="preserve">Third, Ukraine is aligning its market governance with EU practice in areas that explicitly target bargaining-power imbalances in agri-food chains, most clearly through the EU framework on unfair trading practices. </w:t>
      </w:r>
      <w:r w:rsidR="0064459C">
        <w:t>[</w:t>
      </w:r>
      <w:r>
        <w:t>44] [45] [60]</w:t>
      </w:r>
    </w:p>
    <w:p w14:paraId="50D8729B" w14:textId="77777777" w:rsidR="009E6092" w:rsidRDefault="009E6092" w:rsidP="0071132E">
      <w:pPr>
        <w:pStyle w:val="ListParagraph"/>
        <w:numPr>
          <w:ilvl w:val="0"/>
          <w:numId w:val="21"/>
        </w:numPr>
      </w:pPr>
      <w:r>
        <w:lastRenderedPageBreak/>
        <w:t>Fourth, the sector’s internal structure makes vertical transmission especially important: a dual upstream base, a processor node that reshapes shocks through product mix and capacity constraints, and a concentrated retail layer that manages pricing via promotions and private label. KSE’s sector analysis and Ukrainian industry monitoring provide enough factual structure to treat these not as assumptions but as measurable constraints and incentives. [42] [48] [49]</w:t>
      </w:r>
    </w:p>
    <w:p w14:paraId="1AB19647" w14:textId="35028A2B" w:rsidR="009E6092" w:rsidRDefault="009E6092" w:rsidP="0071132E">
      <w:pPr>
        <w:pStyle w:val="ListParagraph"/>
        <w:numPr>
          <w:ilvl w:val="0"/>
          <w:numId w:val="21"/>
        </w:numPr>
      </w:pPr>
      <w:r>
        <w:t>Fi</w:t>
      </w:r>
      <w:r w:rsidR="0064459C">
        <w:t>fth</w:t>
      </w:r>
      <w:r>
        <w:t>, the thesis is motivated by a data opportunity that is rare for Ukraine: daily chain-level retail prices from major retailers, combined with official upstream time series and clear external benchmarks, allow a more behaviorally realistic view of retail pricing than monthly averages. This supports a transmission analysis that can explicitly test for asymmetric pass-through and different adjustment speeds across stages, rather than assuming that one price change equals one shock. [12] [41] [13] [2]</w:t>
      </w:r>
    </w:p>
    <w:p w14:paraId="5600B7D5" w14:textId="0D262E4B" w:rsidR="009E6092" w:rsidRPr="009E6092" w:rsidRDefault="009E6092" w:rsidP="009E6092">
      <w:pPr>
        <w:sectPr w:rsidR="009E6092" w:rsidRPr="009E6092" w:rsidSect="0016261E">
          <w:headerReference w:type="default" r:id="rId11"/>
          <w:footerReference w:type="default" r:id="rId12"/>
          <w:pgSz w:w="12240" w:h="15840"/>
          <w:pgMar w:top="1440" w:right="1440" w:bottom="1440" w:left="1440" w:header="708" w:footer="708" w:gutter="0"/>
          <w:pgNumType w:start="1"/>
          <w:cols w:space="708"/>
          <w:docGrid w:linePitch="360"/>
        </w:sectPr>
      </w:pPr>
    </w:p>
    <w:p w14:paraId="17869A67" w14:textId="77777777" w:rsidR="009E6092" w:rsidRDefault="00DB2152" w:rsidP="00FB79D1">
      <w:pPr>
        <w:pStyle w:val="Heading1"/>
      </w:pPr>
      <w:bookmarkStart w:id="11" w:name="_Toc216525114"/>
      <w:r w:rsidRPr="0033435D">
        <w:lastRenderedPageBreak/>
        <w:t>LITERATURE REVIEW</w:t>
      </w:r>
      <w:bookmarkEnd w:id="11"/>
    </w:p>
    <w:p w14:paraId="06669372" w14:textId="77777777" w:rsidR="00FB79D1" w:rsidRDefault="00FB79D1" w:rsidP="00FB79D1"/>
    <w:p w14:paraId="5CE98150" w14:textId="0EE39F35" w:rsidR="00FB79D1" w:rsidRDefault="00FB79D1" w:rsidP="00FB79D1">
      <w:r>
        <w:t xml:space="preserve">This research follows directly from the logic laid out </w:t>
      </w:r>
      <w:r>
        <w:t>previously</w:t>
      </w:r>
      <w:r>
        <w:t xml:space="preserve">: if the Ukrainian dairy chain is structurally dual upstream, constrained and adaptive in processing, and increasingly shaped by a concentrated modern retail layer, then </w:t>
      </w:r>
      <w:r>
        <w:t>“</w:t>
      </w:r>
      <w:r>
        <w:t>how prices move</w:t>
      </w:r>
      <w:r>
        <w:t>?”</w:t>
      </w:r>
      <w:r>
        <w:t xml:space="preserve"> is not a cosmetic question—it is a distribution question about risk, margins, and survival across stages. [42][43][46][47]</w:t>
      </w:r>
    </w:p>
    <w:p w14:paraId="4DA19C6F" w14:textId="6D8B6675" w:rsidR="00FB79D1" w:rsidRDefault="00FB79D1" w:rsidP="00FB79D1">
      <w:r>
        <w:t>The literature that matters for this thesis therefore is not just “price transmission papers,” but a connected set of ideas about vertical coordination, downstream buyer power, retail pricing regimes, and econometric identification in non-stationary price systems under instability. [9][10][11][14]</w:t>
      </w:r>
    </w:p>
    <w:p w14:paraId="7BB3F6C6" w14:textId="25616A87" w:rsidR="00FB79D1" w:rsidRDefault="00FB79D1" w:rsidP="00FB79D1">
      <w:r>
        <w:t>To keep that connection clear, this chapter is organized in three parts. The first part explains the economic mechanics of vertical coordination and bargaining power that sit behind observed price behavior. [9][10] The second part covers the empirical price transmission literature</w:t>
      </w:r>
      <w:r>
        <w:t xml:space="preserve"> </w:t>
      </w:r>
      <w:r>
        <w:t>—</w:t>
      </w:r>
      <w:r>
        <w:t xml:space="preserve"> </w:t>
      </w:r>
      <w:r>
        <w:t>especially asymmetry and the interpretation pitfalls that matter when retail prices include promotions and product churn. [5][6][14] The third part motivates the specific modelling and data choices in this thesis, including the role of external benchmarks and the need to reconcile high-frequency retail microdata with lower-frequency upstream series in a disciplined way. [28][29][31][2][22]</w:t>
      </w:r>
    </w:p>
    <w:p w14:paraId="54F09883" w14:textId="4CB53C55" w:rsidR="00FB79D1" w:rsidRPr="00FB79D1" w:rsidRDefault="00FB79D1" w:rsidP="00FB79D1">
      <w:pPr>
        <w:pStyle w:val="Heading2"/>
      </w:pPr>
      <w:r w:rsidRPr="00FB79D1">
        <w:t>Vertical coordination, buyer power, and how dairy chains actually work</w:t>
      </w:r>
    </w:p>
    <w:p w14:paraId="041154B1" w14:textId="0C95E553" w:rsidR="00FB79D1" w:rsidRDefault="00FB79D1" w:rsidP="00FB79D1">
      <w:r>
        <w:t>A useful starting point is to be blunt about what “a price” is in a food chain: it is rarely a single market-clearing number. In perishable supply chains, prices are embedded in repeated relationships and negotiated terms—quality grading, delivery schedules, payment timing, penalties, exclusivity, listing fees, and promotion participation. [9][10] The classic evidence from U.S. livestock and poultry markets shows how contracts and integration expand not because farmers suddenly become irrational, but because downstream actors need coordination (quality, timing, scale) and are willing to trade some price flexibility for control and predictability. [9] The same evidence also shows the uncomfortable part: once transactions are governed by contracts and standards, bargaining power shifts toward the side that controls access to demand, information, and enforcement. [9][10]</w:t>
      </w:r>
    </w:p>
    <w:p w14:paraId="761D0ED4" w14:textId="1905BFA5" w:rsidR="00FB79D1" w:rsidRDefault="00FB79D1" w:rsidP="00FB79D1">
      <w:r>
        <w:t xml:space="preserve">The USDA ERS synthesis makes this trade-off explicit: vertical coordination can improve efficiency and consumer welfare, but it also increases the scope for strategic behavior and surplus redistribution when market power grows at processing or retail stages. [10] </w:t>
      </w:r>
      <w:proofErr w:type="gramStart"/>
      <w:r>
        <w:t>This matters</w:t>
      </w:r>
      <w:proofErr w:type="gramEnd"/>
      <w:r>
        <w:t xml:space="preserve"> for dairy because raw milk is perishable, quality is heterogeneous, and processors require stable inflows to use capacity efficiently—conditions that naturally reward tighter coordination and make “outside options” uneven across suppliers. [4][43] In Ukraine, those uneven outside options are amplified by the sector’s dual structure and the tightening of quality/safety requirements, which increasingly segregate household production from the commercially relevant stream purchased for processing. [42][4]</w:t>
      </w:r>
    </w:p>
    <w:p w14:paraId="418067BB" w14:textId="29541065" w:rsidR="00FB79D1" w:rsidRDefault="00FB79D1" w:rsidP="00FB79D1">
      <w:r>
        <w:t>The market power literature provides a second lens that is especially important for avoiding naive interpretation. Sexton’s argument is that modern agricultural markets are frequently misunderstood if analyzed through a simple competitive lens: farm production may be atomistic, but downstream nodes can be concentrated, differentiated, and information-rich, so bargaining and contract terms can shape outcomes even when farm supply looks competitive. [11] In this framework, “market power” in agri-food is often exercised through the terms of trade rather than through a single posted monopoly price. [11] That definition fits dairy chains well, because procurement often involves quality-linked price schedules, delivery obligations, and delayed settlement—mechanisms that can buffer or shift shocks without immediately changing a shelf price. [4][43]</w:t>
      </w:r>
    </w:p>
    <w:p w14:paraId="1E60AF70" w14:textId="79BB8116" w:rsidR="00FB79D1" w:rsidRDefault="00FB79D1" w:rsidP="00FB79D1">
      <w:r>
        <w:lastRenderedPageBreak/>
        <w:t>Contract-farming research adds a complementary point: contracts can raise welfare and inclusion, but who benefits depends on institutions and outside options. [1] When those are weak—because enforcement is difficult, credit is tight, or switching costs are high—contracting can stabilize volumes while making the farm-gate price and payment terms the main adjustment margins. [1] For Ukraine, that logic matters because the combination of war shocks, energy insecurity, and gradual regulatory alignment creates an environment where coordination is necessary but bargaining positions are not symmetric. [42][43]</w:t>
      </w:r>
    </w:p>
    <w:p w14:paraId="24896AB0" w14:textId="1D2B68D5" w:rsidR="00FB79D1" w:rsidRDefault="00FB79D1" w:rsidP="00FB79D1">
      <w:r>
        <w:t>Retail concentration is the final structural piece of the vertical coordination story. A concentrated retail layer does not automatically imply abuse, but it changes the bargaining game: processors compete for shelf access, promotions become part of procurement bargaining, and private labels reshape the distribution of value and risk. [8][11] Ukrainian retail indicators (revenue concentration and network scale) provide the real-world plausibility conditions for expecting downstream buyer power to matter in dairy. [46][47] This is also where EU institutional benchmarks become relevant: the EU framework on unfair trading practices formalizes the idea that in agri-food chains, buyer power can manifest in payment delays, unilateral contract changes, and forced payments for services—behaviors that are orthogonal to “the price level” but strongly related to how shocks are transmitted. [44][45]</w:t>
      </w:r>
    </w:p>
    <w:p w14:paraId="7E9191D0" w14:textId="54729355" w:rsidR="00FB79D1" w:rsidRDefault="00FB79D1" w:rsidP="00FB79D1">
      <w:pPr>
        <w:pStyle w:val="Heading2"/>
      </w:pPr>
      <w:r>
        <w:t>Vertical price transmission and asymmetric adjustment</w:t>
      </w:r>
    </w:p>
    <w:p w14:paraId="110F1C05" w14:textId="2B70E0B6" w:rsidR="00FB79D1" w:rsidRDefault="00FB79D1" w:rsidP="00FB79D1">
      <w:r>
        <w:t>The price transmission literature takes the structural story above and asks measurable questions. The OECD framework is a good anchor because it defines the object clearly: transmission is about the magnitude and speed with which price signals pass along the chain, and asymmetry is about whether increases and decreases transmit differently. [14] Crucially, Vavra and Goodwin emphasize that this is not a correlation problem. [14] Prices at different stages often share trends and are exposed to common shocks, so empirical work must distinguish long-run equilibrium relationships from short-run dynamics and temporary deviations. [14]</w:t>
      </w:r>
    </w:p>
    <w:p w14:paraId="610B5598" w14:textId="24696103" w:rsidR="00FB79D1" w:rsidRDefault="00FB79D1" w:rsidP="00FB79D1">
      <w:r>
        <w:t>Koester and von Cramon-</w:t>
      </w:r>
      <w:proofErr w:type="spellStart"/>
      <w:r>
        <w:t>Taubadel’s</w:t>
      </w:r>
      <w:proofErr w:type="spellEnd"/>
      <w:r>
        <w:t xml:space="preserve"> framework provides the economic interpretation for these statistical objects. [7] Long-run relationships are linked to technology, marketing margins, and institutional arrangements that persist; short-run deviations arise from shocks and adjustment frictions that operate differently across stages. [7] This interpretation is important for this thesis because it prevents a common mistake: treating any observed wedge or rigidity as immediate proof of market power. [7][11] Instead, the question becomes: which stage adjusts to restore the long-run relationship, how fast, and under what conditions. [7][14]</w:t>
      </w:r>
    </w:p>
    <w:p w14:paraId="3E368C79" w14:textId="1ED9FAA2" w:rsidR="00FB79D1" w:rsidRDefault="00FB79D1" w:rsidP="00FB79D1">
      <w:r>
        <w:t xml:space="preserve">Dairy markets are a canonical setting for asymmetry, and </w:t>
      </w:r>
      <w:proofErr w:type="spellStart"/>
      <w:r>
        <w:t>Kinnucan</w:t>
      </w:r>
      <w:proofErr w:type="spellEnd"/>
      <w:r>
        <w:t xml:space="preserve"> and Forker remains one of the most influential empirical results: for major dairy products, retail prices tend to respond more rapidly to farm-price increases than to decreases. [5] That “rockets and feathers” result is consistent with market power stories, but it is also consistent with adjustment costs, inventory and spoilage constraints, and retail pricing conventions. [5][8] The follow-up </w:t>
      </w:r>
      <w:proofErr w:type="gramStart"/>
      <w:r>
        <w:t>note</w:t>
      </w:r>
      <w:proofErr w:type="gramEnd"/>
      <w:r>
        <w:t xml:space="preserve"> by </w:t>
      </w:r>
      <w:proofErr w:type="spellStart"/>
      <w:r>
        <w:t>Kinnucan</w:t>
      </w:r>
      <w:proofErr w:type="spellEnd"/>
      <w:r>
        <w:t xml:space="preserve"> and Zhang is therefore central for serious interpretation: marketing margins and apparent asymmetries can be affected by measurement choices, changing marketing costs, and aggregation, so inference must be disciplined and robust. [6]</w:t>
      </w:r>
    </w:p>
    <w:p w14:paraId="1E29BDF3" w14:textId="5D9456FC" w:rsidR="00FB79D1" w:rsidRDefault="00FB79D1" w:rsidP="00FB79D1">
      <w:r>
        <w:t xml:space="preserve">The retail pricing literature explains why this caution is necessary when the retail layer is observed through scraped shelf prices. Loy’s analysis of food retail pricing emphasizes that retail is a multiproduct business with systematic pricing regimes (Hi-Lo versus EDLP), private labels, price dispersion, and promotions that are not directly tied to immediate cost changes. [8] That means the retail price series is not a clean “markup over cost”; it is a managerial control variable used to steer demand and segment consumers. [8] In practical terms, a retailer can buffer an upstream shock by </w:t>
      </w:r>
      <w:r>
        <w:lastRenderedPageBreak/>
        <w:t>changing promotion frequency, discount depth, or product mix before changing the baseline “regular” price, and monthly averages can easily hide that behavior. [8]</w:t>
      </w:r>
    </w:p>
    <w:p w14:paraId="4DA851B8" w14:textId="3419D1DA" w:rsidR="00FB79D1" w:rsidRDefault="00FB79D1" w:rsidP="00FB79D1">
      <w:r>
        <w:t>Micro evidence on menu costs and price rigidity supports this mechanism. Menu cost models and evidence show that many prices adjust infrequently and in discrete steps, making short-run pass-through mechanically slower even when long-run pass-through is present. [32] Scanner-data evidence also shows that price behavior can look different during predictable demand changes and competitive cycles than in standard models, reinforcing the idea that “no immediate price change” does not necessarily mean “no adjustment.” [33]</w:t>
      </w:r>
    </w:p>
    <w:p w14:paraId="236B906A" w14:textId="01DDC6A1" w:rsidR="00FB79D1" w:rsidRDefault="00FB79D1" w:rsidP="00FB79D1">
      <w:r>
        <w:t xml:space="preserve">A direct empirical bridge from retail behavior to asymmetric pass-through is provided by Loy, Weiss, and </w:t>
      </w:r>
      <w:proofErr w:type="spellStart"/>
      <w:r>
        <w:t>Glauben</w:t>
      </w:r>
      <w:proofErr w:type="spellEnd"/>
      <w:r>
        <w:t>, who estimate pass-through in German milk using store-level retail prices and wholesale costs and find strong “rockets and feathers,” but also a key twist: the degree of asymmetry is not necessarily higher where market power is higher and can be better explained by menu costs and stock-out / goodwill risks. [40] This result is especially useful for the Ukrainian setting because it gives a credible alternative mechanism: even in concentrated retail markets, observed asymmetry can arise from the operational economics of retailing rather than from simple exploitation. [40][8] For this thesis, that means any finding of asymmetry must be interpreted through a structured mechanism test, not a single narrative. [40][11]</w:t>
      </w:r>
    </w:p>
    <w:p w14:paraId="5DDB0AAC" w14:textId="7E724C15" w:rsidR="00FB79D1" w:rsidRDefault="00FB79D1" w:rsidP="00FB79D1">
      <w:r>
        <w:t xml:space="preserve">The market power literature in dairy value chains adds another important piece: market power can be stage-specific. Grau and </w:t>
      </w:r>
      <w:proofErr w:type="spellStart"/>
      <w:r>
        <w:t>Hockmann</w:t>
      </w:r>
      <w:proofErr w:type="spellEnd"/>
      <w:r>
        <w:t xml:space="preserve"> embed a market power framework in a cointegration setting for the German dairy value chain and show near-perfect competition in the raw milk market alongside imperfect competition downstream. [39] Even though the German institutional environment differs from Ukraine, the core lesson translates: the question is not “does the chain have power,” but “where in the chain does adjustment occur and how is it distributed across stages.” [39][14]</w:t>
      </w:r>
    </w:p>
    <w:p w14:paraId="11DF3496" w14:textId="4D6D8ACA" w:rsidR="00FB79D1" w:rsidRDefault="00FB79D1" w:rsidP="00FB79D1">
      <w:r>
        <w:t xml:space="preserve">Ukraine-specific transmission research supports the need to treat instability as a first-order issue. Dereva and </w:t>
      </w:r>
      <w:proofErr w:type="spellStart"/>
      <w:r>
        <w:t>Rajčaniová</w:t>
      </w:r>
      <w:proofErr w:type="spellEnd"/>
      <w:r>
        <w:t xml:space="preserve"> provide evidence of vertical transmission patterns in a Ukrainian food chain (sunflower oil), suggesting that asymmetric dynamics are empirically plausible in the Ukrainian institutional setting. [3] </w:t>
      </w:r>
      <w:proofErr w:type="spellStart"/>
      <w:r>
        <w:t>Brümmer</w:t>
      </w:r>
      <w:proofErr w:type="spellEnd"/>
      <w:r>
        <w:t>, von Cramon-</w:t>
      </w:r>
      <w:proofErr w:type="spellStart"/>
      <w:r>
        <w:t>Taubadel</w:t>
      </w:r>
      <w:proofErr w:type="spellEnd"/>
      <w:r>
        <w:t>, and Zorya go further by showing that in Ukraine’s wheat–flour chain, policy and market instability can generate regime-dependent transmission—meaning the relationship between prices can shift across periods in ways that correspond to political and economic events rather than to a single stable mechanism. [27] For this thesis, the implication is practical: the post-2022 environment may alter adjustment speeds and short-run responses, so the empirical strategy must be capable of detecting asymmetric and state-dependent correction rather than assuming stable parameters by default. [27][14]</w:t>
      </w:r>
    </w:p>
    <w:p w14:paraId="4D22EA93" w14:textId="617B2CAB" w:rsidR="00FB79D1" w:rsidRPr="00FB79D1" w:rsidRDefault="00FB79D1" w:rsidP="00FB79D1">
      <w:pPr>
        <w:pStyle w:val="Heading2"/>
      </w:pPr>
      <w:r w:rsidRPr="00FB79D1">
        <w:t>Methodological foundations and what this research adds</w:t>
      </w:r>
    </w:p>
    <w:p w14:paraId="1427F29C" w14:textId="1B662936" w:rsidR="00FB79D1" w:rsidRDefault="00FB79D1" w:rsidP="00FB79D1">
      <w:r>
        <w:t>The econometric structure used in this research follows directly from the literature’s identification problem. If farm, processor, and retail prices are trending series, then naive regressions risk spurious results; the appropriate approach is to test for unit roots, examine cointegration, and model short-run adjustment through error correction. [14][7] Engle and Granger provide the foundational representation: when series are cointegrated, deviations from the long-run relation become a stationary error-correction term that drives adjustment. [36] Johansen’s system approach is particularly relevant for this thesis because the chain is inherently multistage—retail, processor, farm—and the direction of adjustment (who corrects disequilibria) is itself part of the research question. [35]</w:t>
      </w:r>
    </w:p>
    <w:p w14:paraId="30B40EE9" w14:textId="4956A0DD" w:rsidR="00FB79D1" w:rsidRDefault="00FB79D1" w:rsidP="00FB79D1">
      <w:r>
        <w:t xml:space="preserve">Asymmetry requires models that allow different dynamics for positive and negative changes. Threshold adjustment models formalize this idea by allowing correction to depend on the sign or magnitude of disequilibrium. [30] The nonlinear ARDL framework extends this by decomposing </w:t>
      </w:r>
      <w:r>
        <w:lastRenderedPageBreak/>
        <w:t>changes into positive and negative components and tracing dynamic multipliers, which is useful when the substantive question is whether upward cost shocks pass through differently than downward shocks. [38] Bounds testing in ARDL settings remains a practical tool when samples overlap imperfectly or integration properties differ, which can happen in real-world merged datasets. [34] Finally, inference must be robust to serial correlation and heteroskedasticity that are common in price data; HAC covariance estimators are a standard safeguard against overstating significance in dynamic models. [37]</w:t>
      </w:r>
    </w:p>
    <w:p w14:paraId="25E7D156" w14:textId="77777777" w:rsidR="00FB79D1" w:rsidRDefault="00FB79D1" w:rsidP="00FB79D1">
      <w:r>
        <w:t>A central empirical challenge in Ukrainian dairy is frequency mismatch: retail prices can be observed daily through online listings, while upstream official series often arrive at monthly frequency or in aggregated form. The literature on temporal disaggregation and benchmarking addresses exactly this problem: Chow–Lin distributes low-frequency benchmarks using related higher-frequency indicators, Denton ensures that the reconstructed series exactly matches low-frequency totals while minimizing distortion, and the broader benchmarking literature frames reconciliation as a transparent constrained optimization problem. [28][29][31]</w:t>
      </w:r>
    </w:p>
    <w:p w14:paraId="2D66B9D4" w14:textId="3947B7D0" w:rsidR="00FB79D1" w:rsidRDefault="00FB79D1" w:rsidP="00FB79D1">
      <w:r>
        <w:t>This matters in a thesis context because it allows a transparent statement: some daily series are observed (retail), some are reconstructed from official nodes (producer/consumer proxies), and robustness is checked across alternative plausible reconstructions rather than pretending that all daily series are directly measured facts. [61][62]</w:t>
      </w:r>
    </w:p>
    <w:p w14:paraId="58F3C039" w14:textId="77777777" w:rsidR="00FB79D1" w:rsidRDefault="00FB79D1" w:rsidP="00FB79D1">
      <w:r>
        <w:t>External benchmarks are the second methodological pillar. If global and regional dairy cycles move upstream prices, then domestic co-movement can be misread as local bargaining effects unless external shocks are controlled for. [14] EU price monitoring provides standardized reference series for raw milk and dairy products that help interpret the external corridor relevant for Ukrainian processors and import competition. [22][23][55][56] CME Class III futures provide a liquid market-based signal of global dairy conditions and expectations, which can help separate “global wave” effects from local chain dynamics. [2] These benchmarks are not used to claim that Ukraine mechanically follows the EU or U.S.; they are used to reduce omitted-variable bias and to interpret transmission as a domestic mechanism conditional on external shocks. [14][2]</w:t>
      </w:r>
    </w:p>
    <w:p w14:paraId="1A222C1E" w14:textId="77777777" w:rsidR="00FB79D1" w:rsidRDefault="00FB79D1" w:rsidP="00FB79D1"/>
    <w:p w14:paraId="11DA61C1" w14:textId="6F9C777C" w:rsidR="00FB79D1" w:rsidRDefault="00FB79D1" w:rsidP="00FB79D1">
      <w:r w:rsidRPr="00FB79D1">
        <w:t>Given these foundations, this research contributes to the literature in three concrete ways</w:t>
      </w:r>
      <w:r>
        <w:t>:</w:t>
      </w:r>
    </w:p>
    <w:p w14:paraId="43457CF6" w14:textId="77777777" w:rsidR="00FB79D1" w:rsidRDefault="00FB79D1" w:rsidP="00FB79D1">
      <w:pPr>
        <w:pStyle w:val="Heading2"/>
        <w:numPr>
          <w:ilvl w:val="0"/>
          <w:numId w:val="30"/>
        </w:numPr>
        <w:spacing w:line="240" w:lineRule="auto"/>
        <w:ind w:left="0" w:firstLine="0"/>
      </w:pPr>
      <w:r>
        <w:t>It brings high-frequency retail microdata into Ukrainian dairy transmission analysis in a way that is behaviorally meaningful, not just higher resolution. By using scraped retail prices from two large chains and explicitly treating promotions and product mix as part of the retail pricing regime, the research reduces the risk that retail rigidity is an artifact of monthly averaging. [12][41][8] That matters because the retail layer is where bargaining leverage and pricing strategy are most likely to change the timing of pass-through without changing long-run co-movement. [8][40]</w:t>
      </w:r>
    </w:p>
    <w:p w14:paraId="71862BA6" w14:textId="77777777" w:rsidR="00FB79D1" w:rsidRDefault="00FB79D1" w:rsidP="00FB79D1"/>
    <w:p w14:paraId="12C64086" w14:textId="5F97DF2F" w:rsidR="00FB79D1" w:rsidRDefault="00FB79D1" w:rsidP="00FB79D1">
      <w:pPr>
        <w:pStyle w:val="Heading2"/>
        <w:numPr>
          <w:ilvl w:val="0"/>
          <w:numId w:val="30"/>
        </w:numPr>
        <w:spacing w:line="240" w:lineRule="auto"/>
        <w:ind w:left="0" w:firstLine="0"/>
      </w:pPr>
      <w:r>
        <w:lastRenderedPageBreak/>
        <w:t>I</w:t>
      </w:r>
      <w:r>
        <w:t>t estimates a multistage system rather than a single pass-through regression. The literature emphasizes that the key empirical objects are long-run equilibrium relations and stage-specific adjustment speeds</w:t>
      </w:r>
      <w:r>
        <w:t>.</w:t>
      </w:r>
      <w:r>
        <w:t xml:space="preserve"> </w:t>
      </w:r>
      <w:r>
        <w:t>B</w:t>
      </w:r>
      <w:r>
        <w:t xml:space="preserve">y modeling retail, processor, and farm-gate prices jointly where feasible, this research can speak directly to “who adjusts” </w:t>
      </w:r>
      <w:proofErr w:type="spellStart"/>
      <w:r>
        <w:t>after shocks</w:t>
      </w:r>
      <w:proofErr w:type="spellEnd"/>
      <w:r>
        <w:t xml:space="preserve"> rather than only “whether prices move together.” [14][35][39] This is precisely the difference between a descriptive margin story and an economically interpretable coordination story. [7][11]</w:t>
      </w:r>
    </w:p>
    <w:p w14:paraId="5AA6126B" w14:textId="1ECCB3BB" w:rsidR="00FB79D1" w:rsidRDefault="00FB79D1" w:rsidP="00FB79D1">
      <w:pPr>
        <w:pStyle w:val="Heading2"/>
        <w:numPr>
          <w:ilvl w:val="0"/>
          <w:numId w:val="30"/>
        </w:numPr>
        <w:spacing w:line="240" w:lineRule="auto"/>
        <w:ind w:left="0" w:firstLine="0"/>
      </w:pPr>
      <w:r>
        <w:t>I</w:t>
      </w:r>
      <w:r>
        <w:t>t places Ukrainian dairy transmission into an instability-aware framework with explicit external benchmarks. Ukraine’s recent environment plausibly includes structural breaks and regime-like behavior in adjustment due to war disruptions, energy insecurity, and shifting trade conditions; the Ukraine grain transmission literature demonstrates that such instability can materially change transmission dynamics, and this research brings that caution into dairy using the best data available. [27][42][50]</w:t>
      </w:r>
    </w:p>
    <w:p w14:paraId="301D867D" w14:textId="77777777" w:rsidR="00FB79D1" w:rsidRDefault="00FB79D1" w:rsidP="00FB79D1"/>
    <w:p w14:paraId="2B2E4FDD" w14:textId="77777777" w:rsidR="00FB79D1" w:rsidRDefault="00FB79D1" w:rsidP="00FB79D1">
      <w:r>
        <w:t>In short, the literature implies a demanding standard: the chain’s price dynamics must be interpreted through a combination of coordination theory, retail pricing behavior, and econometric identification under non-stationarity and instability. [9][8][14][27]</w:t>
      </w:r>
    </w:p>
    <w:p w14:paraId="507C975F" w14:textId="51221766" w:rsidR="00FB79D1" w:rsidRPr="00FB79D1" w:rsidRDefault="00FB79D1" w:rsidP="00FB79D1">
      <w:pPr>
        <w:sectPr w:rsidR="00FB79D1" w:rsidRPr="00FB79D1" w:rsidSect="0016261E">
          <w:headerReference w:type="default" r:id="rId13"/>
          <w:footerReference w:type="default" r:id="rId14"/>
          <w:pgSz w:w="12240" w:h="15840"/>
          <w:pgMar w:top="1440" w:right="1440" w:bottom="1440" w:left="1440" w:header="708" w:footer="708" w:gutter="0"/>
          <w:cols w:space="708"/>
          <w:docGrid w:linePitch="360"/>
        </w:sectPr>
      </w:pPr>
      <w:r>
        <w:t>This research adopts that standard and uses it to produce evidence on how shocks are distributed across farms, processors, retailers, and consumers in Ukraine’s dairy chain</w:t>
      </w:r>
      <w:r>
        <w:t xml:space="preserve"> </w:t>
      </w:r>
      <w:r>
        <w:t>—</w:t>
      </w:r>
      <w:r>
        <w:t xml:space="preserve"> </w:t>
      </w:r>
      <w:r>
        <w:t>evidence that is directly relevant for competition policy debates, chain resilience, and the design of support measures that do not accidentally amplify the very asymmetries they aim to fix. [11][44][45]</w:t>
      </w:r>
    </w:p>
    <w:p w14:paraId="6613DFF5" w14:textId="281828DF" w:rsidR="0016261E" w:rsidRPr="009E6092" w:rsidRDefault="00DB2152" w:rsidP="009E6092">
      <w:pPr>
        <w:pStyle w:val="Heading1"/>
      </w:pPr>
      <w:bookmarkStart w:id="12" w:name="_Toc216525118"/>
      <w:r w:rsidRPr="0033435D">
        <w:lastRenderedPageBreak/>
        <w:t>METHODOLOGY</w:t>
      </w:r>
      <w:bookmarkEnd w:id="12"/>
    </w:p>
    <w:p w14:paraId="48D0B078" w14:textId="1D1D1A84" w:rsidR="000F27B5" w:rsidRPr="0033435D" w:rsidRDefault="000F27B5" w:rsidP="00FB79D1">
      <w:pPr>
        <w:pStyle w:val="Heading2"/>
        <w:rPr>
          <w:lang w:val="en-UA"/>
        </w:rPr>
      </w:pPr>
      <w:bookmarkStart w:id="13" w:name="_Toc216525119"/>
      <w:r w:rsidRPr="0033435D">
        <w:rPr>
          <w:lang w:val="en-UA"/>
        </w:rPr>
        <w:t>3.1 Data structure and transformation</w:t>
      </w:r>
      <w:bookmarkEnd w:id="13"/>
    </w:p>
    <w:p w14:paraId="409F14F3" w14:textId="54AC8A0A" w:rsidR="003A1369" w:rsidRPr="003A1369" w:rsidRDefault="003A1369" w:rsidP="00053940">
      <w:pPr>
        <w:spacing w:after="160" w:line="360" w:lineRule="auto"/>
        <w:jc w:val="both"/>
        <w:rPr>
          <w:szCs w:val="24"/>
          <w:lang w:val="en-UA"/>
        </w:rPr>
      </w:pPr>
      <w:r w:rsidRPr="003A1369">
        <w:rPr>
          <w:szCs w:val="24"/>
          <w:lang w:val="en-UA"/>
        </w:rPr>
        <w:t>The empirical strategy is constrained by what can be credibly matched across stages of the Ukrainian dairy chain. Retail prices are observed at high frequency from daily web-scraped product listings in Silpo and Novus, starting in late October 2025 and continuing daily until the end of the research period. Upstream information is available at lower frequency from official statistics and the processing-side dataset alre</w:t>
      </w:r>
      <w:r>
        <w:rPr>
          <w:szCs w:val="24"/>
          <w:lang w:val="en-UA"/>
        </w:rPr>
        <w:t>ady gathered by me due current data</w:t>
      </w:r>
      <w:r w:rsidRPr="003A1369">
        <w:rPr>
          <w:szCs w:val="24"/>
          <w:lang w:val="en-UA"/>
        </w:rPr>
        <w:t>, so the baseline empirical dataset is constructed at a monthly frequency to ensure consistent alignment of the chain stages.</w:t>
      </w:r>
    </w:p>
    <w:p w14:paraId="65B42456" w14:textId="7EDFD1BB" w:rsidR="003A1369" w:rsidRPr="003A1369" w:rsidRDefault="003A1369" w:rsidP="00053940">
      <w:pPr>
        <w:spacing w:after="160" w:line="360" w:lineRule="auto"/>
        <w:jc w:val="both"/>
        <w:rPr>
          <w:szCs w:val="24"/>
          <w:lang w:val="en-UA"/>
        </w:rPr>
      </w:pPr>
      <w:r w:rsidRPr="003A1369">
        <w:rPr>
          <w:szCs w:val="24"/>
          <w:lang w:val="en-UA"/>
        </w:rPr>
        <w:t>Retail observations are converted into comparable unit prices, in UAH per litre or kilogram, and then aggregated to monthly measures by product category and retailer. The baseline retail series uses monthly median unit prices to reduce the influence of temporary promotions and outliers, while additional retail indicators capture within-month price-setting behavior, such as promotion intensity and the share of private-label items. These retail indicators are later used as controls in the empirical specification to avoid confusing retail strategy with genuine cost pass-through.</w:t>
      </w:r>
    </w:p>
    <w:p w14:paraId="4CE7E93C" w14:textId="66C6C218" w:rsidR="003A1369" w:rsidRDefault="003A1369" w:rsidP="00053940">
      <w:pPr>
        <w:spacing w:after="160" w:line="360" w:lineRule="auto"/>
        <w:jc w:val="both"/>
        <w:rPr>
          <w:szCs w:val="24"/>
          <w:lang w:val="en-UA"/>
        </w:rPr>
      </w:pPr>
      <w:r w:rsidRPr="003A1369">
        <w:rPr>
          <w:szCs w:val="24"/>
          <w:lang w:val="en-UA"/>
        </w:rPr>
        <w:t>Upstream series combine official Ukrainian statistics on raw milk deliveries and average raw milk purchase prices with the longer-horizon processing-side dataset already</w:t>
      </w:r>
      <w:r>
        <w:rPr>
          <w:szCs w:val="24"/>
          <w:lang w:val="en-UA"/>
        </w:rPr>
        <w:t xml:space="preserve"> at my disposal</w:t>
      </w:r>
      <w:r w:rsidRPr="003A1369">
        <w:rPr>
          <w:szCs w:val="24"/>
          <w:lang w:val="en-UA"/>
        </w:rPr>
        <w:t>. External market conditions are represented by CME Class III milk futures, which are observed at high frequency and aggregated to monthly averages to match the domestic monthly dataset. This external benchmark is used both as a control for global dairy cycles and as a long-run anchor when domestic series exhibit trending behavior.</w:t>
      </w:r>
    </w:p>
    <w:p w14:paraId="2249D1AC" w14:textId="27765E2A" w:rsidR="003A1369" w:rsidRDefault="003A1369" w:rsidP="00053940">
      <w:pPr>
        <w:spacing w:after="160" w:line="360" w:lineRule="auto"/>
        <w:jc w:val="both"/>
        <w:rPr>
          <w:szCs w:val="24"/>
          <w:lang w:val="en-UA"/>
        </w:rPr>
      </w:pPr>
      <w:r w:rsidRPr="003A1369">
        <w:rPr>
          <w:rStyle w:val="Strong"/>
          <w:rFonts w:eastAsiaTheme="majorEastAsia"/>
          <w:b w:val="0"/>
          <w:bCs w:val="0"/>
        </w:rPr>
        <w:t>If available during the thesis period, two additional datasets may be added as optional controls rather than core inputs: a monthly import and export price index for dairy products, and daily processor or producer price series that can be aggregated to monthly frequency</w:t>
      </w:r>
      <w:r>
        <w:rPr>
          <w:rStyle w:val="Strong"/>
          <w:rFonts w:eastAsiaTheme="majorEastAsia"/>
        </w:rPr>
        <w:t>.</w:t>
      </w:r>
      <w:r>
        <w:t xml:space="preserve"> These additions are treated as desirable but not required, the baseline model remains fully estimable without them.</w:t>
      </w:r>
    </w:p>
    <w:p w14:paraId="18B146C6" w14:textId="5B830872" w:rsidR="000F27B5" w:rsidRPr="0033435D" w:rsidRDefault="000F27B5" w:rsidP="00053940">
      <w:pPr>
        <w:spacing w:after="160" w:line="360" w:lineRule="auto"/>
        <w:jc w:val="both"/>
        <w:rPr>
          <w:szCs w:val="24"/>
          <w:lang w:val="en-UA"/>
        </w:rPr>
      </w:pPr>
      <w:r w:rsidRPr="0033435D">
        <w:rPr>
          <w:szCs w:val="24"/>
          <w:lang w:val="en-UA"/>
        </w:rPr>
        <w:t>All monetary variables are converted into natural logarithms, which stabilises variance and allows pass-through parameters to be interpreted as elasticities. The result is a unified monthly dataset with:</w:t>
      </w:r>
    </w:p>
    <w:p w14:paraId="4347ABA2" w14:textId="1EE6CE03" w:rsidR="000F27B5" w:rsidRPr="0033435D" w:rsidRDefault="000F27B5" w:rsidP="00053940">
      <w:pPr>
        <w:pStyle w:val="ListParagraph"/>
        <w:numPr>
          <w:ilvl w:val="0"/>
          <w:numId w:val="9"/>
        </w:numPr>
        <w:spacing w:after="160" w:line="360" w:lineRule="auto"/>
        <w:jc w:val="both"/>
        <w:rPr>
          <w:szCs w:val="24"/>
          <w:lang w:val="en-UA"/>
        </w:rPr>
      </w:pPr>
      <w:r w:rsidRPr="0033435D">
        <w:rPr>
          <w:szCs w:val="24"/>
          <w:lang w:val="en-UA"/>
        </w:rPr>
        <w:t>logged retail price index,</w:t>
      </w:r>
    </w:p>
    <w:p w14:paraId="4A24EF47" w14:textId="62D356EE" w:rsidR="000F27B5" w:rsidRPr="0033435D" w:rsidRDefault="000F27B5" w:rsidP="00053940">
      <w:pPr>
        <w:pStyle w:val="ListParagraph"/>
        <w:numPr>
          <w:ilvl w:val="0"/>
          <w:numId w:val="9"/>
        </w:numPr>
        <w:spacing w:after="160" w:line="360" w:lineRule="auto"/>
        <w:jc w:val="both"/>
        <w:rPr>
          <w:szCs w:val="24"/>
          <w:lang w:val="en-UA"/>
        </w:rPr>
      </w:pPr>
      <w:r w:rsidRPr="0033435D">
        <w:rPr>
          <w:szCs w:val="24"/>
          <w:lang w:val="en-UA"/>
        </w:rPr>
        <w:t>logged processor price,</w:t>
      </w:r>
    </w:p>
    <w:p w14:paraId="3AD69239" w14:textId="0696B3FF" w:rsidR="000F27B5" w:rsidRPr="0033435D" w:rsidRDefault="000F27B5" w:rsidP="00053940">
      <w:pPr>
        <w:pStyle w:val="ListParagraph"/>
        <w:numPr>
          <w:ilvl w:val="0"/>
          <w:numId w:val="9"/>
        </w:numPr>
        <w:spacing w:after="160" w:line="360" w:lineRule="auto"/>
        <w:jc w:val="both"/>
        <w:rPr>
          <w:szCs w:val="24"/>
          <w:lang w:val="en-UA"/>
        </w:rPr>
      </w:pPr>
      <w:r w:rsidRPr="0033435D">
        <w:rPr>
          <w:szCs w:val="24"/>
          <w:lang w:val="en-UA"/>
        </w:rPr>
        <w:lastRenderedPageBreak/>
        <w:t>logged farm-gate price,</w:t>
      </w:r>
    </w:p>
    <w:p w14:paraId="2943DF8F" w14:textId="48F6F76E" w:rsidR="000F27B5" w:rsidRPr="0033435D" w:rsidRDefault="000F27B5" w:rsidP="00053940">
      <w:pPr>
        <w:pStyle w:val="ListParagraph"/>
        <w:numPr>
          <w:ilvl w:val="0"/>
          <w:numId w:val="9"/>
        </w:numPr>
        <w:spacing w:after="160" w:line="360" w:lineRule="auto"/>
        <w:jc w:val="both"/>
        <w:rPr>
          <w:szCs w:val="24"/>
          <w:lang w:val="en-UA"/>
        </w:rPr>
      </w:pPr>
      <w:r w:rsidRPr="0033435D">
        <w:rPr>
          <w:szCs w:val="24"/>
          <w:lang w:val="en-UA"/>
        </w:rPr>
        <w:t>logged CME Class III monthly average,</w:t>
      </w:r>
    </w:p>
    <w:p w14:paraId="6D4FF8FF" w14:textId="110DB719" w:rsidR="000F27B5" w:rsidRPr="0033435D" w:rsidRDefault="000F27B5" w:rsidP="00053940">
      <w:pPr>
        <w:pStyle w:val="ListParagraph"/>
        <w:numPr>
          <w:ilvl w:val="0"/>
          <w:numId w:val="9"/>
        </w:numPr>
        <w:spacing w:after="160" w:line="360" w:lineRule="auto"/>
        <w:jc w:val="both"/>
        <w:rPr>
          <w:szCs w:val="24"/>
          <w:lang w:val="en-UA"/>
        </w:rPr>
      </w:pPr>
      <w:r w:rsidRPr="0033435D">
        <w:rPr>
          <w:szCs w:val="24"/>
          <w:lang w:val="en-UA"/>
        </w:rPr>
        <w:t>monthly retail frictions,</w:t>
      </w:r>
    </w:p>
    <w:p w14:paraId="79ED1F75" w14:textId="4D0313C0" w:rsidR="000F27B5" w:rsidRPr="003A1369" w:rsidRDefault="000F27B5" w:rsidP="00053940">
      <w:pPr>
        <w:pStyle w:val="ListParagraph"/>
        <w:numPr>
          <w:ilvl w:val="0"/>
          <w:numId w:val="9"/>
        </w:numPr>
        <w:spacing w:after="160" w:line="360" w:lineRule="auto"/>
        <w:jc w:val="both"/>
        <w:rPr>
          <w:szCs w:val="24"/>
          <w:lang w:val="en-UA"/>
        </w:rPr>
      </w:pPr>
      <w:r w:rsidRPr="0033435D">
        <w:rPr>
          <w:szCs w:val="24"/>
          <w:lang w:val="en-UA"/>
        </w:rPr>
        <w:t>monthly macro controls.</w:t>
      </w:r>
    </w:p>
    <w:p w14:paraId="04F476C9" w14:textId="77777777" w:rsidR="000F27B5" w:rsidRPr="0033435D" w:rsidRDefault="000F27B5" w:rsidP="00053940">
      <w:pPr>
        <w:spacing w:after="160" w:line="360" w:lineRule="auto"/>
        <w:jc w:val="both"/>
        <w:rPr>
          <w:szCs w:val="24"/>
          <w:lang w:val="en-UA"/>
        </w:rPr>
      </w:pPr>
      <w:r w:rsidRPr="0033435D">
        <w:rPr>
          <w:szCs w:val="24"/>
          <w:lang w:val="en-UA"/>
        </w:rPr>
        <w:t>This defines both the feasible and the most informative empirical design given the actual data.</w:t>
      </w:r>
    </w:p>
    <w:p w14:paraId="483212C9" w14:textId="66B5BCD0" w:rsidR="000F27B5" w:rsidRPr="0033435D" w:rsidRDefault="000F27B5" w:rsidP="00FB79D1">
      <w:pPr>
        <w:pStyle w:val="Heading2"/>
        <w:rPr>
          <w:b/>
          <w:spacing w:val="0"/>
          <w:lang w:val="en-UA" w:eastAsia="en-GB"/>
        </w:rPr>
      </w:pPr>
      <w:bookmarkStart w:id="14" w:name="_Toc216525120"/>
      <w:r w:rsidRPr="0033435D">
        <w:rPr>
          <w:rStyle w:val="Strong"/>
          <w:b w:val="0"/>
          <w:bCs/>
        </w:rPr>
        <w:t>3.2 Long-run relationship and error-correction structure</w:t>
      </w:r>
      <w:bookmarkEnd w:id="14"/>
    </w:p>
    <w:p w14:paraId="34E39996" w14:textId="6B271BA0" w:rsidR="000F27B5" w:rsidRPr="0033435D" w:rsidRDefault="000F27B5" w:rsidP="00053940">
      <w:pPr>
        <w:pStyle w:val="NormalWeb"/>
        <w:spacing w:line="360" w:lineRule="auto"/>
        <w:jc w:val="both"/>
        <w:rPr>
          <w:rFonts w:ascii="Garamond" w:hAnsi="Garamond"/>
        </w:rPr>
      </w:pPr>
      <w:r w:rsidRPr="0033435D">
        <w:rPr>
          <w:rFonts w:ascii="Garamond" w:hAnsi="Garamond"/>
        </w:rPr>
        <w:t>Because agricultural prices typically evolve as trending series influenced by inflation, input costs and global markets, the first step is to verify that each logged price variable behaves as an integrated process. Once confirmed, the modelling approach turns to identifying whether the three domestic price levels share a stable long-run equilibrium relation. This relation reflects the underlying economic structure linking farm-gate, processor and retail stages, including technological constraints, margins, market power and the organisation of the chain.</w:t>
      </w:r>
    </w:p>
    <w:p w14:paraId="565BC894" w14:textId="5280A7D9" w:rsidR="000F27B5" w:rsidRPr="0033435D" w:rsidRDefault="000F27B5" w:rsidP="00053940">
      <w:pPr>
        <w:pStyle w:val="p3"/>
        <w:spacing w:line="360" w:lineRule="auto"/>
        <w:rPr>
          <w:rFonts w:ascii="Garamond" w:hAnsi="Garamond"/>
        </w:rPr>
      </w:pPr>
      <w:r w:rsidRPr="0033435D">
        <w:rPr>
          <w:rFonts w:ascii="Garamond" w:hAnsi="Garamond"/>
        </w:rPr>
        <w:t>The long-run relation estimated inside the Johansen system for each product category is:</w:t>
      </w:r>
    </w:p>
    <w:p w14:paraId="1A2AAE8F" w14:textId="2C37137C" w:rsidR="000F27B5" w:rsidRPr="0033435D" w:rsidRDefault="000F27B5" w:rsidP="00053940">
      <w:pPr>
        <w:pStyle w:val="p1"/>
        <w:numPr>
          <w:ilvl w:val="0"/>
          <w:numId w:val="12"/>
        </w:numPr>
        <w:spacing w:line="360" w:lineRule="auto"/>
        <w:rPr>
          <w:rFonts w:ascii="Garamond" w:hAnsi="Garamond"/>
        </w:rPr>
      </w:pPr>
      <w:r w:rsidRPr="0033435D">
        <w:rPr>
          <w:rFonts w:ascii="Garamond" w:hAnsi="Garamond"/>
        </w:rPr>
        <w:t>ECT</w:t>
      </w:r>
      <w:r w:rsidRPr="0033435D">
        <w:rPr>
          <w:rFonts w:ascii="Segoe UI Symbol" w:hAnsi="Segoe UI Symbol" w:cs="Segoe UI Symbol"/>
        </w:rPr>
        <w:t>ₜ</w:t>
      </w:r>
      <w:r w:rsidRPr="0033435D">
        <w:rPr>
          <w:rFonts w:ascii="Garamond" w:hAnsi="Garamond"/>
        </w:rPr>
        <w:t xml:space="preserve"> ≡ ln(farm-gate price)</w:t>
      </w:r>
      <w:r w:rsidRPr="0033435D">
        <w:rPr>
          <w:rFonts w:ascii="Segoe UI Symbol" w:hAnsi="Segoe UI Symbol" w:cs="Segoe UI Symbol"/>
        </w:rPr>
        <w:t>ₜ</w:t>
      </w:r>
      <w:r w:rsidRPr="0033435D">
        <w:rPr>
          <w:rFonts w:ascii="Garamond" w:hAnsi="Garamond"/>
        </w:rPr>
        <w:t xml:space="preserve"> − α</w:t>
      </w:r>
      <w:r w:rsidRPr="0033435D">
        <w:rPr>
          <w:rFonts w:ascii="Cambria Math" w:hAnsi="Cambria Math" w:cs="Cambria Math"/>
        </w:rPr>
        <w:t>₀</w:t>
      </w:r>
      <w:r w:rsidRPr="0033435D">
        <w:rPr>
          <w:rFonts w:ascii="Garamond" w:hAnsi="Garamond"/>
        </w:rPr>
        <w:t xml:space="preserve"> − β</w:t>
      </w:r>
      <w:r w:rsidRPr="0033435D">
        <w:t>ᴿ</w:t>
      </w:r>
      <w:r w:rsidRPr="0033435D">
        <w:rPr>
          <w:rFonts w:ascii="Garamond" w:hAnsi="Garamond"/>
        </w:rPr>
        <w:t xml:space="preserve"> · ln(retail price)</w:t>
      </w:r>
      <w:r w:rsidRPr="0033435D">
        <w:rPr>
          <w:rFonts w:ascii="Segoe UI Symbol" w:hAnsi="Segoe UI Symbol" w:cs="Segoe UI Symbol"/>
        </w:rPr>
        <w:t>ₜ</w:t>
      </w:r>
      <w:r w:rsidRPr="0033435D">
        <w:rPr>
          <w:rFonts w:ascii="Garamond" w:hAnsi="Garamond"/>
        </w:rPr>
        <w:t xml:space="preserve"> − β</w:t>
      </w:r>
      <w:r w:rsidRPr="0033435D">
        <w:t>ᴾ</w:t>
      </w:r>
      <w:r w:rsidRPr="0033435D">
        <w:rPr>
          <w:rFonts w:ascii="Garamond" w:hAnsi="Garamond"/>
        </w:rPr>
        <w:t xml:space="preserve"> · ln(processor price)</w:t>
      </w:r>
      <w:r w:rsidRPr="0033435D">
        <w:rPr>
          <w:rFonts w:ascii="Segoe UI Symbol" w:hAnsi="Segoe UI Symbol" w:cs="Segoe UI Symbol"/>
        </w:rPr>
        <w:t>ₜ</w:t>
      </w:r>
    </w:p>
    <w:p w14:paraId="1EDF1CB4"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α</w:t>
      </w:r>
      <w:r w:rsidRPr="0033435D">
        <w:rPr>
          <w:rFonts w:ascii="Cambria Math" w:hAnsi="Cambria Math" w:cs="Cambria Math"/>
        </w:rPr>
        <w:t>₀</w:t>
      </w:r>
      <w:r w:rsidRPr="0033435D">
        <w:rPr>
          <w:rFonts w:ascii="Garamond" w:hAnsi="Garamond"/>
        </w:rPr>
        <w:t>: constant term in the long-run relation</w:t>
      </w:r>
    </w:p>
    <w:p w14:paraId="705CEC6C"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β</w:t>
      </w:r>
      <w:r w:rsidRPr="0033435D">
        <w:t>ᴿ</w:t>
      </w:r>
      <w:r w:rsidRPr="0033435D">
        <w:rPr>
          <w:rFonts w:ascii="Garamond" w:hAnsi="Garamond"/>
        </w:rPr>
        <w:t>: long-run elasticity linking retail price to farm-gate price, conditional on processor price</w:t>
      </w:r>
    </w:p>
    <w:p w14:paraId="7ED0CE12" w14:textId="46D7CB4D" w:rsidR="00330159" w:rsidRPr="00950E67" w:rsidRDefault="000F27B5" w:rsidP="00053940">
      <w:pPr>
        <w:pStyle w:val="p1"/>
        <w:spacing w:line="360" w:lineRule="auto"/>
        <w:ind w:left="360" w:firstLine="567"/>
        <w:rPr>
          <w:rFonts w:ascii="Garamond" w:hAnsi="Garamond"/>
          <w:lang w:val="en-US"/>
        </w:rPr>
      </w:pPr>
      <w:r w:rsidRPr="0033435D">
        <w:rPr>
          <w:rFonts w:ascii="Garamond" w:hAnsi="Garamond"/>
        </w:rPr>
        <w:t>β</w:t>
      </w:r>
      <w:r w:rsidRPr="0033435D">
        <w:t>ᴾ</w:t>
      </w:r>
      <w:r w:rsidRPr="0033435D">
        <w:rPr>
          <w:rFonts w:ascii="Garamond" w:hAnsi="Garamond"/>
        </w:rPr>
        <w:t>: long-run elasticity linking processor price to farm-gate price, conditional on retail price</w:t>
      </w:r>
    </w:p>
    <w:p w14:paraId="3D51C719" w14:textId="77777777" w:rsidR="000F27B5" w:rsidRPr="0033435D" w:rsidRDefault="000F27B5" w:rsidP="00053940">
      <w:pPr>
        <w:pStyle w:val="NormalWeb"/>
        <w:spacing w:line="360" w:lineRule="auto"/>
        <w:rPr>
          <w:rFonts w:ascii="Garamond" w:hAnsi="Garamond"/>
        </w:rPr>
      </w:pPr>
      <w:r w:rsidRPr="0033435D">
        <w:rPr>
          <w:rFonts w:ascii="Garamond" w:hAnsi="Garamond"/>
        </w:rPr>
        <w:t xml:space="preserve">This deviation term, </w:t>
      </w:r>
      <m:oMath>
        <m:r>
          <w:rPr>
            <w:rFonts w:ascii="Cambria Math" w:hAnsi="Cambria Math"/>
          </w:rPr>
          <m:t>EC</m:t>
        </m:r>
        <m:sSub>
          <m:sSubPr>
            <m:ctrlPr>
              <w:rPr>
                <w:rFonts w:ascii="Cambria Math" w:hAnsi="Cambria Math"/>
              </w:rPr>
            </m:ctrlPr>
          </m:sSubPr>
          <m:e>
            <m:r>
              <w:rPr>
                <w:rFonts w:ascii="Cambria Math" w:hAnsi="Cambria Math"/>
              </w:rPr>
              <m:t>T</m:t>
            </m:r>
          </m:e>
          <m:sub>
            <m:r>
              <w:rPr>
                <w:rFonts w:ascii="Cambria Math" w:hAnsi="Cambria Math"/>
              </w:rPr>
              <m:t>t</m:t>
            </m:r>
          </m:sub>
        </m:sSub>
      </m:oMath>
      <w:r w:rsidRPr="0033435D">
        <w:rPr>
          <w:rFonts w:ascii="Garamond" w:hAnsi="Garamond"/>
        </w:rPr>
        <w:t xml:space="preserve">, measures whether the farm-gate price at time </w:t>
      </w:r>
      <m:oMath>
        <m:r>
          <w:rPr>
            <w:rFonts w:ascii="Cambria Math" w:hAnsi="Cambria Math"/>
          </w:rPr>
          <m:t>t</m:t>
        </m:r>
      </m:oMath>
      <w:r w:rsidRPr="0033435D">
        <w:rPr>
          <w:rFonts w:ascii="Garamond" w:hAnsi="Garamond"/>
        </w:rPr>
        <w:t xml:space="preserve">is above or below the level implied by the simultaneous retail and processor prices. A stationary </w:t>
      </w:r>
      <m:oMath>
        <m:r>
          <w:rPr>
            <w:rFonts w:ascii="Cambria Math" w:hAnsi="Cambria Math"/>
          </w:rPr>
          <m:t>EC</m:t>
        </m:r>
        <m:sSub>
          <m:sSubPr>
            <m:ctrlPr>
              <w:rPr>
                <w:rFonts w:ascii="Cambria Math" w:hAnsi="Cambria Math"/>
              </w:rPr>
            </m:ctrlPr>
          </m:sSubPr>
          <m:e>
            <m:r>
              <w:rPr>
                <w:rFonts w:ascii="Cambria Math" w:hAnsi="Cambria Math"/>
              </w:rPr>
              <m:t>T</m:t>
            </m:r>
          </m:e>
          <m:sub>
            <m:r>
              <w:rPr>
                <w:rFonts w:ascii="Cambria Math" w:hAnsi="Cambria Math"/>
              </w:rPr>
              <m:t>t</m:t>
            </m:r>
          </m:sub>
        </m:sSub>
      </m:oMath>
      <w:r w:rsidRPr="0033435D">
        <w:rPr>
          <w:rFonts w:ascii="Garamond" w:hAnsi="Garamond"/>
        </w:rPr>
        <w:t xml:space="preserve">indicates cointegration and the existence of a meaningful long-run price structure. The elasticities </w:t>
      </w:r>
      <m:oMath>
        <m:sSup>
          <m:sSupPr>
            <m:ctrlPr>
              <w:rPr>
                <w:rFonts w:ascii="Cambria Math" w:hAnsi="Cambria Math"/>
              </w:rPr>
            </m:ctrlPr>
          </m:sSupPr>
          <m:e>
            <m:r>
              <w:rPr>
                <w:rFonts w:ascii="Cambria Math" w:hAnsi="Cambria Math"/>
              </w:rPr>
              <m:t>β</m:t>
            </m:r>
          </m:e>
          <m:sup>
            <m:r>
              <w:rPr>
                <w:rFonts w:ascii="Cambria Math" w:hAnsi="Cambria Math"/>
              </w:rPr>
              <m:t>R</m:t>
            </m:r>
          </m:sup>
        </m:sSup>
      </m:oMath>
      <w:r w:rsidRPr="0033435D">
        <w:rPr>
          <w:rFonts w:ascii="Garamond" w:hAnsi="Garamond"/>
        </w:rPr>
        <w:t xml:space="preserve">and </w:t>
      </w:r>
      <m:oMath>
        <m:sSup>
          <m:sSupPr>
            <m:ctrlPr>
              <w:rPr>
                <w:rFonts w:ascii="Cambria Math" w:hAnsi="Cambria Math"/>
              </w:rPr>
            </m:ctrlPr>
          </m:sSupPr>
          <m:e>
            <m:r>
              <w:rPr>
                <w:rFonts w:ascii="Cambria Math" w:hAnsi="Cambria Math"/>
              </w:rPr>
              <m:t>β</m:t>
            </m:r>
          </m:e>
          <m:sup>
            <m:r>
              <w:rPr>
                <w:rFonts w:ascii="Cambria Math" w:hAnsi="Cambria Math"/>
              </w:rPr>
              <m:t>P</m:t>
            </m:r>
          </m:sup>
        </m:sSup>
      </m:oMath>
      <w:r w:rsidRPr="0033435D">
        <w:rPr>
          <w:rFonts w:ascii="Garamond" w:hAnsi="Garamond"/>
        </w:rPr>
        <w:t>are the long-run pass-back parameters linking downstream and midstream movements to farm-gate outcomes.</w:t>
      </w:r>
    </w:p>
    <w:p w14:paraId="054FEFFD" w14:textId="0114CF3A" w:rsidR="000F27B5" w:rsidRPr="0033435D" w:rsidRDefault="000F27B5" w:rsidP="00053940">
      <w:pPr>
        <w:pStyle w:val="NormalWeb"/>
        <w:spacing w:line="360" w:lineRule="auto"/>
        <w:rPr>
          <w:rFonts w:ascii="Garamond" w:hAnsi="Garamond"/>
        </w:rPr>
      </w:pPr>
      <w:r w:rsidRPr="0033435D">
        <w:rPr>
          <w:rFonts w:ascii="Garamond" w:hAnsi="Garamond"/>
        </w:rPr>
        <w:t>Given cointegration, short-run adjustments are estimated through the error-correction equation:</w:t>
      </w:r>
    </w:p>
    <w:p w14:paraId="2E884E5C" w14:textId="3A501336" w:rsidR="000F27B5" w:rsidRPr="0033435D" w:rsidRDefault="000F27B5" w:rsidP="00053940">
      <w:pPr>
        <w:pStyle w:val="p1"/>
        <w:numPr>
          <w:ilvl w:val="0"/>
          <w:numId w:val="12"/>
        </w:numPr>
        <w:spacing w:line="360" w:lineRule="auto"/>
        <w:rPr>
          <w:rFonts w:ascii="Garamond" w:hAnsi="Garamond"/>
        </w:rPr>
      </w:pPr>
      <w:r w:rsidRPr="0033435D">
        <w:rPr>
          <w:rFonts w:ascii="Garamond" w:hAnsi="Garamond"/>
        </w:rPr>
        <w:lastRenderedPageBreak/>
        <w:t>Δ ln(farm-gate price)</w:t>
      </w:r>
      <w:r w:rsidRPr="0033435D">
        <w:rPr>
          <w:rFonts w:ascii="Segoe UI Symbol" w:hAnsi="Segoe UI Symbol" w:cs="Segoe UI Symbol"/>
        </w:rPr>
        <w:t>ₜ</w:t>
      </w:r>
      <w:r w:rsidRPr="0033435D">
        <w:rPr>
          <w:rFonts w:ascii="Garamond" w:hAnsi="Garamond"/>
        </w:rPr>
        <w:t xml:space="preserve"> = α</w:t>
      </w:r>
      <w:r w:rsidRPr="0033435D">
        <w:rPr>
          <w:rFonts w:ascii="Garamond" w:hAnsi="Garamond"/>
          <w:vertAlign w:val="subscript"/>
        </w:rPr>
        <w:t>F</w:t>
      </w:r>
      <w:r w:rsidRPr="0033435D">
        <w:rPr>
          <w:rFonts w:ascii="Garamond" w:hAnsi="Garamond"/>
        </w:rPr>
        <w:t xml:space="preserve"> · ECT</w:t>
      </w:r>
      <w:r w:rsidRPr="0033435D">
        <w:rPr>
          <w:rFonts w:ascii="Segoe UI Symbol" w:hAnsi="Segoe UI Symbol" w:cs="Segoe UI Symbol"/>
        </w:rPr>
        <w:t>ₜ</w:t>
      </w:r>
      <w:r w:rsidRPr="0033435D">
        <w:rPr>
          <w:rFonts w:ascii="Cambria Math" w:hAnsi="Cambria Math" w:cs="Cambria Math"/>
        </w:rPr>
        <w:t>₋₁</w:t>
      </w:r>
      <w:r w:rsidRPr="0033435D">
        <w:rPr>
          <w:rFonts w:ascii="Garamond" w:hAnsi="Garamond"/>
        </w:rPr>
        <w:t xml:space="preserve"> + Σ</w:t>
      </w:r>
      <w:r w:rsidRPr="0033435D">
        <w:rPr>
          <w:rFonts w:ascii="Garamond" w:hAnsi="Garamond"/>
          <w:vertAlign w:val="superscript"/>
        </w:rPr>
        <w:t>L</w:t>
      </w:r>
      <w:r w:rsidRPr="0033435D">
        <w:rPr>
          <w:rFonts w:ascii="Garamond" w:hAnsi="Garamond"/>
          <w:vertAlign w:val="subscript"/>
        </w:rPr>
        <w:t>i=1</w:t>
      </w:r>
      <w:r w:rsidRPr="0033435D">
        <w:rPr>
          <w:rFonts w:ascii="Garamond" w:hAnsi="Garamond"/>
        </w:rPr>
        <w:t xml:space="preserve"> θ</w:t>
      </w:r>
      <w:r w:rsidRPr="0033435D">
        <w:t>ᵢ</w:t>
      </w:r>
      <w:r w:rsidRPr="0033435D">
        <w:rPr>
          <w:rFonts w:ascii="Garamond" w:hAnsi="Garamond"/>
          <w:vertAlign w:val="superscript"/>
        </w:rPr>
        <w:t>FR</w:t>
      </w:r>
      <w:r w:rsidRPr="0033435D">
        <w:rPr>
          <w:rFonts w:ascii="Garamond" w:hAnsi="Garamond"/>
        </w:rPr>
        <w:t>·Δ ln(retail price)</w:t>
      </w:r>
      <w:r w:rsidRPr="0033435D">
        <w:rPr>
          <w:rFonts w:ascii="Segoe UI Symbol" w:hAnsi="Segoe UI Symbol" w:cs="Segoe UI Symbol"/>
        </w:rPr>
        <w:t>ₜ</w:t>
      </w:r>
      <w:r w:rsidRPr="0033435D">
        <w:rPr>
          <w:rFonts w:ascii="Garamond" w:hAnsi="Garamond"/>
        </w:rPr>
        <w:t xml:space="preserve"> - I + Σ</w:t>
      </w:r>
      <w:r w:rsidRPr="0033435D">
        <w:rPr>
          <w:rFonts w:ascii="Garamond" w:hAnsi="Garamond"/>
          <w:vertAlign w:val="superscript"/>
        </w:rPr>
        <w:t xml:space="preserve"> L</w:t>
      </w:r>
      <w:r w:rsidRPr="0033435D">
        <w:rPr>
          <w:rFonts w:ascii="Garamond" w:hAnsi="Garamond"/>
          <w:vertAlign w:val="subscript"/>
        </w:rPr>
        <w:t>i=1</w:t>
      </w:r>
      <w:r w:rsidRPr="0033435D">
        <w:rPr>
          <w:rFonts w:ascii="Garamond" w:hAnsi="Garamond"/>
        </w:rPr>
        <w:t>θ</w:t>
      </w:r>
      <w:r w:rsidRPr="0033435D">
        <w:t>ᵢ</w:t>
      </w:r>
      <w:r w:rsidRPr="0033435D">
        <w:rPr>
          <w:rFonts w:ascii="Garamond" w:hAnsi="Garamond"/>
          <w:vertAlign w:val="superscript"/>
        </w:rPr>
        <w:t xml:space="preserve">FP </w:t>
      </w:r>
      <w:r w:rsidRPr="0033435D">
        <w:rPr>
          <w:rFonts w:ascii="Garamond" w:hAnsi="Garamond"/>
        </w:rPr>
        <w:t>· Δ ln(processor price)</w:t>
      </w:r>
      <w:r w:rsidRPr="0033435D">
        <w:rPr>
          <w:rFonts w:ascii="Segoe UI Symbol" w:hAnsi="Segoe UI Symbol" w:cs="Segoe UI Symbol"/>
        </w:rPr>
        <w:t>ₜ</w:t>
      </w:r>
      <w:r w:rsidRPr="0033435D">
        <w:rPr>
          <w:rFonts w:ascii="Garamond" w:hAnsi="Garamond"/>
        </w:rPr>
        <w:t xml:space="preserve"> + Σ</w:t>
      </w:r>
      <w:r w:rsidRPr="0033435D">
        <w:rPr>
          <w:rFonts w:ascii="Garamond" w:hAnsi="Garamond"/>
          <w:vertAlign w:val="superscript"/>
        </w:rPr>
        <w:t>L</w:t>
      </w:r>
      <w:r w:rsidRPr="0033435D">
        <w:rPr>
          <w:rFonts w:ascii="Garamond" w:hAnsi="Garamond"/>
          <w:vertAlign w:val="subscript"/>
        </w:rPr>
        <w:t>i=1</w:t>
      </w:r>
      <w:r w:rsidRPr="0033435D">
        <w:rPr>
          <w:rFonts w:ascii="Garamond" w:hAnsi="Garamond"/>
        </w:rPr>
        <w:t>φ</w:t>
      </w:r>
      <w:r w:rsidRPr="0033435D">
        <w:t>ᵢ</w:t>
      </w:r>
      <w:r w:rsidRPr="0033435D">
        <w:rPr>
          <w:rFonts w:ascii="Garamond" w:hAnsi="Garamond"/>
          <w:vertAlign w:val="superscript"/>
        </w:rPr>
        <w:t>FF</w:t>
      </w:r>
      <w:r w:rsidRPr="0033435D">
        <w:rPr>
          <w:rFonts w:ascii="Garamond" w:hAnsi="Garamond"/>
        </w:rPr>
        <w:t xml:space="preserve"> · Δ ln(farm-gate price)</w:t>
      </w:r>
      <w:r w:rsidRPr="0033435D">
        <w:rPr>
          <w:rFonts w:ascii="Segoe UI Symbol" w:hAnsi="Segoe UI Symbol" w:cs="Segoe UI Symbol"/>
        </w:rPr>
        <w:t>ₜ</w:t>
      </w:r>
      <w:r w:rsidRPr="0033435D">
        <w:rPr>
          <w:rFonts w:ascii="Cambria Math" w:hAnsi="Cambria Math" w:cs="Cambria Math"/>
        </w:rPr>
        <w:t>₋</w:t>
      </w:r>
      <w:r w:rsidRPr="0033435D">
        <w:t>ᵢ</w:t>
      </w:r>
      <w:r w:rsidRPr="0033435D">
        <w:rPr>
          <w:rFonts w:ascii="Garamond" w:hAnsi="Garamond"/>
        </w:rPr>
        <w:t xml:space="preserve"> + λ′ · Z</w:t>
      </w:r>
      <w:r w:rsidRPr="0033435D">
        <w:rPr>
          <w:rFonts w:ascii="Segoe UI Symbol" w:hAnsi="Segoe UI Symbol" w:cs="Segoe UI Symbol"/>
        </w:rPr>
        <w:t>ₜ</w:t>
      </w:r>
      <w:r w:rsidRPr="0033435D">
        <w:rPr>
          <w:rFonts w:ascii="Garamond" w:hAnsi="Garamond"/>
        </w:rPr>
        <w:t xml:space="preserve"> + ε</w:t>
      </w:r>
      <w:r w:rsidRPr="0033435D">
        <w:rPr>
          <w:rFonts w:ascii="Segoe UI Symbol" w:hAnsi="Segoe UI Symbol" w:cs="Segoe UI Symbol"/>
        </w:rPr>
        <w:t>ₜ</w:t>
      </w:r>
    </w:p>
    <w:p w14:paraId="6AC1F95D" w14:textId="546E2CF8" w:rsidR="000F27B5" w:rsidRPr="0033435D" w:rsidRDefault="000F27B5" w:rsidP="00053940">
      <w:pPr>
        <w:pStyle w:val="p1"/>
        <w:spacing w:line="360" w:lineRule="auto"/>
        <w:ind w:left="360" w:firstLine="567"/>
        <w:rPr>
          <w:rFonts w:ascii="Garamond" w:hAnsi="Garamond"/>
        </w:rPr>
      </w:pPr>
      <w:r w:rsidRPr="0033435D">
        <w:rPr>
          <w:rFonts w:ascii="Garamond" w:hAnsi="Garamond"/>
        </w:rPr>
        <w:t>Δ ln(farm-gate price)</w:t>
      </w:r>
      <w:r w:rsidRPr="0033435D">
        <w:rPr>
          <w:rFonts w:ascii="Segoe UI Symbol" w:hAnsi="Segoe UI Symbol" w:cs="Segoe UI Symbol"/>
        </w:rPr>
        <w:t>ₜ</w:t>
      </w:r>
      <w:r w:rsidRPr="0033435D">
        <w:rPr>
          <w:rFonts w:ascii="Garamond" w:hAnsi="Garamond"/>
        </w:rPr>
        <w:t>: the monthly change in the logarithm of the farm-gate price</w:t>
      </w:r>
    </w:p>
    <w:p w14:paraId="1D6EBC7B"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α</w:t>
      </w:r>
      <w:r w:rsidRPr="0033435D">
        <w:rPr>
          <w:rFonts w:ascii="Garamond" w:hAnsi="Garamond"/>
          <w:vertAlign w:val="subscript"/>
        </w:rPr>
        <w:t>F</w:t>
      </w:r>
      <w:r w:rsidRPr="0033435D">
        <w:rPr>
          <w:rFonts w:ascii="Garamond" w:hAnsi="Garamond"/>
        </w:rPr>
        <w:t>: the speed at which the farm-gate price corrects the previous month’s long-run deviation</w:t>
      </w:r>
    </w:p>
    <w:p w14:paraId="3C4183E4" w14:textId="12A9A0C6" w:rsidR="000F27B5" w:rsidRPr="0033435D" w:rsidRDefault="000F27B5" w:rsidP="00053940">
      <w:pPr>
        <w:pStyle w:val="p1"/>
        <w:spacing w:line="360" w:lineRule="auto"/>
        <w:ind w:left="360" w:firstLine="567"/>
        <w:rPr>
          <w:rFonts w:ascii="Garamond" w:hAnsi="Garamond"/>
        </w:rPr>
      </w:pPr>
      <w:r w:rsidRPr="0033435D">
        <w:rPr>
          <w:rFonts w:ascii="Garamond" w:hAnsi="Garamond"/>
        </w:rPr>
        <w:t>ECT</w:t>
      </w:r>
      <w:r w:rsidRPr="0033435D">
        <w:rPr>
          <w:rFonts w:ascii="Segoe UI Symbol" w:hAnsi="Segoe UI Symbol" w:cs="Segoe UI Symbol"/>
        </w:rPr>
        <w:t>ₜ</w:t>
      </w:r>
      <w:r w:rsidRPr="0033435D">
        <w:rPr>
          <w:rFonts w:ascii="Cambria Math" w:hAnsi="Cambria Math" w:cs="Cambria Math"/>
        </w:rPr>
        <w:t>₋₁</w:t>
      </w:r>
      <w:r w:rsidRPr="0033435D">
        <w:rPr>
          <w:rFonts w:ascii="Garamond" w:hAnsi="Garamond"/>
        </w:rPr>
        <w:t>: the error-correction term from (1) lagged one month</w:t>
      </w:r>
    </w:p>
    <w:p w14:paraId="386D8710"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θ</w:t>
      </w:r>
      <w:r w:rsidRPr="0033435D">
        <w:t>ᵢ</w:t>
      </w:r>
      <w:r w:rsidRPr="0033435D">
        <w:rPr>
          <w:rFonts w:ascii="Garamond" w:hAnsi="Garamond"/>
          <w:vertAlign w:val="superscript"/>
        </w:rPr>
        <w:t>FR</w:t>
      </w:r>
      <w:r w:rsidRPr="0033435D">
        <w:rPr>
          <w:rFonts w:ascii="Garamond" w:hAnsi="Garamond"/>
        </w:rPr>
        <w:t xml:space="preserve">: the short-run effect of past monthly changes in the retail price on the farm-gate price at lag </w:t>
      </w:r>
      <w:r w:rsidRPr="0033435D">
        <w:rPr>
          <w:rStyle w:val="s1"/>
          <w:rFonts w:ascii="Garamond" w:eastAsiaTheme="majorEastAsia" w:hAnsi="Garamond"/>
        </w:rPr>
        <w:t>i</w:t>
      </w:r>
    </w:p>
    <w:p w14:paraId="5CE3445B"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θ</w:t>
      </w:r>
      <w:r w:rsidRPr="0033435D">
        <w:t>ᵢ</w:t>
      </w:r>
      <w:r w:rsidRPr="0033435D">
        <w:rPr>
          <w:rFonts w:ascii="Garamond" w:hAnsi="Garamond"/>
          <w:vertAlign w:val="superscript"/>
        </w:rPr>
        <w:t>FP</w:t>
      </w:r>
      <w:r w:rsidRPr="0033435D">
        <w:rPr>
          <w:rFonts w:ascii="Garamond" w:hAnsi="Garamond"/>
        </w:rPr>
        <w:t xml:space="preserve">: the short-run effect of past monthly changes in the processor price on the farm-gate price at lag </w:t>
      </w:r>
      <w:r w:rsidRPr="0033435D">
        <w:rPr>
          <w:rStyle w:val="s1"/>
          <w:rFonts w:ascii="Garamond" w:eastAsiaTheme="majorEastAsia" w:hAnsi="Garamond"/>
        </w:rPr>
        <w:t>i</w:t>
      </w:r>
    </w:p>
    <w:p w14:paraId="15C24535"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φ</w:t>
      </w:r>
      <w:r w:rsidRPr="0033435D">
        <w:t>ᵢ</w:t>
      </w:r>
      <w:r w:rsidRPr="0033435D">
        <w:rPr>
          <w:rFonts w:ascii="Garamond" w:hAnsi="Garamond"/>
          <w:vertAlign w:val="superscript"/>
        </w:rPr>
        <w:t>FF</w:t>
      </w:r>
      <w:r w:rsidRPr="0033435D">
        <w:rPr>
          <w:rFonts w:ascii="Garamond" w:hAnsi="Garamond"/>
        </w:rPr>
        <w:t>: the autoregressive terms that capture persistence in monthly farm-gate price changes</w:t>
      </w:r>
    </w:p>
    <w:p w14:paraId="58E5B62E"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Z</w:t>
      </w:r>
      <w:r w:rsidRPr="0033435D">
        <w:rPr>
          <w:rFonts w:ascii="Segoe UI Symbol" w:hAnsi="Segoe UI Symbol" w:cs="Segoe UI Symbol"/>
        </w:rPr>
        <w:t>ₜ</w:t>
      </w:r>
      <w:r w:rsidRPr="0033435D">
        <w:rPr>
          <w:rFonts w:ascii="Garamond" w:hAnsi="Garamond"/>
        </w:rPr>
        <w:t>: the vector of exogenous controls built from the data which includes promotion intensity, the share of private-label items, the classification of Everyday Low Price versus High-Low pricing regimes, consumer price inflation, exchange rates, optional external dairy benchmarks, and dated policy or logistics events</w:t>
      </w:r>
    </w:p>
    <w:p w14:paraId="7F8AD7D3"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λ: the coefficients on the exogenous controls</w:t>
      </w:r>
    </w:p>
    <w:p w14:paraId="7DCC3088" w14:textId="76991115" w:rsidR="000F27B5" w:rsidRDefault="000F27B5" w:rsidP="00053940">
      <w:pPr>
        <w:pStyle w:val="p1"/>
        <w:spacing w:line="360" w:lineRule="auto"/>
        <w:ind w:left="360" w:firstLine="567"/>
        <w:rPr>
          <w:rFonts w:ascii="Garamond" w:hAnsi="Garamond"/>
        </w:rPr>
      </w:pPr>
      <w:r w:rsidRPr="0033435D">
        <w:rPr>
          <w:rFonts w:ascii="Garamond" w:hAnsi="Garamond"/>
        </w:rPr>
        <w:t>ε</w:t>
      </w:r>
      <w:r w:rsidRPr="0033435D">
        <w:rPr>
          <w:rFonts w:ascii="Segoe UI Symbol" w:hAnsi="Segoe UI Symbol" w:cs="Segoe UI Symbol"/>
        </w:rPr>
        <w:t>ₜ</w:t>
      </w:r>
      <w:r w:rsidRPr="0033435D">
        <w:rPr>
          <w:rFonts w:ascii="Garamond" w:hAnsi="Garamond"/>
        </w:rPr>
        <w:t>: the random disturbance term for the farm-gate equation</w:t>
      </w:r>
    </w:p>
    <w:p w14:paraId="044CA6B2" w14:textId="743E2DE7" w:rsidR="003A1369" w:rsidRDefault="003A1369" w:rsidP="00053940">
      <w:pPr>
        <w:pStyle w:val="p1"/>
        <w:spacing w:line="360" w:lineRule="auto"/>
        <w:rPr>
          <w:rFonts w:ascii="Garamond" w:hAnsi="Garamond"/>
        </w:rPr>
      </w:pPr>
      <w:r w:rsidRPr="003A1369">
        <w:rPr>
          <w:rFonts w:ascii="Garamond" w:hAnsi="Garamond"/>
        </w:rPr>
        <w:t>To explicitly capture a two-way relationship along the vertical, the error-correction framework is implemented as a system, not only as a single farm-gate equation. In practice, the thesis estimates a vector error-correction model where retail, processor, and farm-gate prices are jointly determined and each stage can respond to past disequilibria and to past changes at other stages. This is the same logic as above, but applied to each stage</w:t>
      </w:r>
      <w:r>
        <w:rPr>
          <w:rFonts w:ascii="Garamond" w:hAnsi="Garamond"/>
        </w:rPr>
        <w:t xml:space="preserve"> for retail, proccessor (if available), producers (if available).</w:t>
      </w:r>
    </w:p>
    <w:p w14:paraId="480DBDC6" w14:textId="38A52ADA" w:rsidR="003A1369" w:rsidRPr="0033435D" w:rsidRDefault="003A1369" w:rsidP="00053940">
      <w:pPr>
        <w:pStyle w:val="p1"/>
        <w:spacing w:line="360" w:lineRule="auto"/>
        <w:rPr>
          <w:rFonts w:ascii="Garamond" w:hAnsi="Garamond"/>
        </w:rPr>
      </w:pPr>
      <w:r w:rsidRPr="003A1369">
        <w:rPr>
          <w:rFonts w:ascii="Garamond" w:hAnsi="Garamond"/>
        </w:rPr>
        <w:lastRenderedPageBreak/>
        <w:t>External market conditions enter through the exogenous control vector. In particular, CME Class III futures (aggregated to monthly averages) are included in Z</w:t>
      </w:r>
      <w:r w:rsidRPr="003A1369">
        <w:rPr>
          <w:rFonts w:ascii="Segoe UI Symbol" w:hAnsi="Segoe UI Symbol" w:cs="Segoe UI Symbol"/>
        </w:rPr>
        <w:t>ₜ</w:t>
      </w:r>
      <w:r w:rsidRPr="003A1369">
        <w:rPr>
          <w:rFonts w:ascii="Garamond" w:hAnsi="Garamond"/>
        </w:rPr>
        <w:t xml:space="preserve"> or X</w:t>
      </w:r>
      <w:r w:rsidRPr="003A1369">
        <w:rPr>
          <w:rFonts w:ascii="Segoe UI Symbol" w:hAnsi="Segoe UI Symbol" w:cs="Segoe UI Symbol"/>
        </w:rPr>
        <w:t>ₜ</w:t>
      </w:r>
      <w:r w:rsidRPr="003A1369">
        <w:rPr>
          <w:rFonts w:ascii="Garamond" w:hAnsi="Garamond"/>
        </w:rPr>
        <w:t xml:space="preserve"> to represent global dairy cycles and to reduce omitted-variable bias when Ukrainian prices co-move with global conditions. If the longer historical CME series is available in the final data archive, it is used to strengthen inference about long-run co-movement and structural breaks around major global dairy cycles, while the retail scraping period remains the core identification window for local retail behavior.</w:t>
      </w:r>
    </w:p>
    <w:p w14:paraId="343EC6E5" w14:textId="77777777" w:rsidR="000F27B5" w:rsidRPr="0033435D" w:rsidRDefault="000F27B5" w:rsidP="00053940">
      <w:pPr>
        <w:spacing w:before="100" w:beforeAutospacing="1" w:after="100" w:afterAutospacing="1" w:line="360" w:lineRule="auto"/>
        <w:rPr>
          <w:spacing w:val="0"/>
          <w:szCs w:val="24"/>
          <w:lang w:val="en-UA" w:eastAsia="en-GB"/>
        </w:rPr>
      </w:pPr>
      <w:r w:rsidRPr="0033435D">
        <w:rPr>
          <w:spacing w:val="0"/>
          <w:szCs w:val="24"/>
          <w:lang w:val="en-UA" w:eastAsia="en-GB"/>
        </w:rPr>
        <w:t>CME III futures serve two functions:</w:t>
      </w:r>
    </w:p>
    <w:p w14:paraId="67610D0A" w14:textId="77777777" w:rsidR="000F27B5" w:rsidRPr="0033435D" w:rsidRDefault="000F27B5" w:rsidP="00053940">
      <w:pPr>
        <w:pStyle w:val="ListParagraph"/>
        <w:numPr>
          <w:ilvl w:val="0"/>
          <w:numId w:val="11"/>
        </w:numPr>
        <w:spacing w:before="100" w:beforeAutospacing="1" w:after="100" w:afterAutospacing="1" w:line="360" w:lineRule="auto"/>
        <w:rPr>
          <w:spacing w:val="0"/>
          <w:szCs w:val="24"/>
          <w:lang w:val="en-UA" w:eastAsia="en-GB"/>
        </w:rPr>
      </w:pPr>
      <w:r w:rsidRPr="0033435D">
        <w:rPr>
          <w:spacing w:val="0"/>
          <w:szCs w:val="24"/>
          <w:lang w:val="en-UA" w:eastAsia="en-GB"/>
        </w:rPr>
        <w:t>they summarise long-term global trends affecting Ukraine’s upstream prices,</w:t>
      </w:r>
    </w:p>
    <w:p w14:paraId="113E2E46" w14:textId="77777777" w:rsidR="000F27B5" w:rsidRPr="0033435D" w:rsidRDefault="000F27B5" w:rsidP="00053940">
      <w:pPr>
        <w:pStyle w:val="ListParagraph"/>
        <w:numPr>
          <w:ilvl w:val="0"/>
          <w:numId w:val="11"/>
        </w:numPr>
        <w:spacing w:before="100" w:beforeAutospacing="1" w:after="100" w:afterAutospacing="1" w:line="360" w:lineRule="auto"/>
        <w:rPr>
          <w:spacing w:val="0"/>
          <w:szCs w:val="24"/>
          <w:lang w:val="en-UA" w:eastAsia="en-GB"/>
        </w:rPr>
      </w:pPr>
      <w:r w:rsidRPr="0033435D">
        <w:rPr>
          <w:spacing w:val="0"/>
          <w:szCs w:val="24"/>
          <w:lang w:val="en-UA" w:eastAsia="en-GB"/>
        </w:rPr>
        <w:t>they help avoid attributing global shifts to domestic retail movements, thereby strengthening identification.</w:t>
      </w:r>
    </w:p>
    <w:p w14:paraId="2886D851" w14:textId="76579403" w:rsidR="000F27B5" w:rsidRPr="0033435D" w:rsidRDefault="000F27B5" w:rsidP="00053940">
      <w:pPr>
        <w:spacing w:before="100" w:beforeAutospacing="1" w:after="100" w:afterAutospacing="1" w:line="360" w:lineRule="auto"/>
        <w:rPr>
          <w:spacing w:val="0"/>
          <w:szCs w:val="24"/>
          <w:lang w:val="en-UA" w:eastAsia="en-GB"/>
        </w:rPr>
      </w:pPr>
      <w:r w:rsidRPr="0033435D">
        <w:rPr>
          <w:spacing w:val="0"/>
          <w:szCs w:val="24"/>
          <w:lang w:val="en-UA" w:eastAsia="en-GB"/>
        </w:rPr>
        <w:t>Working with a monthly frequency ensures that upstream monthly series and retail monthly indices are aligned consistently</w:t>
      </w:r>
      <w:r w:rsidR="003A1369">
        <w:rPr>
          <w:spacing w:val="0"/>
          <w:szCs w:val="24"/>
          <w:lang w:val="en-UA" w:eastAsia="en-GB"/>
        </w:rPr>
        <w:t xml:space="preserve"> with ukrainian proccessing and export/import data and in the model with Silpo and Novus product pricing, it is taken daily</w:t>
      </w:r>
      <w:r w:rsidRPr="0033435D">
        <w:rPr>
          <w:spacing w:val="0"/>
          <w:szCs w:val="24"/>
          <w:lang w:val="en-UA" w:eastAsia="en-GB"/>
        </w:rPr>
        <w:t>.</w:t>
      </w:r>
    </w:p>
    <w:p w14:paraId="58255B30" w14:textId="4E2A146A" w:rsidR="000F27B5" w:rsidRPr="0033435D" w:rsidRDefault="000F27B5" w:rsidP="00FB79D1">
      <w:pPr>
        <w:pStyle w:val="Heading2"/>
        <w:rPr>
          <w:lang w:val="en-UA" w:eastAsia="en-GB"/>
        </w:rPr>
      </w:pPr>
      <w:bookmarkStart w:id="15" w:name="_Toc216525121"/>
      <w:r w:rsidRPr="0033435D">
        <w:rPr>
          <w:lang w:val="en-UA" w:eastAsia="en-GB"/>
        </w:rPr>
        <w:t>3.</w:t>
      </w:r>
      <w:r w:rsidRPr="0033435D">
        <w:rPr>
          <w:rFonts w:eastAsia="Times New Roman"/>
          <w:lang w:val="en-UA" w:eastAsia="en-GB"/>
        </w:rPr>
        <w:t xml:space="preserve">3 </w:t>
      </w:r>
      <w:r w:rsidR="00667A6E" w:rsidRPr="00667A6E">
        <w:t>Price leadership, two-way vertical transmission, external-market influence, and inter-product linkages</w:t>
      </w:r>
      <w:bookmarkEnd w:id="15"/>
    </w:p>
    <w:p w14:paraId="2C283062" w14:textId="77777777" w:rsidR="000F27B5" w:rsidRPr="0033435D" w:rsidRDefault="000F27B5" w:rsidP="00053940">
      <w:pPr>
        <w:spacing w:before="100" w:beforeAutospacing="1" w:after="100" w:afterAutospacing="1" w:line="360" w:lineRule="auto"/>
        <w:rPr>
          <w:spacing w:val="0"/>
          <w:szCs w:val="24"/>
          <w:lang w:val="en-UA" w:eastAsia="en-GB"/>
        </w:rPr>
      </w:pPr>
      <w:r w:rsidRPr="0033435D">
        <w:rPr>
          <w:spacing w:val="0"/>
          <w:szCs w:val="24"/>
          <w:lang w:val="en-UA" w:eastAsia="en-GB"/>
        </w:rPr>
        <w:t>Because buyer power and promotion-driven pricing strategies often generate asymmetric adjustments, the final step uses the asymmetric specification exactly as given in your formulas. This robustness extension allows the model to differentiate between widening and narrowing margins and between retail price increases and decreases.</w:t>
      </w:r>
    </w:p>
    <w:p w14:paraId="03F7DFD4" w14:textId="15C42C90" w:rsidR="000F27B5" w:rsidRDefault="000F27B5" w:rsidP="00053940">
      <w:pPr>
        <w:spacing w:before="100" w:beforeAutospacing="1" w:after="100" w:afterAutospacing="1" w:line="360" w:lineRule="auto"/>
        <w:rPr>
          <w:szCs w:val="24"/>
        </w:rPr>
      </w:pPr>
      <w:r w:rsidRPr="0033435D">
        <w:rPr>
          <w:szCs w:val="24"/>
        </w:rPr>
        <w:t>The asymmetric equation is:</w:t>
      </w:r>
    </w:p>
    <w:p w14:paraId="007EBBF0" w14:textId="0A11AF9A" w:rsidR="000F27B5" w:rsidRPr="0033435D" w:rsidRDefault="000F27B5" w:rsidP="00053940">
      <w:pPr>
        <w:pStyle w:val="p1"/>
        <w:numPr>
          <w:ilvl w:val="0"/>
          <w:numId w:val="12"/>
        </w:numPr>
        <w:spacing w:line="360" w:lineRule="auto"/>
        <w:rPr>
          <w:rFonts w:ascii="Garamond" w:hAnsi="Garamond"/>
        </w:rPr>
      </w:pPr>
      <w:r w:rsidRPr="0033435D">
        <w:rPr>
          <w:rFonts w:ascii="Garamond" w:hAnsi="Garamond"/>
        </w:rPr>
        <w:t>Δ ln(farm-gate price)</w:t>
      </w:r>
      <w:r w:rsidRPr="0033435D">
        <w:rPr>
          <w:rFonts w:ascii="Segoe UI Symbol" w:hAnsi="Segoe UI Symbol" w:cs="Segoe UI Symbol"/>
        </w:rPr>
        <w:t>ₜ</w:t>
      </w:r>
      <w:r w:rsidRPr="0033435D">
        <w:rPr>
          <w:rFonts w:ascii="Garamond" w:hAnsi="Garamond"/>
        </w:rPr>
        <w:t xml:space="preserve"> = α</w:t>
      </w:r>
      <w:r w:rsidRPr="0033435D">
        <w:rPr>
          <w:rFonts w:ascii="Garamond" w:hAnsi="Garamond"/>
          <w:vertAlign w:val="subscript"/>
        </w:rPr>
        <w:t>F</w:t>
      </w:r>
      <w:r w:rsidRPr="0033435D">
        <w:rPr>
          <w:rFonts w:ascii="Garamond" w:hAnsi="Garamond"/>
          <w:vertAlign w:val="superscript"/>
        </w:rPr>
        <w:t>+</w:t>
      </w:r>
      <w:r w:rsidRPr="0033435D">
        <w:rPr>
          <w:rFonts w:ascii="Garamond" w:hAnsi="Garamond"/>
        </w:rPr>
        <w:t xml:space="preserve"> · ECT</w:t>
      </w:r>
      <w:r w:rsidRPr="0033435D">
        <w:rPr>
          <w:rFonts w:ascii="Segoe UI Symbol" w:hAnsi="Segoe UI Symbol" w:cs="Segoe UI Symbol"/>
        </w:rPr>
        <w:t>ₜ</w:t>
      </w:r>
      <w:r w:rsidRPr="0033435D">
        <w:rPr>
          <w:rFonts w:ascii="Cambria Math" w:hAnsi="Cambria Math" w:cs="Cambria Math"/>
        </w:rPr>
        <w:t>₋₁</w:t>
      </w:r>
      <w:r w:rsidRPr="0033435D">
        <w:rPr>
          <w:rFonts w:ascii="Garamond" w:hAnsi="Garamond" w:cs="Cambria Math"/>
          <w:vertAlign w:val="superscript"/>
        </w:rPr>
        <w:t>+</w:t>
      </w:r>
      <w:r w:rsidRPr="0033435D">
        <w:rPr>
          <w:rFonts w:ascii="Garamond" w:hAnsi="Garamond"/>
        </w:rPr>
        <w:t xml:space="preserve"> + α</w:t>
      </w:r>
      <w:r w:rsidRPr="0033435D">
        <w:rPr>
          <w:rFonts w:ascii="Garamond" w:hAnsi="Garamond"/>
          <w:vertAlign w:val="subscript"/>
        </w:rPr>
        <w:t>F</w:t>
      </w:r>
      <w:r w:rsidRPr="0033435D">
        <w:rPr>
          <w:rFonts w:ascii="Garamond" w:hAnsi="Garamond"/>
          <w:vertAlign w:val="superscript"/>
        </w:rPr>
        <w:t>+</w:t>
      </w:r>
      <w:r w:rsidRPr="0033435D">
        <w:rPr>
          <w:rFonts w:ascii="Garamond" w:hAnsi="Garamond"/>
        </w:rPr>
        <w:t xml:space="preserve"> · ECT</w:t>
      </w:r>
      <w:r w:rsidRPr="0033435D">
        <w:rPr>
          <w:rFonts w:ascii="Segoe UI Symbol" w:hAnsi="Segoe UI Symbol" w:cs="Segoe UI Symbol"/>
        </w:rPr>
        <w:t>ₜ</w:t>
      </w:r>
      <w:r w:rsidRPr="0033435D">
        <w:rPr>
          <w:rFonts w:ascii="Cambria Math" w:hAnsi="Cambria Math" w:cs="Cambria Math"/>
        </w:rPr>
        <w:t>₋₁</w:t>
      </w:r>
      <w:r w:rsidRPr="0033435D">
        <w:rPr>
          <w:rFonts w:ascii="Garamond" w:hAnsi="Garamond"/>
          <w:vertAlign w:val="superscript"/>
        </w:rPr>
        <w:t>-</w:t>
      </w:r>
      <w:r w:rsidRPr="0033435D">
        <w:rPr>
          <w:rFonts w:ascii="Garamond" w:hAnsi="Garamond"/>
        </w:rPr>
        <w:t xml:space="preserve"> + Σ</w:t>
      </w:r>
      <w:r w:rsidRPr="0033435D">
        <w:rPr>
          <w:rFonts w:ascii="Garamond" w:hAnsi="Garamond"/>
          <w:vertAlign w:val="superscript"/>
        </w:rPr>
        <w:t>L</w:t>
      </w:r>
      <w:r w:rsidRPr="0033435D">
        <w:rPr>
          <w:rFonts w:ascii="Garamond" w:hAnsi="Garamond"/>
          <w:vertAlign w:val="subscript"/>
        </w:rPr>
        <w:t>i=1</w:t>
      </w:r>
      <w:r w:rsidRPr="0033435D">
        <w:rPr>
          <w:rFonts w:ascii="Garamond" w:hAnsi="Garamond"/>
        </w:rPr>
        <w:t xml:space="preserve"> θ</w:t>
      </w:r>
      <w:r w:rsidRPr="0033435D">
        <w:t>ᵢ</w:t>
      </w:r>
      <w:r w:rsidRPr="0033435D">
        <w:rPr>
          <w:rFonts w:ascii="Garamond" w:hAnsi="Garamond"/>
          <w:vertAlign w:val="superscript"/>
        </w:rPr>
        <w:t>FR+</w:t>
      </w:r>
      <w:r w:rsidRPr="0033435D">
        <w:rPr>
          <w:rFonts w:ascii="Garamond" w:hAnsi="Garamond"/>
        </w:rPr>
        <w:t>·Δ ln(retail price)</w:t>
      </w:r>
      <w:r w:rsidRPr="0033435D">
        <w:rPr>
          <w:rFonts w:ascii="Segoe UI Symbol" w:hAnsi="Segoe UI Symbol" w:cs="Segoe UI Symbol"/>
        </w:rPr>
        <w:t>ₜ</w:t>
      </w:r>
      <w:r w:rsidRPr="0033435D">
        <w:rPr>
          <w:rFonts w:ascii="Cambria Math" w:hAnsi="Cambria Math" w:cs="Cambria Math"/>
        </w:rPr>
        <w:t>₋</w:t>
      </w:r>
      <w:r w:rsidRPr="0033435D">
        <w:t>ᵢ</w:t>
      </w:r>
      <w:r w:rsidRPr="0033435D">
        <w:rPr>
          <w:rFonts w:ascii="Garamond" w:hAnsi="Garamond"/>
          <w:vertAlign w:val="superscript"/>
        </w:rPr>
        <w:t>+</w:t>
      </w:r>
      <w:r w:rsidRPr="0033435D">
        <w:rPr>
          <w:rFonts w:ascii="Garamond" w:hAnsi="Garamond"/>
        </w:rPr>
        <w:t xml:space="preserve"> + Σ</w:t>
      </w:r>
      <w:r w:rsidRPr="0033435D">
        <w:rPr>
          <w:rFonts w:ascii="Garamond" w:hAnsi="Garamond"/>
          <w:vertAlign w:val="superscript"/>
        </w:rPr>
        <w:t xml:space="preserve"> L</w:t>
      </w:r>
      <w:r w:rsidRPr="0033435D">
        <w:rPr>
          <w:rFonts w:ascii="Garamond" w:hAnsi="Garamond"/>
          <w:vertAlign w:val="subscript"/>
        </w:rPr>
        <w:t>i=1</w:t>
      </w:r>
      <w:r w:rsidRPr="0033435D">
        <w:rPr>
          <w:rFonts w:ascii="Garamond" w:hAnsi="Garamond"/>
        </w:rPr>
        <w:t>θ</w:t>
      </w:r>
      <w:r w:rsidRPr="0033435D">
        <w:t>ᵢ</w:t>
      </w:r>
      <w:r w:rsidRPr="0033435D">
        <w:rPr>
          <w:rFonts w:ascii="Garamond" w:hAnsi="Garamond"/>
          <w:vertAlign w:val="superscript"/>
        </w:rPr>
        <w:t xml:space="preserve">FR </w:t>
      </w:r>
      <w:r w:rsidRPr="0033435D">
        <w:rPr>
          <w:rFonts w:ascii="Garamond" w:hAnsi="Garamond"/>
        </w:rPr>
        <w:t>· Δ ln(retail price)</w:t>
      </w:r>
      <w:r w:rsidRPr="0033435D">
        <w:rPr>
          <w:rFonts w:ascii="Segoe UI Symbol" w:hAnsi="Segoe UI Symbol" w:cs="Segoe UI Symbol"/>
        </w:rPr>
        <w:t>ₜ</w:t>
      </w:r>
      <w:r w:rsidRPr="0033435D">
        <w:rPr>
          <w:rFonts w:ascii="Cambria Math" w:hAnsi="Cambria Math" w:cs="Cambria Math"/>
        </w:rPr>
        <w:t>₋</w:t>
      </w:r>
      <w:r w:rsidRPr="0033435D">
        <w:t>ᵢ</w:t>
      </w:r>
      <w:r w:rsidRPr="0033435D">
        <w:rPr>
          <w:rFonts w:ascii="Garamond" w:hAnsi="Garamond"/>
          <w:vertAlign w:val="superscript"/>
        </w:rPr>
        <w:t>-</w:t>
      </w:r>
      <w:r w:rsidRPr="0033435D">
        <w:rPr>
          <w:rFonts w:ascii="Garamond" w:hAnsi="Garamond"/>
        </w:rPr>
        <w:t xml:space="preserve"> + λ</w:t>
      </w:r>
      <w:r w:rsidRPr="0033435D">
        <w:rPr>
          <w:rFonts w:ascii="Garamond" w:hAnsi="Garamond"/>
          <w:vertAlign w:val="subscript"/>
        </w:rPr>
        <w:t>F</w:t>
      </w:r>
      <w:r w:rsidRPr="0033435D">
        <w:rPr>
          <w:rFonts w:ascii="Garamond" w:hAnsi="Garamond"/>
        </w:rPr>
        <w:t>′·Z</w:t>
      </w:r>
      <w:r w:rsidRPr="0033435D">
        <w:rPr>
          <w:rFonts w:ascii="Segoe UI Symbol" w:hAnsi="Segoe UI Symbol" w:cs="Segoe UI Symbol"/>
        </w:rPr>
        <w:t>ₜ</w:t>
      </w:r>
      <w:r w:rsidRPr="0033435D">
        <w:rPr>
          <w:rFonts w:ascii="Garamond" w:hAnsi="Garamond"/>
        </w:rPr>
        <w:t xml:space="preserve"> + ε</w:t>
      </w:r>
      <w:r w:rsidRPr="0033435D">
        <w:rPr>
          <w:rFonts w:ascii="Segoe UI Symbol" w:hAnsi="Segoe UI Symbol" w:cs="Segoe UI Symbol"/>
        </w:rPr>
        <w:t>ₜ</w:t>
      </w:r>
    </w:p>
    <w:p w14:paraId="18FCA3B5"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ECT</w:t>
      </w:r>
      <w:r w:rsidRPr="0033435D">
        <w:rPr>
          <w:rFonts w:ascii="Segoe UI Symbol" w:hAnsi="Segoe UI Symbol" w:cs="Segoe UI Symbol"/>
        </w:rPr>
        <w:t>ₜ</w:t>
      </w:r>
      <w:r w:rsidRPr="0033435D">
        <w:rPr>
          <w:rFonts w:ascii="Cambria Math" w:hAnsi="Cambria Math" w:cs="Cambria Math"/>
        </w:rPr>
        <w:t>₋₁</w:t>
      </w:r>
      <w:r w:rsidRPr="0033435D">
        <w:rPr>
          <w:rFonts w:ascii="Garamond" w:hAnsi="Garamond" w:cs="Cambria Math"/>
          <w:vertAlign w:val="superscript"/>
        </w:rPr>
        <w:t>+</w:t>
      </w:r>
      <w:r w:rsidRPr="0033435D">
        <w:rPr>
          <w:rFonts w:ascii="Garamond" w:hAnsi="Garamond"/>
        </w:rPr>
        <w:t xml:space="preserve"> , ECT</w:t>
      </w:r>
      <w:r w:rsidRPr="0033435D">
        <w:rPr>
          <w:rFonts w:ascii="Segoe UI Symbol" w:hAnsi="Segoe UI Symbol" w:cs="Segoe UI Symbol"/>
        </w:rPr>
        <w:t>ₜ</w:t>
      </w:r>
      <w:r w:rsidRPr="0033435D">
        <w:rPr>
          <w:rFonts w:ascii="Cambria Math" w:hAnsi="Cambria Math" w:cs="Cambria Math"/>
        </w:rPr>
        <w:t>₋₁</w:t>
      </w:r>
      <w:r w:rsidRPr="0033435D">
        <w:rPr>
          <w:rFonts w:ascii="Garamond" w:hAnsi="Garamond"/>
          <w:vertAlign w:val="superscript"/>
        </w:rPr>
        <w:t>-</w:t>
      </w:r>
      <w:r w:rsidRPr="0033435D">
        <w:rPr>
          <w:rFonts w:ascii="Garamond" w:hAnsi="Garamond"/>
        </w:rPr>
        <w:t>: positive and negative parts of the lagged deviation</w:t>
      </w:r>
    </w:p>
    <w:p w14:paraId="2F210F1A"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α</w:t>
      </w:r>
      <w:r w:rsidRPr="0033435D">
        <w:rPr>
          <w:rFonts w:ascii="Garamond" w:hAnsi="Garamond"/>
          <w:vertAlign w:val="subscript"/>
        </w:rPr>
        <w:t>F</w:t>
      </w:r>
      <w:r w:rsidRPr="0033435D">
        <w:rPr>
          <w:rFonts w:ascii="Garamond" w:hAnsi="Garamond"/>
          <w:vertAlign w:val="superscript"/>
        </w:rPr>
        <w:t xml:space="preserve">+ </w:t>
      </w:r>
      <w:r w:rsidRPr="0033435D">
        <w:rPr>
          <w:rFonts w:ascii="Garamond" w:hAnsi="Garamond"/>
        </w:rPr>
        <w:t>, α</w:t>
      </w:r>
      <w:r w:rsidRPr="0033435D">
        <w:rPr>
          <w:rFonts w:ascii="Garamond" w:hAnsi="Garamond"/>
          <w:vertAlign w:val="subscript"/>
        </w:rPr>
        <w:t>F</w:t>
      </w:r>
      <w:r w:rsidRPr="0033435D">
        <w:rPr>
          <w:rFonts w:ascii="Garamond" w:hAnsi="Garamond"/>
          <w:vertAlign w:val="superscript"/>
        </w:rPr>
        <w:t xml:space="preserve">- </w:t>
      </w:r>
      <w:r w:rsidRPr="0033435D">
        <w:rPr>
          <w:rFonts w:ascii="Garamond" w:hAnsi="Garamond"/>
        </w:rPr>
        <w:t>: adjustment speeds when the margin is above versus below its long-run level</w:t>
      </w:r>
    </w:p>
    <w:p w14:paraId="224D2E34"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lastRenderedPageBreak/>
        <w:t>Δ ln(retail price)</w:t>
      </w:r>
      <w:r w:rsidRPr="0033435D">
        <w:rPr>
          <w:rFonts w:ascii="Segoe UI Symbol" w:hAnsi="Segoe UI Symbol" w:cs="Segoe UI Symbol"/>
        </w:rPr>
        <w:t>ₜ</w:t>
      </w:r>
      <w:r w:rsidRPr="0033435D">
        <w:rPr>
          <w:rFonts w:ascii="Cambria Math" w:hAnsi="Cambria Math" w:cs="Cambria Math"/>
        </w:rPr>
        <w:t>₋</w:t>
      </w:r>
      <w:r w:rsidRPr="0033435D">
        <w:t>ᵢ</w:t>
      </w:r>
      <w:r w:rsidRPr="0033435D">
        <w:rPr>
          <w:rFonts w:ascii="Garamond" w:hAnsi="Garamond"/>
          <w:vertAlign w:val="superscript"/>
        </w:rPr>
        <w:t>+</w:t>
      </w:r>
      <w:r w:rsidRPr="0033435D">
        <w:rPr>
          <w:rFonts w:ascii="Garamond" w:hAnsi="Garamond"/>
        </w:rPr>
        <w:t xml:space="preserve"> , Δ ln(retail price)</w:t>
      </w:r>
      <w:r w:rsidRPr="0033435D">
        <w:rPr>
          <w:rFonts w:ascii="Segoe UI Symbol" w:hAnsi="Segoe UI Symbol" w:cs="Segoe UI Symbol"/>
        </w:rPr>
        <w:t>ₜ</w:t>
      </w:r>
      <w:r w:rsidRPr="0033435D">
        <w:rPr>
          <w:rFonts w:ascii="Cambria Math" w:hAnsi="Cambria Math" w:cs="Cambria Math"/>
        </w:rPr>
        <w:t>₋</w:t>
      </w:r>
      <w:r w:rsidRPr="0033435D">
        <w:t>ᵢ</w:t>
      </w:r>
      <w:r w:rsidRPr="0033435D">
        <w:rPr>
          <w:rFonts w:ascii="Garamond" w:hAnsi="Garamond"/>
          <w:vertAlign w:val="superscript"/>
        </w:rPr>
        <w:t>-</w:t>
      </w:r>
      <w:r w:rsidRPr="0033435D">
        <w:rPr>
          <w:rFonts w:ascii="Garamond" w:hAnsi="Garamond"/>
        </w:rPr>
        <w:t xml:space="preserve"> positive and negative parts of lagged retail price changes</w:t>
      </w:r>
    </w:p>
    <w:p w14:paraId="05F2433E" w14:textId="77777777" w:rsidR="000F27B5" w:rsidRPr="0033435D" w:rsidRDefault="000F27B5" w:rsidP="00053940">
      <w:pPr>
        <w:pStyle w:val="p1"/>
        <w:spacing w:line="360" w:lineRule="auto"/>
        <w:ind w:left="360" w:firstLine="567"/>
        <w:rPr>
          <w:rFonts w:ascii="Garamond" w:hAnsi="Garamond"/>
        </w:rPr>
      </w:pPr>
      <w:r w:rsidRPr="0033435D">
        <w:rPr>
          <w:rFonts w:ascii="Garamond" w:hAnsi="Garamond"/>
        </w:rPr>
        <w:t>θ</w:t>
      </w:r>
      <w:r w:rsidRPr="0033435D">
        <w:t>ᵢ</w:t>
      </w:r>
      <w:r w:rsidRPr="0033435D">
        <w:rPr>
          <w:rFonts w:ascii="Garamond" w:hAnsi="Garamond"/>
          <w:vertAlign w:val="superscript"/>
        </w:rPr>
        <w:t>FR+</w:t>
      </w:r>
      <w:r w:rsidRPr="0033435D">
        <w:rPr>
          <w:rFonts w:ascii="Garamond" w:hAnsi="Garamond"/>
        </w:rPr>
        <w:t xml:space="preserve"> , θ</w:t>
      </w:r>
      <w:r w:rsidRPr="0033435D">
        <w:t>ᵢ</w:t>
      </w:r>
      <w:r w:rsidRPr="0033435D">
        <w:rPr>
          <w:rFonts w:ascii="Garamond" w:hAnsi="Garamond"/>
          <w:vertAlign w:val="superscript"/>
        </w:rPr>
        <w:t xml:space="preserve">FR- </w:t>
      </w:r>
      <w:r w:rsidRPr="0033435D">
        <w:rPr>
          <w:rFonts w:ascii="Garamond" w:hAnsi="Garamond"/>
        </w:rPr>
        <w:t>: short-run effects of retail increases and retail decreases on the farm-gate price</w:t>
      </w:r>
    </w:p>
    <w:p w14:paraId="4613CBD0" w14:textId="58B601A9" w:rsidR="000F27B5" w:rsidRPr="0033435D" w:rsidRDefault="000F27B5" w:rsidP="00053940">
      <w:pPr>
        <w:pStyle w:val="p1"/>
        <w:spacing w:line="360" w:lineRule="auto"/>
        <w:ind w:left="360" w:firstLine="567"/>
        <w:rPr>
          <w:rFonts w:ascii="Garamond" w:hAnsi="Garamond"/>
        </w:rPr>
      </w:pPr>
      <w:r w:rsidRPr="0033435D">
        <w:rPr>
          <w:rFonts w:ascii="Garamond" w:hAnsi="Garamond"/>
        </w:rPr>
        <w:t>Z</w:t>
      </w:r>
      <w:r w:rsidRPr="0033435D">
        <w:rPr>
          <w:rFonts w:ascii="Segoe UI Symbol" w:hAnsi="Segoe UI Symbol" w:cs="Segoe UI Symbol"/>
        </w:rPr>
        <w:t>ₜ</w:t>
      </w:r>
      <w:r w:rsidRPr="0033435D">
        <w:rPr>
          <w:rFonts w:ascii="Garamond" w:hAnsi="Garamond" w:cs="Segoe UI Symbol"/>
        </w:rPr>
        <w:t xml:space="preserve"> </w:t>
      </w:r>
      <w:r w:rsidRPr="0033435D">
        <w:rPr>
          <w:rFonts w:ascii="Garamond" w:hAnsi="Garamond"/>
        </w:rPr>
        <w:t>, λ , ε</w:t>
      </w:r>
      <w:r w:rsidRPr="0033435D">
        <w:rPr>
          <w:rFonts w:ascii="Segoe UI Symbol" w:hAnsi="Segoe UI Symbol" w:cs="Segoe UI Symbol"/>
        </w:rPr>
        <w:t>ₜ</w:t>
      </w:r>
      <w:r w:rsidRPr="0033435D">
        <w:rPr>
          <w:rFonts w:ascii="Garamond" w:hAnsi="Garamond"/>
        </w:rPr>
        <w:t>: same exogenous controls, their coefficients, and the disturbance term as in (2)</w:t>
      </w:r>
    </w:p>
    <w:p w14:paraId="0A0E13AC" w14:textId="2252E1FD" w:rsidR="004C6C66" w:rsidRPr="00667A6E" w:rsidRDefault="000F27B5" w:rsidP="00053940">
      <w:pPr>
        <w:pStyle w:val="p1"/>
        <w:spacing w:line="360" w:lineRule="auto"/>
        <w:rPr>
          <w:rFonts w:ascii="Garamond" w:hAnsi="Garamond"/>
        </w:rPr>
      </w:pPr>
      <w:r w:rsidRPr="0033435D">
        <w:rPr>
          <w:rFonts w:ascii="Garamond" w:hAnsi="Garamond"/>
        </w:rPr>
        <w:t>Importantly, this asymmetric system remains feasible because all variables required for it are already present in your dataset. No additional data collection or unavailable high-frequency series are needed.</w:t>
      </w:r>
    </w:p>
    <w:p w14:paraId="57BBCE36" w14:textId="326373A9" w:rsidR="00667A6E" w:rsidRPr="00667A6E" w:rsidRDefault="00667A6E" w:rsidP="00053940">
      <w:pPr>
        <w:pStyle w:val="p1"/>
        <w:spacing w:line="360" w:lineRule="auto"/>
        <w:rPr>
          <w:rFonts w:ascii="Garamond" w:hAnsi="Garamond"/>
          <w:b/>
          <w:bCs/>
          <w:lang w:val="uk-UA"/>
        </w:rPr>
      </w:pPr>
      <w:r w:rsidRPr="00667A6E">
        <w:rPr>
          <w:rFonts w:ascii="Garamond" w:hAnsi="Garamond"/>
          <w:b/>
          <w:bCs/>
        </w:rPr>
        <w:t>3.3 Price leadership, two-way vertical transmission, external-market influence, and inter-product linkages</w:t>
      </w:r>
    </w:p>
    <w:p w14:paraId="4C633EA3" w14:textId="66812A7E" w:rsidR="00667A6E" w:rsidRPr="00667A6E" w:rsidRDefault="00667A6E" w:rsidP="00053940">
      <w:pPr>
        <w:pStyle w:val="p1"/>
        <w:spacing w:line="360" w:lineRule="auto"/>
        <w:rPr>
          <w:rFonts w:ascii="Garamond" w:hAnsi="Garamond"/>
          <w:lang w:val="en-US"/>
        </w:rPr>
      </w:pPr>
      <w:r w:rsidRPr="00667A6E">
        <w:rPr>
          <w:rFonts w:ascii="Garamond" w:hAnsi="Garamond"/>
        </w:rPr>
        <w:t>A key goal of this thesis is not only to measure whether prices move together along the dairy chain, but to understand who leads the adjustment process. In practice, this means distinguishing two competing interpretations of the same observed co-movement. One interpretation is that retail prices are mainly cost-driven and follow upstream conditions. The other is that retail pricing decisions shape the market and upstream prices adjust to them with a lag. To answer this credibly, the empirical framework must allow two-way feedback across the vertical stages and must also control for global dairy cycles, because external shocks can create apparent co-movement even when domestic leadership is absent.</w:t>
      </w:r>
    </w:p>
    <w:p w14:paraId="1666CC28" w14:textId="77777777" w:rsidR="00667A6E" w:rsidRPr="00667A6E" w:rsidRDefault="00667A6E" w:rsidP="00053940">
      <w:pPr>
        <w:pStyle w:val="p1"/>
        <w:spacing w:line="360" w:lineRule="auto"/>
        <w:rPr>
          <w:rFonts w:ascii="Garamond" w:hAnsi="Garamond"/>
        </w:rPr>
      </w:pPr>
      <w:r w:rsidRPr="00667A6E">
        <w:rPr>
          <w:rFonts w:ascii="Garamond" w:hAnsi="Garamond"/>
        </w:rPr>
        <w:t>The analysis therefore implements the error-correction approach as a joint system for the three core price stages. Let the monthly price vector be:</w:t>
      </w:r>
    </w:p>
    <w:p w14:paraId="23613282" w14:textId="41C1B901" w:rsidR="00667A6E" w:rsidRPr="00667A6E" w:rsidRDefault="00000000" w:rsidP="00F22DC2">
      <w:pPr>
        <w:pStyle w:val="p1"/>
        <w:spacing w:line="360" w:lineRule="auto"/>
        <w:jc w:val="center"/>
        <w:rPr>
          <w:rFonts w:ascii="Garamond" w:hAnsi="Garamond"/>
        </w:rPr>
      </w:pPr>
      <m:oMath>
        <m:sSub>
          <m:sSubPr>
            <m:ctrlPr>
              <w:rPr>
                <w:rStyle w:val="mord"/>
                <w:rFonts w:ascii="Cambria Math" w:eastAsiaTheme="majorEastAsia" w:hAnsi="Cambria Math"/>
              </w:rPr>
            </m:ctrlPr>
          </m:sSubPr>
          <m:e>
            <m:r>
              <m:rPr>
                <m:sty m:val="p"/>
              </m:rPr>
              <w:rPr>
                <w:rStyle w:val="mord"/>
                <w:rFonts w:ascii="Cambria Math" w:eastAsiaTheme="majorEastAsia" w:hAnsi="Cambria Math"/>
              </w:rPr>
              <m:t>Y</m:t>
            </m:r>
          </m:e>
          <m:sub>
            <m:r>
              <m:rPr>
                <m:sty m:val="p"/>
              </m:rPr>
              <w:rPr>
                <w:rStyle w:val="mord"/>
                <w:rFonts w:ascii="Cambria Math" w:eastAsiaTheme="majorEastAsia" w:hAnsi="Cambria Math"/>
              </w:rPr>
              <m:t>t</m:t>
            </m:r>
          </m:sub>
        </m:sSub>
        <m:r>
          <m:rPr>
            <m:sty m:val="p"/>
          </m:rPr>
          <w:rPr>
            <w:rStyle w:val="vlist-s"/>
            <w:rFonts w:ascii="Cambria Math" w:eastAsiaTheme="majorEastAsia" w:hAnsi="Cambria Math"/>
          </w:rPr>
          <m:t>​</m:t>
        </m:r>
        <m:r>
          <m:rPr>
            <m:sty m:val="p"/>
          </m:rPr>
          <w:rPr>
            <w:rStyle w:val="mrel"/>
            <w:rFonts w:ascii="Cambria Math" w:eastAsiaTheme="majorEastAsia" w:hAnsi="Cambria Math"/>
          </w:rPr>
          <m:t>=</m:t>
        </m:r>
        <m:d>
          <m:dPr>
            <m:begChr m:val="["/>
            <m:endChr m:val="]"/>
            <m:ctrlPr>
              <w:rPr>
                <w:rStyle w:val="mrel"/>
                <w:rFonts w:ascii="Cambria Math" w:eastAsiaTheme="majorEastAsia" w:hAnsi="Cambria Math"/>
              </w:rPr>
            </m:ctrlPr>
          </m:dPr>
          <m:e>
            <m:r>
              <m:rPr>
                <m:sty m:val="p"/>
              </m:rPr>
              <w:rPr>
                <w:rStyle w:val="vlist-s"/>
                <w:rFonts w:ascii="Cambria Math" w:eastAsiaTheme="majorEastAsia" w:hAnsi="Cambria Math"/>
              </w:rPr>
              <m:t>​</m:t>
            </m:r>
            <m:m>
              <m:mPr>
                <m:mcs>
                  <m:mc>
                    <m:mcPr>
                      <m:count m:val="1"/>
                      <m:mcJc m:val="center"/>
                    </m:mcPr>
                  </m:mc>
                </m:mcs>
                <m:ctrlPr>
                  <w:rPr>
                    <w:rStyle w:val="mop"/>
                    <w:rFonts w:ascii="Cambria Math" w:eastAsiaTheme="majorEastAsia" w:hAnsi="Cambria Math"/>
                    <w:i/>
                    <w:iCs/>
                  </w:rPr>
                </m:ctrlPr>
              </m:mPr>
              <m:mr>
                <m:e>
                  <m: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i/>
                              <w:lang w:val="en-US"/>
                            </w:rPr>
                          </m:ctrlPr>
                        </m:sSubSupPr>
                        <m:e>
                          <m:r>
                            <m:rPr>
                              <m:sty m:val="p"/>
                            </m:rPr>
                            <w:rPr>
                              <w:rStyle w:val="mord"/>
                              <w:rFonts w:ascii="Cambria Math" w:eastAsiaTheme="majorEastAsia" w:hAnsi="Cambria Math"/>
                            </w:rPr>
                            <m:t>P</m:t>
                          </m:r>
                          <m:ctrlPr>
                            <w:rPr>
                              <w:rStyle w:val="mord"/>
                              <w:rFonts w:ascii="Cambria Math" w:eastAsiaTheme="majorEastAsia" w:hAnsi="Cambria Math"/>
                            </w:rPr>
                          </m:ctrlPr>
                        </m:e>
                        <m:sub>
                          <m:r>
                            <m:rPr>
                              <m:sty m:val="p"/>
                            </m:rPr>
                            <w:rPr>
                              <w:rStyle w:val="mord"/>
                              <w:rFonts w:ascii="Cambria Math" w:eastAsiaTheme="majorEastAsia" w:hAnsi="Cambria Math"/>
                            </w:rPr>
                            <m:t>t</m:t>
                          </m:r>
                          <m:ctrlPr>
                            <w:rPr>
                              <w:rStyle w:val="mord"/>
                              <w:rFonts w:ascii="Cambria Math" w:eastAsiaTheme="majorEastAsia" w:hAnsi="Cambria Math"/>
                            </w:rPr>
                          </m:ctrlPr>
                        </m:sub>
                        <m:sup>
                          <m:r>
                            <m:rPr>
                              <m:sty m:val="p"/>
                            </m:rPr>
                            <w:rPr>
                              <w:rStyle w:val="mord"/>
                              <w:rFonts w:ascii="Cambria Math" w:eastAsiaTheme="majorEastAsia" w:hAnsi="Cambria Math"/>
                            </w:rPr>
                            <m:t>R</m:t>
                          </m:r>
                        </m:sup>
                      </m:sSubSup>
                      <m:r>
                        <m:rPr>
                          <m:sty m:val="p"/>
                        </m:rPr>
                        <w:rPr>
                          <w:rStyle w:val="vlist-s"/>
                          <w:rFonts w:ascii="Cambria Math" w:eastAsiaTheme="majorEastAsia" w:hAnsi="Cambria Math"/>
                        </w:rPr>
                        <m:t>​</m:t>
                      </m:r>
                      <m:ctrlPr>
                        <w:rPr>
                          <w:rStyle w:val="mclose"/>
                          <w:rFonts w:ascii="Cambria Math" w:eastAsiaTheme="majorEastAsia" w:hAnsi="Cambria Math"/>
                          <w:b/>
                          <w:bCs/>
                        </w:rPr>
                      </m:ctrlPr>
                    </m:e>
                  </m:d>
                  <m:r>
                    <m:rPr>
                      <m:sty m:val="p"/>
                    </m:rPr>
                    <w:rPr>
                      <w:rStyle w:val="vlist-s"/>
                      <w:rFonts w:ascii="Cambria Math" w:eastAsiaTheme="majorEastAsia" w:hAnsi="Cambria Math"/>
                    </w:rPr>
                    <m:t>​</m:t>
                  </m:r>
                </m:e>
              </m:mr>
              <m:mr>
                <m:e>
                  <m: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i/>
                              <w:iCs/>
                            </w:rPr>
                          </m:ctrlPr>
                        </m:sSubSupPr>
                        <m:e>
                          <m:r>
                            <w:rPr>
                              <w:rStyle w:val="mord"/>
                              <w:rFonts w:ascii="Cambria Math" w:eastAsiaTheme="majorEastAsia" w:hAnsi="Cambria Math"/>
                            </w:rPr>
                            <m:t>P</m:t>
                          </m:r>
                        </m:e>
                        <m:sub>
                          <m:r>
                            <w:rPr>
                              <w:rStyle w:val="mord"/>
                              <w:rFonts w:ascii="Cambria Math" w:eastAsiaTheme="majorEastAsia" w:hAnsi="Cambria Math"/>
                            </w:rPr>
                            <m:t>t</m:t>
                          </m:r>
                        </m:sub>
                        <m:sup>
                          <m:r>
                            <w:rPr>
                              <w:rStyle w:val="mord"/>
                              <w:rFonts w:ascii="Cambria Math" w:eastAsiaTheme="majorEastAsia" w:hAnsi="Cambria Math"/>
                            </w:rPr>
                            <m:t>P</m:t>
                          </m:r>
                        </m:sup>
                      </m:sSubSup>
                      <m:r>
                        <m:rPr>
                          <m:sty m:val="p"/>
                        </m:rPr>
                        <w:rPr>
                          <w:rStyle w:val="vlist-s"/>
                          <w:rFonts w:ascii="Cambria Math" w:eastAsiaTheme="majorEastAsia" w:hAnsi="Cambria Math"/>
                        </w:rPr>
                        <m:t>​</m:t>
                      </m:r>
                      <m:ctrlPr>
                        <w:rPr>
                          <w:rStyle w:val="mclose"/>
                          <w:rFonts w:ascii="Cambria Math" w:eastAsiaTheme="majorEastAsia" w:hAnsi="Cambria Math"/>
                          <w:b/>
                          <w:bCs/>
                        </w:rPr>
                      </m:ctrlPr>
                    </m:e>
                  </m:d>
                </m:e>
              </m:mr>
              <m:mr>
                <m:e>
                  <m: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i/>
                              <w:iCs/>
                            </w:rPr>
                          </m:ctrlPr>
                        </m:sSubSupPr>
                        <m:e>
                          <m:r>
                            <w:rPr>
                              <w:rStyle w:val="mord"/>
                              <w:rFonts w:ascii="Cambria Math" w:eastAsiaTheme="majorEastAsia" w:hAnsi="Cambria Math"/>
                            </w:rPr>
                            <m:t>P</m:t>
                          </m:r>
                          <m:ctrlPr>
                            <w:rPr>
                              <w:rStyle w:val="mopen"/>
                              <w:rFonts w:ascii="Cambria Math" w:eastAsiaTheme="majorEastAsia" w:hAnsi="Cambria Math"/>
                            </w:rPr>
                          </m:ctrlPr>
                        </m:e>
                        <m:sub>
                          <m:r>
                            <w:rPr>
                              <w:rStyle w:val="mord"/>
                              <w:rFonts w:ascii="Cambria Math" w:eastAsiaTheme="majorEastAsia" w:hAnsi="Cambria Math"/>
                            </w:rPr>
                            <m:t>t</m:t>
                          </m:r>
                        </m:sub>
                        <m:sup>
                          <m:r>
                            <w:rPr>
                              <w:rStyle w:val="mord"/>
                              <w:rFonts w:ascii="Cambria Math" w:eastAsiaTheme="majorEastAsia" w:hAnsi="Cambria Math"/>
                            </w:rPr>
                            <m:t>F</m:t>
                          </m:r>
                        </m:sup>
                      </m:sSubSup>
                      <m:ctrlPr>
                        <w:rPr>
                          <w:rStyle w:val="mord"/>
                          <w:rFonts w:ascii="Cambria Math" w:eastAsiaTheme="majorEastAsia" w:hAnsi="Cambria Math"/>
                          <w:i/>
                          <w:iCs/>
                        </w:rPr>
                      </m:ctrlPr>
                    </m:e>
                  </m:d>
                </m:e>
              </m:mr>
            </m:m>
            <m:r>
              <m:rPr>
                <m:sty m:val="p"/>
              </m:rPr>
              <w:rPr>
                <w:rStyle w:val="vlist-s"/>
                <w:rFonts w:ascii="Cambria Math" w:eastAsiaTheme="majorEastAsia" w:hAnsi="Cambria Math"/>
              </w:rPr>
              <m:t>​​</m:t>
            </m:r>
            <m:ctrlPr>
              <w:rPr>
                <w:rStyle w:val="vlist-s"/>
                <w:rFonts w:ascii="Cambria Math" w:eastAsiaTheme="majorEastAsia" w:hAnsi="Cambria Math"/>
              </w:rPr>
            </m:ctrlPr>
          </m:e>
        </m:d>
      </m:oMath>
      <w:r w:rsidR="00F22DC2">
        <w:rPr>
          <w:rStyle w:val="mpunct"/>
          <w:rFonts w:ascii="Garamond" w:hAnsi="Garamond"/>
        </w:rPr>
        <w:t>,</w:t>
      </w:r>
    </w:p>
    <w:p w14:paraId="62DB6CC8" w14:textId="1A7BC111" w:rsidR="00667A6E" w:rsidRPr="00667A6E" w:rsidRDefault="00667A6E" w:rsidP="00053940">
      <w:pPr>
        <w:pStyle w:val="p1"/>
        <w:spacing w:line="360" w:lineRule="auto"/>
        <w:rPr>
          <w:rFonts w:ascii="Garamond" w:hAnsi="Garamond"/>
        </w:rPr>
      </w:pPr>
      <w:r w:rsidRPr="00667A6E">
        <w:rPr>
          <w:rFonts w:ascii="Garamond" w:hAnsi="Garamond"/>
        </w:rPr>
        <w:t xml:space="preserve">where </w:t>
      </w:r>
      <m:oMath>
        <m:sSubSup>
          <m:sSubSupPr>
            <m:ctrlPr>
              <w:rPr>
                <w:rStyle w:val="mord"/>
                <w:rFonts w:ascii="Cambria Math" w:eastAsiaTheme="majorEastAsia" w:hAnsi="Cambria Math"/>
                <w:i/>
                <w:lang w:val="en-US"/>
              </w:rPr>
            </m:ctrlPr>
          </m:sSubSupPr>
          <m:e>
            <m:r>
              <w:rPr>
                <w:rStyle w:val="mord"/>
                <w:rFonts w:ascii="Cambria Math" w:eastAsiaTheme="majorEastAsia" w:hAnsi="Cambria Math"/>
              </w:rPr>
              <m:t>P</m:t>
            </m:r>
            <m:ctrlPr>
              <w:rPr>
                <w:rStyle w:val="mord"/>
                <w:rFonts w:ascii="Cambria Math" w:eastAsiaTheme="majorEastAsia" w:hAnsi="Cambria Math"/>
              </w:rPr>
            </m:ctrlPr>
          </m:e>
          <m:sub>
            <m:r>
              <w:rPr>
                <w:rStyle w:val="mord"/>
                <w:rFonts w:ascii="Cambria Math" w:eastAsiaTheme="majorEastAsia" w:hAnsi="Cambria Math"/>
              </w:rPr>
              <m:t>t</m:t>
            </m:r>
            <m:ctrlPr>
              <w:rPr>
                <w:rStyle w:val="mord"/>
                <w:rFonts w:ascii="Cambria Math" w:eastAsiaTheme="majorEastAsia" w:hAnsi="Cambria Math"/>
              </w:rPr>
            </m:ctrlPr>
          </m:sub>
          <m:sup>
            <m:r>
              <w:rPr>
                <w:rStyle w:val="mord"/>
                <w:rFonts w:ascii="Cambria Math" w:eastAsiaTheme="majorEastAsia" w:hAnsi="Cambria Math"/>
              </w:rPr>
              <m:t>R</m:t>
            </m:r>
          </m:sup>
        </m:sSubSup>
      </m:oMath>
      <w:r w:rsidRPr="00667A6E">
        <w:rPr>
          <w:rFonts w:ascii="Garamond" w:hAnsi="Garamond"/>
        </w:rPr>
        <w:t xml:space="preserve">is the retail price index, </w:t>
      </w:r>
      <m:oMath>
        <m:sSubSup>
          <m:sSubSupPr>
            <m:ctrlPr>
              <w:rPr>
                <w:rStyle w:val="mord"/>
                <w:rFonts w:ascii="Cambria Math" w:eastAsiaTheme="majorEastAsia" w:hAnsi="Cambria Math"/>
                <w:i/>
                <w:iCs/>
              </w:rPr>
            </m:ctrlPr>
          </m:sSubSupPr>
          <m:e>
            <m:r>
              <w:rPr>
                <w:rStyle w:val="mord"/>
                <w:rFonts w:ascii="Cambria Math" w:eastAsiaTheme="majorEastAsia" w:hAnsi="Cambria Math"/>
              </w:rPr>
              <m:t>P</m:t>
            </m:r>
          </m:e>
          <m:sub>
            <m:r>
              <w:rPr>
                <w:rStyle w:val="mord"/>
                <w:rFonts w:ascii="Cambria Math" w:eastAsiaTheme="majorEastAsia" w:hAnsi="Cambria Math"/>
              </w:rPr>
              <m:t>t</m:t>
            </m:r>
          </m:sub>
          <m:sup>
            <m:r>
              <w:rPr>
                <w:rStyle w:val="mord"/>
                <w:rFonts w:ascii="Cambria Math" w:eastAsiaTheme="majorEastAsia" w:hAnsi="Cambria Math"/>
              </w:rPr>
              <m:t>P</m:t>
            </m:r>
          </m:sup>
        </m:sSubSup>
      </m:oMath>
      <w:r w:rsidRPr="00667A6E">
        <w:rPr>
          <w:rFonts w:ascii="Garamond" w:hAnsi="Garamond"/>
        </w:rPr>
        <w:t xml:space="preserve">is the processor price, and </w:t>
      </w:r>
      <m:oMath>
        <m:sSubSup>
          <m:sSubSupPr>
            <m:ctrlPr>
              <w:rPr>
                <w:rStyle w:val="mord"/>
                <w:rFonts w:ascii="Cambria Math" w:eastAsiaTheme="majorEastAsia" w:hAnsi="Cambria Math"/>
                <w:i/>
                <w:iCs/>
              </w:rPr>
            </m:ctrlPr>
          </m:sSubSupPr>
          <m:e>
            <m:r>
              <w:rPr>
                <w:rStyle w:val="mord"/>
                <w:rFonts w:ascii="Cambria Math" w:eastAsiaTheme="majorEastAsia" w:hAnsi="Cambria Math"/>
              </w:rPr>
              <m:t>P</m:t>
            </m:r>
            <m:ctrlPr>
              <w:rPr>
                <w:rStyle w:val="mopen"/>
                <w:rFonts w:ascii="Cambria Math" w:eastAsiaTheme="majorEastAsia" w:hAnsi="Cambria Math"/>
              </w:rPr>
            </m:ctrlPr>
          </m:e>
          <m:sub>
            <m:r>
              <w:rPr>
                <w:rStyle w:val="mord"/>
                <w:rFonts w:ascii="Cambria Math" w:eastAsiaTheme="majorEastAsia" w:hAnsi="Cambria Math"/>
              </w:rPr>
              <m:t>t</m:t>
            </m:r>
          </m:sub>
          <m:sup>
            <m:r>
              <w:rPr>
                <w:rStyle w:val="mord"/>
                <w:rFonts w:ascii="Cambria Math" w:eastAsiaTheme="majorEastAsia" w:hAnsi="Cambria Math"/>
              </w:rPr>
              <m:t>F</m:t>
            </m:r>
          </m:sup>
        </m:sSubSup>
      </m:oMath>
      <w:r w:rsidRPr="00667A6E">
        <w:rPr>
          <w:rFonts w:ascii="Garamond" w:hAnsi="Garamond"/>
        </w:rPr>
        <w:t>is the farm-gate price. The long-run relationship is written in the same structure as in the baseline specification:</w:t>
      </w:r>
    </w:p>
    <w:p w14:paraId="5A150017" w14:textId="00FF20E3" w:rsidR="006F6375" w:rsidRPr="006F6375" w:rsidRDefault="006F6375" w:rsidP="00053940">
      <w:pPr>
        <w:pStyle w:val="p1"/>
        <w:spacing w:line="360" w:lineRule="auto"/>
        <w:rPr>
          <w:rFonts w:ascii="Garamond" w:hAnsi="Garamond"/>
        </w:rPr>
      </w:pPr>
      <m:oMathPara>
        <m:oMath>
          <m:r>
            <m:rPr>
              <m:sty m:val="p"/>
            </m:rPr>
            <w:rPr>
              <w:rStyle w:val="mord"/>
              <w:rFonts w:ascii="Cambria Math" w:eastAsiaTheme="majorEastAsia" w:hAnsi="Cambria Math"/>
            </w:rPr>
            <m:t>EC</m:t>
          </m:r>
          <m:sSub>
            <m:sSubPr>
              <m:ctrlPr>
                <w:rPr>
                  <w:rStyle w:val="mord"/>
                  <w:rFonts w:ascii="Cambria Math" w:eastAsiaTheme="majorEastAsia" w:hAnsi="Cambria Math"/>
                </w:rPr>
              </m:ctrlPr>
            </m:sSubPr>
            <m:e>
              <m:r>
                <m:rPr>
                  <m:sty m:val="p"/>
                </m:rPr>
                <w:rPr>
                  <w:rStyle w:val="mord"/>
                  <w:rFonts w:ascii="Cambria Math" w:eastAsiaTheme="majorEastAsia" w:hAnsi="Cambria Math"/>
                </w:rPr>
                <m:t>T</m:t>
              </m:r>
            </m:e>
            <m:sub>
              <m:r>
                <m:rPr>
                  <m:sty m:val="p"/>
                </m:rPr>
                <w:rPr>
                  <w:rStyle w:val="mord"/>
                  <w:rFonts w:ascii="Cambria Math" w:eastAsiaTheme="majorEastAsia" w:hAnsi="Cambria Math"/>
                </w:rPr>
                <m:t>t</m:t>
              </m:r>
            </m:sub>
          </m:sSub>
          <m:r>
            <m:rPr>
              <m:sty m:val="p"/>
            </m:rPr>
            <w:rPr>
              <w:rStyle w:val="vlist-s"/>
              <w:rFonts w:ascii="Cambria Math" w:eastAsiaTheme="majorEastAsia" w:hAnsi="Cambria Math"/>
            </w:rPr>
            <m:t>​</m:t>
          </m:r>
          <m:r>
            <m:rPr>
              <m:sty m:val="p"/>
            </m:rPr>
            <w:rPr>
              <w:rStyle w:val="mrel"/>
              <w:rFonts w:ascii="Cambria Math" w:eastAsiaTheme="majorEastAsia" w:hAnsi="Cambria Math"/>
            </w:rPr>
            <m:t>≡</m:t>
          </m:r>
          <m:r>
            <m:rPr>
              <m:sty m:val="p"/>
            </m:rPr>
            <w:rPr>
              <w:rStyle w:val="mop"/>
              <w:rFonts w:ascii="Cambria Math" w:eastAsiaTheme="majorEastAsia" w:hAnsi="Cambria Math"/>
            </w:rPr>
            <m:t>ln</m:t>
          </m:r>
          <m:d>
            <m:dPr>
              <m:ctrlPr>
                <w:rPr>
                  <w:rStyle w:val="mopen"/>
                  <w:rFonts w:ascii="Cambria Math" w:eastAsiaTheme="majorEastAsia" w:hAnsi="Cambria Math"/>
                  <w:i/>
                  <w:iCs/>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F</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r>
            <w:rPr>
              <w:rStyle w:val="mbin"/>
              <w:rFonts w:ascii="Cambria Math" w:eastAsiaTheme="majorEastAsia" w:hAnsi="Cambria Math"/>
            </w:rPr>
            <m:t>-</m:t>
          </m:r>
          <m:sSub>
            <m:sSubPr>
              <m:ctrlPr>
                <w:rPr>
                  <w:rStyle w:val="mord"/>
                  <w:rFonts w:ascii="Cambria Math" w:eastAsiaTheme="majorEastAsia" w:hAnsi="Cambria Math"/>
                </w:rPr>
              </m:ctrlPr>
            </m:sSubPr>
            <m:e>
              <m:r>
                <m:rPr>
                  <m:sty m:val="p"/>
                </m:rPr>
                <w:rPr>
                  <w:rStyle w:val="mord"/>
                  <w:rFonts w:ascii="Cambria Math" w:eastAsiaTheme="majorEastAsia" w:hAnsi="Cambria Math"/>
                </w:rPr>
                <m:t>α</m:t>
              </m:r>
              <m:ctrlPr>
                <w:rPr>
                  <w:rStyle w:val="mbin"/>
                  <w:rFonts w:ascii="Cambria Math" w:eastAsiaTheme="majorEastAsia" w:hAnsi="Cambria Math"/>
                  <w:i/>
                  <w:iCs/>
                </w:rPr>
              </m:ctrlPr>
            </m:e>
            <m:sub>
              <m:r>
                <m:rPr>
                  <m:sty m:val="p"/>
                </m:rPr>
                <w:rPr>
                  <w:rStyle w:val="mord"/>
                  <w:rFonts w:ascii="Cambria Math" w:eastAsiaTheme="majorEastAsia" w:hAnsi="Cambria Math"/>
                </w:rPr>
                <m:t>0</m:t>
              </m:r>
            </m:sub>
          </m:sSub>
          <m:r>
            <m:rPr>
              <m:sty m:val="p"/>
            </m:rPr>
            <w:rPr>
              <w:rStyle w:val="vlist-s"/>
              <w:rFonts w:ascii="Cambria Math" w:eastAsiaTheme="majorEastAsia" w:hAnsi="Cambria Math"/>
            </w:rPr>
            <m:t>​</m:t>
          </m:r>
          <m:r>
            <w:rPr>
              <w:rStyle w:val="mbin"/>
              <w:rFonts w:ascii="Cambria Math" w:eastAsiaTheme="majorEastAsia" w:hAnsi="Cambria Math"/>
            </w:rPr>
            <m:t>-</m:t>
          </m:r>
          <m:sSup>
            <m:sSupPr>
              <m:ctrlPr>
                <w:rPr>
                  <w:rStyle w:val="mord"/>
                  <w:rFonts w:ascii="Cambria Math" w:eastAsiaTheme="majorEastAsia" w:hAnsi="Cambria Math"/>
                </w:rPr>
              </m:ctrlPr>
            </m:sSupPr>
            <m:e>
              <m:r>
                <m:rPr>
                  <m:sty m:val="p"/>
                </m:rPr>
                <w:rPr>
                  <w:rStyle w:val="mord"/>
                  <w:rFonts w:ascii="Cambria Math" w:eastAsiaTheme="majorEastAsia" w:hAnsi="Cambria Math"/>
                </w:rPr>
                <m:t>β</m:t>
              </m:r>
              <m:ctrlPr>
                <w:rPr>
                  <w:rStyle w:val="mbin"/>
                  <w:rFonts w:ascii="Cambria Math" w:eastAsiaTheme="majorEastAsia" w:hAnsi="Cambria Math"/>
                  <w:i/>
                  <w:iCs/>
                </w:rPr>
              </m:ctrlPr>
            </m:e>
            <m:sup>
              <m:r>
                <m:rPr>
                  <m:sty m:val="p"/>
                </m:rPr>
                <w:rPr>
                  <w:rStyle w:val="mord"/>
                  <w:rFonts w:ascii="Cambria Math" w:eastAsiaTheme="majorEastAsia" w:hAnsi="Cambria Math"/>
                </w:rPr>
                <m:t>R</m:t>
              </m:r>
            </m:sup>
          </m:sSup>
          <m:r>
            <m:rPr>
              <m:sty m:val="p"/>
            </m:rPr>
            <w:rPr>
              <w:rStyle w:val="mop"/>
              <w:rFonts w:ascii="Cambria Math" w:eastAsiaTheme="majorEastAsia" w:hAnsi="Cambria Math"/>
            </w:rPr>
            <m:t>ln</m:t>
          </m:r>
          <m:d>
            <m:dPr>
              <m:ctrlPr>
                <w:rPr>
                  <w:rStyle w:val="mopen"/>
                  <w:rFonts w:ascii="Cambria Math" w:eastAsiaTheme="majorEastAsia" w:hAnsi="Cambria Math"/>
                  <w:i/>
                  <w:iCs/>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R</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r>
            <w:rPr>
              <w:rStyle w:val="mbin"/>
              <w:rFonts w:ascii="Cambria Math" w:eastAsiaTheme="majorEastAsia" w:hAnsi="Cambria Math"/>
            </w:rPr>
            <m:t>-</m:t>
          </m:r>
          <m:sSup>
            <m:sSupPr>
              <m:ctrlPr>
                <w:rPr>
                  <w:rStyle w:val="mord"/>
                  <w:rFonts w:ascii="Cambria Math" w:eastAsiaTheme="majorEastAsia" w:hAnsi="Cambria Math"/>
                </w:rPr>
              </m:ctrlPr>
            </m:sSupPr>
            <m:e>
              <m:r>
                <m:rPr>
                  <m:sty m:val="p"/>
                </m:rPr>
                <w:rPr>
                  <w:rStyle w:val="mord"/>
                  <w:rFonts w:ascii="Cambria Math" w:eastAsiaTheme="majorEastAsia" w:hAnsi="Cambria Math"/>
                </w:rPr>
                <m:t>β</m:t>
              </m:r>
              <m:ctrlPr>
                <w:rPr>
                  <w:rStyle w:val="mbin"/>
                  <w:rFonts w:ascii="Cambria Math" w:eastAsiaTheme="majorEastAsia" w:hAnsi="Cambria Math"/>
                  <w:i/>
                  <w:iCs/>
                </w:rPr>
              </m:ctrlPr>
            </m:e>
            <m:sup>
              <m:r>
                <m:rPr>
                  <m:sty m:val="p"/>
                </m:rPr>
                <w:rPr>
                  <w:rStyle w:val="mord"/>
                  <w:rFonts w:ascii="Cambria Math" w:eastAsiaTheme="majorEastAsia" w:hAnsi="Cambria Math"/>
                </w:rPr>
                <m:t>P</m:t>
              </m:r>
            </m:sup>
          </m:sSup>
          <m:r>
            <m:rPr>
              <m:sty m:val="p"/>
            </m:rPr>
            <w:rPr>
              <w:rStyle w:val="mop"/>
              <w:rFonts w:ascii="Cambria Math" w:eastAsiaTheme="majorEastAsia" w:hAnsi="Cambria Math"/>
            </w:rPr>
            <m:t>ln</m:t>
          </m:r>
          <m:d>
            <m:dPr>
              <m:ctrlPr>
                <w:rPr>
                  <w:rStyle w:val="mopen"/>
                  <w:rFonts w:ascii="Cambria Math" w:eastAsiaTheme="majorEastAsia" w:hAnsi="Cambria Math"/>
                  <w:i/>
                  <w:iCs/>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P</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r>
            <m:rPr>
              <m:sty m:val="p"/>
            </m:rPr>
            <w:rPr>
              <w:rStyle w:val="mord"/>
              <w:rFonts w:ascii="Cambria Math" w:eastAsiaTheme="majorEastAsia" w:hAnsi="Cambria Math"/>
            </w:rPr>
            <m:t>.</m:t>
          </m:r>
        </m:oMath>
      </m:oMathPara>
    </w:p>
    <w:p w14:paraId="79CF9891" w14:textId="3F75E889" w:rsidR="00667A6E" w:rsidRDefault="00667A6E" w:rsidP="00053940">
      <w:pPr>
        <w:pStyle w:val="p1"/>
        <w:spacing w:line="360" w:lineRule="auto"/>
        <w:rPr>
          <w:rFonts w:ascii="Garamond" w:hAnsi="Garamond"/>
        </w:rPr>
      </w:pPr>
      <w:r w:rsidRPr="00667A6E">
        <w:rPr>
          <w:rFonts w:ascii="Garamond" w:hAnsi="Garamond"/>
        </w:rPr>
        <w:lastRenderedPageBreak/>
        <w:t>Short-run dynamics are modeled by a vector error-correction system that combines long-run equilibrium correction, short-run feedback across stages, and external-market controls:</w:t>
      </w:r>
    </w:p>
    <w:p w14:paraId="55C2930F" w14:textId="3E3F33D1" w:rsidR="006F6375" w:rsidRDefault="00F22DC2" w:rsidP="00053940">
      <w:pPr>
        <w:pStyle w:val="p1"/>
        <w:spacing w:line="360" w:lineRule="auto"/>
        <w:rPr>
          <w:rFonts w:ascii="Garamond" w:hAnsi="Garamond"/>
        </w:rPr>
      </w:pPr>
      <m:oMathPara>
        <m:oMath>
          <m:r>
            <m:rPr>
              <m:sty m:val="p"/>
            </m:rPr>
            <w:rPr>
              <w:rStyle w:val="mord"/>
              <w:rFonts w:ascii="Cambria Math" w:eastAsiaTheme="majorEastAsia" w:hAnsi="Cambria Math"/>
            </w:rPr>
            <m:t>Δ</m:t>
          </m:r>
          <m:sSub>
            <m:sSubPr>
              <m:ctrlPr>
                <w:rPr>
                  <w:rStyle w:val="mord"/>
                  <w:rFonts w:ascii="Cambria Math" w:eastAsiaTheme="majorEastAsia" w:hAnsi="Cambria Math"/>
                </w:rPr>
              </m:ctrlPr>
            </m:sSubPr>
            <m:e>
              <m:r>
                <m:rPr>
                  <m:sty m:val="p"/>
                </m:rPr>
                <w:rPr>
                  <w:rStyle w:val="mord"/>
                  <w:rFonts w:ascii="Cambria Math" w:eastAsiaTheme="majorEastAsia" w:hAnsi="Cambria Math"/>
                </w:rPr>
                <m:t>Y</m:t>
              </m:r>
            </m:e>
            <m:sub>
              <m:r>
                <m:rPr>
                  <m:sty m:val="p"/>
                </m:rPr>
                <w:rPr>
                  <w:rStyle w:val="mord"/>
                  <w:rFonts w:ascii="Cambria Math" w:eastAsiaTheme="majorEastAsia" w:hAnsi="Cambria Math"/>
                </w:rPr>
                <m:t>t</m:t>
              </m:r>
            </m:sub>
          </m:sSub>
          <m:r>
            <m:rPr>
              <m:sty m:val="p"/>
            </m:rPr>
            <w:rPr>
              <w:rStyle w:val="vlist-s"/>
              <w:rFonts w:ascii="Cambria Math" w:eastAsiaTheme="majorEastAsia" w:hAnsi="Cambria Math"/>
            </w:rPr>
            <m:t>​</m:t>
          </m:r>
          <m:r>
            <m:rPr>
              <m:sty m:val="p"/>
            </m:rPr>
            <w:rPr>
              <w:rStyle w:val="mrel"/>
              <w:rFonts w:ascii="Cambria Math" w:eastAsiaTheme="majorEastAsia" w:hAnsi="Cambria Math"/>
            </w:rPr>
            <m:t>=</m:t>
          </m:r>
          <m:r>
            <m:rPr>
              <m:sty m:val="p"/>
            </m:rPr>
            <w:rPr>
              <w:rStyle w:val="mord"/>
              <w:rFonts w:ascii="Cambria Math" w:eastAsiaTheme="majorEastAsia" w:hAnsi="Cambria Math"/>
            </w:rPr>
            <m:t>Π×EC</m:t>
          </m:r>
          <m:sSub>
            <m:sSubPr>
              <m:ctrlPr>
                <w:rPr>
                  <w:rStyle w:val="mord"/>
                  <w:rFonts w:ascii="Cambria Math" w:eastAsiaTheme="majorEastAsia" w:hAnsi="Cambria Math"/>
                </w:rPr>
              </m:ctrlPr>
            </m:sSubPr>
            <m:e>
              <m:r>
                <m:rPr>
                  <m:sty m:val="p"/>
                </m:rPr>
                <w:rPr>
                  <w:rStyle w:val="mord"/>
                  <w:rFonts w:ascii="Cambria Math" w:eastAsiaTheme="majorEastAsia" w:hAnsi="Cambria Math"/>
                </w:rPr>
                <m:t>T</m:t>
              </m:r>
            </m:e>
            <m:sub>
              <m:r>
                <w:rPr>
                  <w:rStyle w:val="mord"/>
                  <w:rFonts w:ascii="Cambria Math" w:eastAsiaTheme="majorEastAsia" w:hAnsi="Cambria Math"/>
                </w:rPr>
                <m:t>t-1</m:t>
              </m:r>
            </m:sub>
          </m:sSub>
          <m:r>
            <m:rPr>
              <m:sty m:val="p"/>
            </m:rPr>
            <w:rPr>
              <w:rStyle w:val="mbin"/>
              <w:rFonts w:ascii="Cambria Math" w:eastAsiaTheme="majorEastAsia" w:hAnsi="Cambria Math"/>
            </w:rPr>
            <m:t>+</m:t>
          </m:r>
          <m:nary>
            <m:naryPr>
              <m:chr m:val="∑"/>
              <m:ctrlPr>
                <w:rPr>
                  <w:rStyle w:val="vlist-s"/>
                  <w:rFonts w:ascii="Cambria Math" w:eastAsiaTheme="majorEastAsia" w:hAnsi="Cambria Math"/>
                </w:rPr>
              </m:ctrlPr>
            </m:naryPr>
            <m:sub>
              <m:r>
                <m:rPr>
                  <m:sty m:val="p"/>
                </m:rPr>
                <w:rPr>
                  <w:rStyle w:val="vlist-s"/>
                  <w:rFonts w:ascii="Cambria Math" w:eastAsiaTheme="majorEastAsia" w:hAnsi="Cambria Math"/>
                </w:rPr>
                <m:t>i=1</m:t>
              </m:r>
            </m:sub>
            <m:sup>
              <m:r>
                <m:rPr>
                  <m:sty m:val="p"/>
                </m:rPr>
                <w:rPr>
                  <w:rStyle w:val="vlist-s"/>
                  <w:rFonts w:ascii="Cambria Math" w:eastAsiaTheme="majorEastAsia" w:hAnsi="Cambria Math"/>
                </w:rPr>
                <m:t>L</m:t>
              </m:r>
            </m:sup>
            <m:e>
              <m:sSub>
                <m:sSubPr>
                  <m:ctrlPr>
                    <w:rPr>
                      <w:rStyle w:val="mord"/>
                      <w:rFonts w:ascii="Cambria Math" w:eastAsiaTheme="majorEastAsia" w:hAnsi="Cambria Math"/>
                    </w:rPr>
                  </m:ctrlPr>
                </m:sSubPr>
                <m:e>
                  <m:r>
                    <m:rPr>
                      <m:sty m:val="p"/>
                    </m:rPr>
                    <w:rPr>
                      <w:rStyle w:val="mord"/>
                      <w:rFonts w:ascii="Cambria Math" w:eastAsiaTheme="majorEastAsia" w:hAnsi="Cambria Math"/>
                    </w:rPr>
                    <m:t>Γ</m:t>
                  </m:r>
                </m:e>
                <m:sub>
                  <m:r>
                    <w:rPr>
                      <w:rStyle w:val="mord"/>
                      <w:rFonts w:ascii="Cambria Math" w:eastAsiaTheme="majorEastAsia" w:hAnsi="Cambria Math"/>
                    </w:rPr>
                    <m:t>i</m:t>
                  </m:r>
                </m:sub>
              </m:sSub>
              <m:r>
                <m:rPr>
                  <m:sty m:val="p"/>
                </m:rPr>
                <w:rPr>
                  <w:rStyle w:val="vlist-s"/>
                  <w:rFonts w:ascii="Cambria Math" w:eastAsiaTheme="majorEastAsia" w:hAnsi="Cambria Math"/>
                </w:rPr>
                <m:t>​</m:t>
              </m:r>
              <m:r>
                <m:rPr>
                  <m:sty m:val="p"/>
                </m:rPr>
                <w:rPr>
                  <w:rStyle w:val="mord"/>
                  <w:rFonts w:ascii="Cambria Math" w:eastAsiaTheme="majorEastAsia" w:hAnsi="Cambria Math"/>
                </w:rPr>
                <m:t>Δ</m:t>
              </m:r>
              <m:sSub>
                <m:sSubPr>
                  <m:ctrlPr>
                    <w:rPr>
                      <w:rStyle w:val="mord"/>
                      <w:rFonts w:ascii="Cambria Math" w:eastAsiaTheme="majorEastAsia" w:hAnsi="Cambria Math"/>
                    </w:rPr>
                  </m:ctrlPr>
                </m:sSubPr>
                <m:e>
                  <m:r>
                    <w:rPr>
                      <w:rStyle w:val="mord"/>
                      <w:rFonts w:ascii="Cambria Math" w:eastAsiaTheme="majorEastAsia" w:hAnsi="Cambria Math"/>
                    </w:rPr>
                    <m:t>Y</m:t>
                  </m:r>
                  <m:ctrlPr>
                    <w:rPr>
                      <w:rStyle w:val="mord"/>
                      <w:rFonts w:ascii="Cambria Math" w:eastAsiaTheme="majorEastAsia" w:hAnsi="Cambria Math"/>
                      <w:i/>
                      <w:iCs/>
                    </w:rPr>
                  </m:ctrlPr>
                </m:e>
                <m:sub>
                  <m:r>
                    <w:rPr>
                      <w:rStyle w:val="mord"/>
                      <w:rFonts w:ascii="Cambria Math" w:eastAsiaTheme="majorEastAsia" w:hAnsi="Cambria Math"/>
                    </w:rPr>
                    <m:t>t</m:t>
                  </m:r>
                  <m:r>
                    <m:rPr>
                      <m:sty m:val="p"/>
                    </m:rPr>
                    <w:rPr>
                      <w:rStyle w:val="mord"/>
                      <w:rFonts w:ascii="Cambria Math" w:eastAsiaTheme="majorEastAsia" w:hAnsi="Cambria Math"/>
                    </w:rPr>
                    <m:t>-1</m:t>
                  </m:r>
                </m:sub>
              </m:sSub>
              <m:ctrlPr>
                <w:rPr>
                  <w:rStyle w:val="mbin"/>
                  <w:rFonts w:ascii="Cambria Math" w:eastAsiaTheme="majorEastAsia" w:hAnsi="Cambria Math"/>
                </w:rPr>
              </m:ctrlPr>
            </m:e>
          </m:nary>
          <m:r>
            <m:rPr>
              <m:sty m:val="p"/>
            </m:rPr>
            <w:rPr>
              <w:rStyle w:val="mbin"/>
              <w:rFonts w:ascii="Cambria Math" w:eastAsiaTheme="majorEastAsia" w:hAnsi="Cambria Math"/>
            </w:rPr>
            <m:t>+</m:t>
          </m:r>
          <m:r>
            <m:rPr>
              <m:sty m:val="p"/>
            </m:rPr>
            <w:rPr>
              <w:rStyle w:val="mord"/>
              <w:rFonts w:ascii="Cambria Math" w:eastAsiaTheme="majorEastAsia" w:hAnsi="Cambria Math"/>
            </w:rPr>
            <m:t>Ψ</m:t>
          </m:r>
          <m:sSub>
            <m:sSubPr>
              <m:ctrlPr>
                <w:rPr>
                  <w:rStyle w:val="mord"/>
                  <w:rFonts w:ascii="Cambria Math" w:eastAsiaTheme="majorEastAsia" w:hAnsi="Cambria Math"/>
                </w:rPr>
              </m:ctrlPr>
            </m:sSubPr>
            <m:e>
              <m:r>
                <m:rPr>
                  <m:sty m:val="p"/>
                </m:rPr>
                <w:rPr>
                  <w:rStyle w:val="mord"/>
                  <w:rFonts w:ascii="Cambria Math" w:eastAsiaTheme="majorEastAsia" w:hAnsi="Cambria Math"/>
                </w:rPr>
                <m:t>X</m:t>
              </m:r>
            </m:e>
            <m:sub>
              <m:r>
                <w:rPr>
                  <w:rStyle w:val="mord"/>
                  <w:rFonts w:ascii="Cambria Math" w:eastAsiaTheme="majorEastAsia" w:hAnsi="Cambria Math"/>
                </w:rPr>
                <m:t>t</m:t>
              </m:r>
            </m:sub>
          </m:sSub>
          <m:r>
            <m:rPr>
              <m:sty m:val="p"/>
            </m:rPr>
            <w:rPr>
              <w:rStyle w:val="mbin"/>
              <w:rFonts w:ascii="Cambria Math" w:eastAsiaTheme="majorEastAsia" w:hAnsi="Cambria Math"/>
            </w:rPr>
            <m:t>+</m:t>
          </m:r>
          <m:sSub>
            <m:sSubPr>
              <m:ctrlPr>
                <w:rPr>
                  <w:rStyle w:val="mord"/>
                  <w:rFonts w:ascii="Cambria Math" w:eastAsiaTheme="majorEastAsia" w:hAnsi="Cambria Math"/>
                </w:rPr>
              </m:ctrlPr>
            </m:sSubPr>
            <m:e>
              <m:r>
                <m:rPr>
                  <m:sty m:val="p"/>
                </m:rPr>
                <w:rPr>
                  <w:rStyle w:val="mord"/>
                  <w:rFonts w:ascii="Cambria Math" w:eastAsiaTheme="majorEastAsia" w:hAnsi="Cambria Math"/>
                </w:rPr>
                <m:t>ε</m:t>
              </m:r>
              <m:ctrlPr>
                <w:rPr>
                  <w:rStyle w:val="mbin"/>
                  <w:rFonts w:ascii="Cambria Math" w:eastAsiaTheme="majorEastAsia" w:hAnsi="Cambria Math"/>
                </w:rPr>
              </m:ctrlPr>
            </m:e>
            <m:sub>
              <m:r>
                <m:rPr>
                  <m:sty m:val="p"/>
                </m:rPr>
                <w:rPr>
                  <w:rStyle w:val="mord"/>
                  <w:rFonts w:ascii="Cambria Math" w:eastAsiaTheme="majorEastAsia" w:hAnsi="Cambria Math"/>
                </w:rPr>
                <m:t>t</m:t>
              </m:r>
            </m:sub>
          </m:sSub>
          <m:r>
            <m:rPr>
              <m:sty m:val="p"/>
            </m:rPr>
            <w:rPr>
              <w:rStyle w:val="vlist-s"/>
              <w:rFonts w:ascii="Cambria Math" w:eastAsiaTheme="majorEastAsia" w:hAnsi="Cambria Math"/>
            </w:rPr>
            <m:t>​</m:t>
          </m:r>
          <m:r>
            <m:rPr>
              <m:sty m:val="p"/>
            </m:rPr>
            <w:rPr>
              <w:rStyle w:val="mpunct"/>
              <w:rFonts w:ascii="Cambria Math" w:eastAsiaTheme="majorEastAsia" w:hAnsi="Cambria Math"/>
            </w:rPr>
            <m:t>,</m:t>
          </m:r>
        </m:oMath>
      </m:oMathPara>
    </w:p>
    <w:p w14:paraId="57B06AA5" w14:textId="62B5297D" w:rsidR="00667A6E" w:rsidRPr="00667A6E" w:rsidRDefault="00667A6E" w:rsidP="00053940">
      <w:pPr>
        <w:pStyle w:val="p1"/>
        <w:spacing w:line="360" w:lineRule="auto"/>
        <w:rPr>
          <w:rFonts w:ascii="Garamond" w:hAnsi="Garamond"/>
        </w:rPr>
      </w:pPr>
      <w:r w:rsidRPr="00667A6E">
        <w:rPr>
          <w:rFonts w:ascii="Garamond" w:hAnsi="Garamond"/>
        </w:rPr>
        <w:t xml:space="preserve">where </w:t>
      </w:r>
      <m:oMath>
        <m:r>
          <m:rPr>
            <m:sty m:val="p"/>
          </m:rPr>
          <w:rPr>
            <w:rStyle w:val="mord"/>
            <w:rFonts w:ascii="Cambria Math" w:eastAsiaTheme="majorEastAsia" w:hAnsi="Cambria Math"/>
          </w:rPr>
          <m:t>Π</m:t>
        </m:r>
      </m:oMath>
      <w:r w:rsidRPr="00667A6E">
        <w:rPr>
          <w:rFonts w:ascii="Garamond" w:hAnsi="Garamond"/>
        </w:rPr>
        <w:t xml:space="preserve"> contains the adjustment coefficients that determine how each stage reacts when the system deviates from the long-run relationship, </w:t>
      </w:r>
      <m:oMath>
        <m:sSub>
          <m:sSubPr>
            <m:ctrlPr>
              <w:rPr>
                <w:rStyle w:val="mord"/>
                <w:rFonts w:ascii="Cambria Math" w:eastAsiaTheme="majorEastAsia" w:hAnsi="Cambria Math"/>
              </w:rPr>
            </m:ctrlPr>
          </m:sSubPr>
          <m:e>
            <m:r>
              <m:rPr>
                <m:sty m:val="p"/>
              </m:rPr>
              <w:rPr>
                <w:rStyle w:val="mord"/>
                <w:rFonts w:ascii="Cambria Math" w:eastAsiaTheme="majorEastAsia" w:hAnsi="Cambria Math"/>
              </w:rPr>
              <m:t>Γ</m:t>
            </m:r>
          </m:e>
          <m:sub>
            <m:r>
              <w:rPr>
                <w:rStyle w:val="mord"/>
                <w:rFonts w:ascii="Cambria Math" w:eastAsiaTheme="majorEastAsia" w:hAnsi="Cambria Math"/>
              </w:rPr>
              <m:t>i</m:t>
            </m:r>
          </m:sub>
        </m:sSub>
        <m:r>
          <m:rPr>
            <m:sty m:val="p"/>
          </m:rPr>
          <w:rPr>
            <w:rStyle w:val="vlist-s"/>
            <w:rFonts w:ascii="Cambria Math" w:eastAsiaTheme="majorEastAsia" w:hAnsi="Cambria Math"/>
          </w:rPr>
          <m:t>​</m:t>
        </m:r>
      </m:oMath>
      <w:r w:rsidRPr="00667A6E">
        <w:rPr>
          <w:rFonts w:ascii="Garamond" w:hAnsi="Garamond"/>
        </w:rPr>
        <w:t xml:space="preserve">capture lagged short-run interactions among retail, processor, and farm-gate prices, </w:t>
      </w:r>
      <m:oMath>
        <m:sSub>
          <m:sSubPr>
            <m:ctrlPr>
              <w:rPr>
                <w:rStyle w:val="mord"/>
                <w:rFonts w:ascii="Cambria Math" w:eastAsiaTheme="majorEastAsia" w:hAnsi="Cambria Math"/>
              </w:rPr>
            </m:ctrlPr>
          </m:sSubPr>
          <m:e>
            <m:r>
              <w:rPr>
                <w:rStyle w:val="mord"/>
                <w:rFonts w:ascii="Cambria Math" w:eastAsiaTheme="majorEastAsia" w:hAnsi="Cambria Math"/>
              </w:rPr>
              <m:t>X</m:t>
            </m:r>
          </m:e>
          <m:sub>
            <m:r>
              <w:rPr>
                <w:rStyle w:val="mord"/>
                <w:rFonts w:ascii="Cambria Math" w:eastAsiaTheme="majorEastAsia" w:hAnsi="Cambria Math"/>
              </w:rPr>
              <m:t>t</m:t>
            </m:r>
          </m:sub>
        </m:sSub>
      </m:oMath>
      <w:r w:rsidRPr="00667A6E">
        <w:rPr>
          <w:rFonts w:ascii="Garamond" w:hAnsi="Garamond"/>
        </w:rPr>
        <w:t xml:space="preserve"> is the vector of external influences, and </w:t>
      </w:r>
      <m:oMath>
        <m:sSub>
          <m:sSubPr>
            <m:ctrlPr>
              <w:rPr>
                <w:rStyle w:val="mord"/>
                <w:rFonts w:ascii="Cambria Math" w:eastAsiaTheme="majorEastAsia" w:hAnsi="Cambria Math"/>
              </w:rPr>
            </m:ctrlPr>
          </m:sSubPr>
          <m:e>
            <m:r>
              <w:rPr>
                <w:rStyle w:val="mord"/>
                <w:rFonts w:ascii="Cambria Math" w:eastAsiaTheme="majorEastAsia" w:hAnsi="Cambria Math"/>
              </w:rPr>
              <m:t>ε</m:t>
            </m:r>
            <m:ctrlPr>
              <w:rPr>
                <w:rStyle w:val="mbin"/>
                <w:rFonts w:ascii="Cambria Math" w:eastAsiaTheme="majorEastAsia" w:hAnsi="Cambria Math"/>
              </w:rPr>
            </m:ctrlPr>
          </m:e>
          <m:sub>
            <m:r>
              <w:rPr>
                <w:rStyle w:val="mord"/>
                <w:rFonts w:ascii="Cambria Math" w:eastAsiaTheme="majorEastAsia" w:hAnsi="Cambria Math"/>
              </w:rPr>
              <m:t>t</m:t>
            </m:r>
          </m:sub>
        </m:sSub>
      </m:oMath>
      <w:r w:rsidRPr="00667A6E">
        <w:rPr>
          <w:rFonts w:ascii="Garamond" w:hAnsi="Garamond"/>
        </w:rPr>
        <w:t>is the innovation term.</w:t>
      </w:r>
    </w:p>
    <w:p w14:paraId="25F81DE0" w14:textId="77777777" w:rsidR="00667A6E" w:rsidRPr="00667A6E" w:rsidRDefault="00667A6E" w:rsidP="00053940">
      <w:pPr>
        <w:pStyle w:val="p1"/>
        <w:spacing w:line="360" w:lineRule="auto"/>
        <w:rPr>
          <w:rFonts w:ascii="Garamond" w:hAnsi="Garamond"/>
        </w:rPr>
      </w:pPr>
      <w:r w:rsidRPr="00667A6E">
        <w:rPr>
          <w:rFonts w:ascii="Garamond" w:hAnsi="Garamond"/>
        </w:rPr>
        <w:t>External influences are included directly inside the same system because global and macroeconomic shocks can shift all domestic prices simultaneously and would otherwise be incorrectly interpreted as domestic leadership. The baseline external block contains the global dairy benchmark and the main macro and market conditions:</w:t>
      </w:r>
    </w:p>
    <w:p w14:paraId="32AAD108" w14:textId="3FF77D4E" w:rsidR="00F22DC2" w:rsidRPr="00F22DC2" w:rsidRDefault="00F22DC2" w:rsidP="00053940">
      <w:pPr>
        <w:pStyle w:val="p1"/>
        <w:spacing w:line="360" w:lineRule="auto"/>
        <w:rPr>
          <w:rFonts w:ascii="Garamond" w:hAnsi="Garamond"/>
        </w:rPr>
      </w:pPr>
      <m:oMathPara>
        <m:oMath>
          <m:r>
            <m:rPr>
              <m:sty m:val="p"/>
            </m:rPr>
            <w:rPr>
              <w:rStyle w:val="mord"/>
              <w:rFonts w:ascii="Cambria Math" w:eastAsiaTheme="majorEastAsia" w:hAnsi="Cambria Math"/>
            </w:rPr>
            <m:t>Xt</m:t>
          </m:r>
          <m:r>
            <m:rPr>
              <m:sty m:val="p"/>
            </m:rPr>
            <w:rPr>
              <w:rStyle w:val="vlist-s"/>
              <w:rFonts w:ascii="Cambria Math" w:eastAsiaTheme="majorEastAsia" w:hAnsi="Cambria Math"/>
            </w:rPr>
            <m:t>​</m:t>
          </m:r>
          <m:r>
            <m:rPr>
              <m:sty m:val="p"/>
            </m:rPr>
            <w:rPr>
              <w:rStyle w:val="mrel"/>
              <w:rFonts w:ascii="Cambria Math" w:eastAsiaTheme="majorEastAsia" w:hAnsi="Cambria Math"/>
            </w:rPr>
            <m:t>=</m:t>
          </m:r>
          <m:d>
            <m:dPr>
              <m:begChr m:val="["/>
              <m:endChr m:val="]"/>
              <m:ctrlPr>
                <w:rPr>
                  <w:rStyle w:val="mrel"/>
                  <w:rFonts w:ascii="Cambria Math" w:eastAsiaTheme="majorEastAsia" w:hAnsi="Cambria Math"/>
                </w:rPr>
              </m:ctrlPr>
            </m:dPr>
            <m:e>
              <m:m>
                <m:mPr>
                  <m:mcs>
                    <m:mc>
                      <m:mcPr>
                        <m:count m:val="1"/>
                        <m:mcJc m:val="center"/>
                      </m:mcPr>
                    </m:mc>
                  </m:mcs>
                  <m:ctrlPr>
                    <w:rPr>
                      <w:rStyle w:val="vlist-s"/>
                      <w:rFonts w:ascii="Cambria Math" w:eastAsiaTheme="majorEastAsia" w:hAnsi="Cambria Math"/>
                    </w:rPr>
                  </m:ctrlPr>
                </m:mPr>
                <m:mr>
                  <m:e>
                    <m:r>
                      <m:rPr>
                        <m:sty m:val="p"/>
                      </m:rPr>
                      <w:rPr>
                        <w:rStyle w:val="vlist-s"/>
                        <w:rFonts w:ascii="Cambria Math" w:eastAsiaTheme="majorEastAsia" w:hAnsi="Cambria Math"/>
                      </w:rPr>
                      <m:t>​</m:t>
                    </m:r>
                    <m: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CME</m:t>
                            </m:r>
                          </m:sup>
                        </m:sSubSup>
                        <m:r>
                          <m:rPr>
                            <m:sty m:val="p"/>
                          </m:rPr>
                          <w:rPr>
                            <w:rStyle w:val="vlist-s"/>
                            <w:rFonts w:ascii="Cambria Math" w:eastAsiaTheme="majorEastAsia" w:hAnsi="Cambria Math"/>
                          </w:rPr>
                          <m:t>​</m:t>
                        </m:r>
                        <m:ctrlPr>
                          <w:rPr>
                            <w:rStyle w:val="mclose"/>
                            <w:rFonts w:ascii="Cambria Math" w:eastAsiaTheme="majorEastAsia" w:hAnsi="Cambria Math"/>
                            <w:b/>
                            <w:bCs/>
                          </w:rPr>
                        </m:ctrlPr>
                      </m:e>
                    </m:d>
                    <m:r>
                      <m:rPr>
                        <m:sty m:val="p"/>
                      </m:rPr>
                      <w:rPr>
                        <w:rStyle w:val="vlist-s"/>
                        <w:rFonts w:ascii="Cambria Math" w:eastAsiaTheme="majorEastAsia" w:hAnsi="Cambria Math"/>
                      </w:rPr>
                      <m:t>​​​</m:t>
                    </m:r>
                  </m:e>
                </m:mr>
                <m:mr>
                  <m:e>
                    <m:r>
                      <w:rPr>
                        <w:rStyle w:val="mord"/>
                        <w:rFonts w:ascii="Cambria Math" w:eastAsiaTheme="majorEastAsia" w:hAnsi="Cambria Math"/>
                      </w:rPr>
                      <m:t>Macr</m:t>
                    </m:r>
                    <m:sSub>
                      <m:sSubPr>
                        <m:ctrlPr>
                          <w:rPr>
                            <w:rStyle w:val="mord"/>
                            <w:rFonts w:ascii="Cambria Math" w:eastAsiaTheme="majorEastAsia" w:hAnsi="Cambria Math"/>
                            <w:i/>
                            <w:iCs/>
                          </w:rPr>
                        </m:ctrlPr>
                      </m:sSubPr>
                      <m:e>
                        <m:r>
                          <w:rPr>
                            <w:rStyle w:val="mord"/>
                            <w:rFonts w:ascii="Cambria Math" w:eastAsiaTheme="majorEastAsia" w:hAnsi="Cambria Math"/>
                          </w:rPr>
                          <m:t>o</m:t>
                        </m:r>
                      </m:e>
                      <m:sub>
                        <m:r>
                          <w:rPr>
                            <w:rStyle w:val="mord"/>
                            <w:rFonts w:ascii="Cambria Math" w:eastAsiaTheme="majorEastAsia" w:hAnsi="Cambria Math"/>
                          </w:rPr>
                          <m:t>t</m:t>
                        </m:r>
                      </m:sub>
                    </m:sSub>
                    <m:r>
                      <m:rPr>
                        <m:sty m:val="p"/>
                      </m:rPr>
                      <w:rPr>
                        <w:rStyle w:val="vlist-s"/>
                        <w:rFonts w:ascii="Cambria Math" w:eastAsiaTheme="majorEastAsia" w:hAnsi="Cambria Math"/>
                      </w:rPr>
                      <m:t>​</m:t>
                    </m:r>
                  </m:e>
                </m:mr>
                <m:mr>
                  <m:e>
                    <m:r>
                      <w:rPr>
                        <w:rStyle w:val="mord"/>
                        <w:rFonts w:ascii="Cambria Math" w:eastAsiaTheme="majorEastAsia" w:hAnsi="Cambria Math"/>
                      </w:rPr>
                      <m:t>Even</m:t>
                    </m:r>
                    <m:sSub>
                      <m:sSubPr>
                        <m:ctrlPr>
                          <w:rPr>
                            <w:rStyle w:val="mord"/>
                            <w:rFonts w:ascii="Cambria Math" w:eastAsiaTheme="majorEastAsia" w:hAnsi="Cambria Math"/>
                            <w:i/>
                            <w:iCs/>
                          </w:rPr>
                        </m:ctrlPr>
                      </m:sSubPr>
                      <m:e>
                        <m:r>
                          <w:rPr>
                            <w:rStyle w:val="mord"/>
                            <w:rFonts w:ascii="Cambria Math" w:eastAsiaTheme="majorEastAsia" w:hAnsi="Cambria Math"/>
                          </w:rPr>
                          <m:t>t</m:t>
                        </m:r>
                      </m:e>
                      <m:sub>
                        <m:r>
                          <w:rPr>
                            <w:rStyle w:val="mord"/>
                            <w:rFonts w:ascii="Cambria Math" w:eastAsiaTheme="majorEastAsia" w:hAnsi="Cambria Math"/>
                          </w:rPr>
                          <m:t>t</m:t>
                        </m:r>
                      </m:sub>
                    </m:sSub>
                    <m:r>
                      <m:rPr>
                        <m:sty m:val="p"/>
                      </m:rPr>
                      <w:rPr>
                        <w:rStyle w:val="vlist-s"/>
                        <w:rFonts w:ascii="Cambria Math" w:eastAsiaTheme="majorEastAsia" w:hAnsi="Cambria Math"/>
                      </w:rPr>
                      <m:t>​</m:t>
                    </m:r>
                    <m:ctrlPr>
                      <w:rPr>
                        <w:rStyle w:val="vlist-s"/>
                        <w:rFonts w:ascii="Cambria Math" w:eastAsia="Cambria Math" w:hAnsi="Cambria Math" w:cs="Cambria Math"/>
                        <w:i/>
                      </w:rPr>
                    </m:ctrlPr>
                  </m:e>
                </m:mr>
                <m:mr>
                  <m:e>
                    <m:r>
                      <w:rPr>
                        <w:rStyle w:val="mord"/>
                        <w:rFonts w:ascii="Cambria Math" w:eastAsiaTheme="majorEastAsia" w:hAnsi="Cambria Math"/>
                      </w:rPr>
                      <m:t>RetailBehavio</m:t>
                    </m:r>
                    <m:sSub>
                      <m:sSubPr>
                        <m:ctrlPr>
                          <w:rPr>
                            <w:rStyle w:val="mord"/>
                            <w:rFonts w:ascii="Cambria Math" w:eastAsiaTheme="majorEastAsia" w:hAnsi="Cambria Math"/>
                            <w:i/>
                            <w:iCs/>
                          </w:rPr>
                        </m:ctrlPr>
                      </m:sSubPr>
                      <m:e>
                        <m:r>
                          <w:rPr>
                            <w:rStyle w:val="mord"/>
                            <w:rFonts w:ascii="Cambria Math" w:eastAsiaTheme="majorEastAsia" w:hAnsi="Cambria Math"/>
                          </w:rPr>
                          <m:t>r</m:t>
                        </m:r>
                      </m:e>
                      <m:sub>
                        <m:r>
                          <w:rPr>
                            <w:rStyle w:val="mord"/>
                            <w:rFonts w:ascii="Cambria Math" w:eastAsiaTheme="majorEastAsia" w:hAnsi="Cambria Math"/>
                          </w:rPr>
                          <m:t>t</m:t>
                        </m:r>
                      </m:sub>
                    </m:sSub>
                  </m:e>
                </m:mr>
              </m:m>
              <m:ctrlPr>
                <w:rPr>
                  <w:rStyle w:val="vlist-s"/>
                  <w:rFonts w:ascii="Cambria Math" w:eastAsiaTheme="majorEastAsia" w:hAnsi="Cambria Math"/>
                  <w:i/>
                </w:rPr>
              </m:ctrlPr>
            </m:e>
          </m:d>
          <m:r>
            <m:rPr>
              <m:sty m:val="p"/>
            </m:rPr>
            <w:rPr>
              <w:rStyle w:val="mpunct"/>
              <w:rFonts w:ascii="Cambria Math" w:eastAsiaTheme="majorEastAsia" w:hAnsi="Cambria Math"/>
            </w:rPr>
            <m:t>,</m:t>
          </m:r>
        </m:oMath>
      </m:oMathPara>
    </w:p>
    <w:p w14:paraId="747290BE" w14:textId="1718E137" w:rsidR="00667A6E" w:rsidRPr="00667A6E" w:rsidRDefault="00667A6E" w:rsidP="00053940">
      <w:pPr>
        <w:pStyle w:val="p1"/>
        <w:spacing w:line="360" w:lineRule="auto"/>
        <w:rPr>
          <w:rFonts w:ascii="Garamond" w:hAnsi="Garamond"/>
        </w:rPr>
      </w:pPr>
      <w:r w:rsidRPr="00667A6E">
        <w:rPr>
          <w:rFonts w:ascii="Garamond" w:hAnsi="Garamond"/>
        </w:rPr>
        <w:t xml:space="preserve">where </w:t>
      </w:r>
      <m:oMath>
        <m: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w:rPr>
                    <w:rStyle w:val="mord"/>
                    <w:rFonts w:ascii="Cambria Math" w:eastAsiaTheme="majorEastAsia" w:hAnsi="Cambria Math"/>
                  </w:rPr>
                  <m:t>P</m:t>
                </m:r>
              </m:e>
              <m:sub>
                <m:r>
                  <w:rPr>
                    <w:rStyle w:val="mord"/>
                    <w:rFonts w:ascii="Cambria Math" w:eastAsiaTheme="majorEastAsia" w:hAnsi="Cambria Math"/>
                  </w:rPr>
                  <m:t>t</m:t>
                </m:r>
              </m:sub>
              <m:sup>
                <m:r>
                  <w:rPr>
                    <w:rStyle w:val="mord"/>
                    <w:rFonts w:ascii="Cambria Math" w:eastAsiaTheme="majorEastAsia" w:hAnsi="Cambria Math"/>
                  </w:rPr>
                  <m:t>CME</m:t>
                </m:r>
              </m:sup>
            </m:sSubSup>
            <m:r>
              <m:rPr>
                <m:sty m:val="p"/>
              </m:rPr>
              <w:rPr>
                <w:rStyle w:val="vlist-s"/>
                <w:rFonts w:ascii="Cambria Math" w:eastAsiaTheme="majorEastAsia" w:hAnsi="Cambria Math"/>
              </w:rPr>
              <m:t>​</m:t>
            </m:r>
            <m:ctrlPr>
              <w:rPr>
                <w:rStyle w:val="mclose"/>
                <w:rFonts w:ascii="Cambria Math" w:eastAsiaTheme="majorEastAsia" w:hAnsi="Cambria Math"/>
                <w:b/>
                <w:bCs/>
              </w:rPr>
            </m:ctrlPr>
          </m:e>
        </m:d>
        <m:r>
          <m:rPr>
            <m:sty m:val="bi"/>
          </m:rPr>
          <w:rPr>
            <w:rStyle w:val="mclose"/>
            <w:rFonts w:ascii="Cambria Math" w:eastAsiaTheme="majorEastAsia" w:hAnsi="Cambria Math"/>
          </w:rPr>
          <m:t xml:space="preserve"> </m:t>
        </m:r>
      </m:oMath>
      <w:r w:rsidR="00F22DC2">
        <w:rPr>
          <w:rFonts w:ascii="Garamond" w:hAnsi="Garamond"/>
        </w:rPr>
        <w:t xml:space="preserve"> is </w:t>
      </w:r>
      <w:r w:rsidRPr="00667A6E">
        <w:rPr>
          <w:rFonts w:ascii="Garamond" w:hAnsi="Garamond"/>
        </w:rPr>
        <w:t xml:space="preserve">the monthly average of CME Class III futures capturing global dairy cycles, </w:t>
      </w:r>
      <m:oMath>
        <m:r>
          <w:rPr>
            <w:rStyle w:val="mord"/>
            <w:rFonts w:ascii="Cambria Math" w:eastAsiaTheme="majorEastAsia" w:hAnsi="Cambria Math"/>
          </w:rPr>
          <m:t>Macr</m:t>
        </m:r>
        <m:sSub>
          <m:sSubPr>
            <m:ctrlPr>
              <w:rPr>
                <w:rStyle w:val="mord"/>
                <w:rFonts w:ascii="Cambria Math" w:eastAsiaTheme="majorEastAsia" w:hAnsi="Cambria Math"/>
                <w:i/>
                <w:iCs/>
              </w:rPr>
            </m:ctrlPr>
          </m:sSubPr>
          <m:e>
            <m:r>
              <w:rPr>
                <w:rStyle w:val="mord"/>
                <w:rFonts w:ascii="Cambria Math" w:eastAsiaTheme="majorEastAsia" w:hAnsi="Cambria Math"/>
              </w:rPr>
              <m:t>o</m:t>
            </m:r>
          </m:e>
          <m:sub>
            <m:r>
              <w:rPr>
                <w:rStyle w:val="mord"/>
                <w:rFonts w:ascii="Cambria Math" w:eastAsiaTheme="majorEastAsia" w:hAnsi="Cambria Math"/>
              </w:rPr>
              <m:t>t</m:t>
            </m:r>
          </m:sub>
        </m:sSub>
      </m:oMath>
      <w:r w:rsidRPr="00667A6E">
        <w:rPr>
          <w:rFonts w:ascii="Garamond" w:hAnsi="Garamond"/>
        </w:rPr>
        <w:t xml:space="preserve">summarizes inflation and exchange-rate conditions, </w:t>
      </w:r>
      <m:oMath>
        <m:r>
          <w:rPr>
            <w:rStyle w:val="mord"/>
            <w:rFonts w:ascii="Cambria Math" w:eastAsiaTheme="majorEastAsia" w:hAnsi="Cambria Math"/>
          </w:rPr>
          <m:t>Even</m:t>
        </m:r>
        <m:sSub>
          <m:sSubPr>
            <m:ctrlPr>
              <w:rPr>
                <w:rStyle w:val="mord"/>
                <w:rFonts w:ascii="Cambria Math" w:eastAsiaTheme="majorEastAsia" w:hAnsi="Cambria Math"/>
                <w:i/>
                <w:iCs/>
              </w:rPr>
            </m:ctrlPr>
          </m:sSubPr>
          <m:e>
            <m:r>
              <w:rPr>
                <w:rStyle w:val="mord"/>
                <w:rFonts w:ascii="Cambria Math" w:eastAsiaTheme="majorEastAsia" w:hAnsi="Cambria Math"/>
              </w:rPr>
              <m:t>t</m:t>
            </m:r>
          </m:e>
          <m:sub>
            <m:r>
              <w:rPr>
                <w:rStyle w:val="mord"/>
                <w:rFonts w:ascii="Cambria Math" w:eastAsiaTheme="majorEastAsia" w:hAnsi="Cambria Math"/>
              </w:rPr>
              <m:t>t</m:t>
            </m:r>
          </m:sub>
        </m:sSub>
      </m:oMath>
      <w:r w:rsidRPr="00667A6E">
        <w:rPr>
          <w:rFonts w:ascii="Garamond" w:hAnsi="Garamond"/>
        </w:rPr>
        <w:t>captures major war-related and logistics disruptions, and</w:t>
      </w:r>
      <w:r w:rsidR="00F22DC2" w:rsidRPr="00F22DC2">
        <w:rPr>
          <w:rStyle w:val="mord"/>
          <w:rFonts w:ascii="Cambria Math" w:eastAsiaTheme="majorEastAsia" w:hAnsi="Cambria Math"/>
          <w:i/>
          <w:iCs/>
        </w:rPr>
        <w:t xml:space="preserve"> </w:t>
      </w:r>
      <w:r w:rsidR="00F22DC2">
        <w:rPr>
          <w:rStyle w:val="mord"/>
          <w:rFonts w:ascii="Cambria Math" w:eastAsiaTheme="majorEastAsia" w:hAnsi="Cambria Math"/>
          <w:i/>
          <w:iCs/>
        </w:rPr>
        <w:t>R</w:t>
      </w:r>
      <m:oMath>
        <m:r>
          <w:rPr>
            <w:rStyle w:val="mord"/>
            <w:rFonts w:ascii="Cambria Math" w:eastAsiaTheme="majorEastAsia" w:hAnsi="Cambria Math"/>
          </w:rPr>
          <m:t>etailBehavio</m:t>
        </m:r>
        <m:sSub>
          <m:sSubPr>
            <m:ctrlPr>
              <w:rPr>
                <w:rStyle w:val="mord"/>
                <w:rFonts w:ascii="Cambria Math" w:eastAsiaTheme="majorEastAsia" w:hAnsi="Cambria Math"/>
                <w:i/>
                <w:iCs/>
              </w:rPr>
            </m:ctrlPr>
          </m:sSubPr>
          <m:e>
            <m:r>
              <w:rPr>
                <w:rStyle w:val="mord"/>
                <w:rFonts w:ascii="Cambria Math" w:eastAsiaTheme="majorEastAsia" w:hAnsi="Cambria Math"/>
              </w:rPr>
              <m:t>r</m:t>
            </m:r>
          </m:e>
          <m:sub>
            <m:r>
              <w:rPr>
                <w:rStyle w:val="mord"/>
                <w:rFonts w:ascii="Cambria Math" w:eastAsiaTheme="majorEastAsia" w:hAnsi="Cambria Math"/>
              </w:rPr>
              <m:t>t</m:t>
            </m:r>
          </m:sub>
        </m:sSub>
      </m:oMath>
      <w:r w:rsidRPr="00667A6E">
        <w:rPr>
          <w:rFonts w:ascii="Garamond" w:hAnsi="Garamond"/>
        </w:rPr>
        <w:t xml:space="preserve"> summarizes promotion intensity and other retail pricing features observed in the collected retail data. If obtained in a consistent monthly format, a dairy import and export price index can be added to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667A6E">
        <w:rPr>
          <w:rFonts w:ascii="Garamond" w:hAnsi="Garamond"/>
        </w:rPr>
        <w:t xml:space="preserve"> as an additional trade channel, but the baseline identification does not depend on it.</w:t>
      </w:r>
    </w:p>
    <w:p w14:paraId="1065CA04" w14:textId="7164A10D" w:rsidR="00667A6E" w:rsidRPr="00667A6E" w:rsidRDefault="00667A6E" w:rsidP="00053940">
      <w:pPr>
        <w:pStyle w:val="p1"/>
        <w:spacing w:line="360" w:lineRule="auto"/>
        <w:rPr>
          <w:rFonts w:ascii="Garamond" w:hAnsi="Garamond"/>
        </w:rPr>
      </w:pPr>
      <w:r w:rsidRPr="00667A6E">
        <w:rPr>
          <w:rFonts w:ascii="Garamond" w:hAnsi="Garamond"/>
        </w:rPr>
        <w:t xml:space="preserve">This system yields a clear and interpretable basis for discussing “market formation” versus “market following”. First, the adjustment coefficients in </w:t>
      </w:r>
      <m:oMath>
        <m:r>
          <m:rPr>
            <m:sty m:val="p"/>
          </m:rPr>
          <w:rPr>
            <w:rStyle w:val="mord"/>
            <w:rFonts w:ascii="Cambria Math" w:eastAsiaTheme="majorEastAsia" w:hAnsi="Cambria Math"/>
          </w:rPr>
          <m:t>Π</m:t>
        </m:r>
      </m:oMath>
      <w:r w:rsidR="00F22DC2" w:rsidRPr="00667A6E">
        <w:rPr>
          <w:rFonts w:ascii="Garamond" w:hAnsi="Garamond"/>
        </w:rPr>
        <w:t xml:space="preserve"> </w:t>
      </w:r>
      <w:r w:rsidRPr="00667A6E">
        <w:rPr>
          <w:rFonts w:ascii="Garamond" w:hAnsi="Garamond"/>
        </w:rPr>
        <w:t xml:space="preserve">show which stage corrects deviations from the long-run relationship. If the farm-gate and processor stages exhibit significant adjustment while retail adjusts little, this suggests downstream price leadership and upstream accommodation. If retail also adjusts significantly, it implies a more symmetric chain where retail does not fully insulate itself from upstream disequilibria. Second, the lag matrices </w:t>
      </w:r>
      <m:oMath>
        <m:sSub>
          <m:sSubPr>
            <m:ctrlPr>
              <w:rPr>
                <w:rStyle w:val="mord"/>
                <w:rFonts w:ascii="Cambria Math" w:eastAsiaTheme="majorEastAsia" w:hAnsi="Cambria Math"/>
              </w:rPr>
            </m:ctrlPr>
          </m:sSubPr>
          <m:e>
            <m:r>
              <m:rPr>
                <m:sty m:val="p"/>
              </m:rPr>
              <w:rPr>
                <w:rStyle w:val="mord"/>
                <w:rFonts w:ascii="Cambria Math" w:eastAsiaTheme="majorEastAsia" w:hAnsi="Cambria Math"/>
              </w:rPr>
              <m:t>Γ</m:t>
            </m:r>
          </m:e>
          <m:sub>
            <m:r>
              <w:rPr>
                <w:rStyle w:val="mord"/>
                <w:rFonts w:ascii="Cambria Math" w:eastAsiaTheme="majorEastAsia" w:hAnsi="Cambria Math"/>
              </w:rPr>
              <m:t>i</m:t>
            </m:r>
          </m:sub>
        </m:sSub>
        <m:r>
          <m:rPr>
            <m:sty m:val="p"/>
          </m:rPr>
          <w:rPr>
            <w:rStyle w:val="vlist-s"/>
            <w:rFonts w:ascii="Cambria Math" w:eastAsiaTheme="majorEastAsia" w:hAnsi="Cambria Math"/>
          </w:rPr>
          <m:t xml:space="preserve">​ </m:t>
        </m:r>
      </m:oMath>
      <w:r w:rsidR="00F22DC2">
        <w:rPr>
          <w:rFonts w:ascii="Garamond" w:hAnsi="Garamond"/>
        </w:rPr>
        <w:t xml:space="preserve"> reveal </w:t>
      </w:r>
      <w:r w:rsidRPr="00667A6E">
        <w:rPr>
          <w:rFonts w:ascii="Garamond" w:hAnsi="Garamond"/>
        </w:rPr>
        <w:t xml:space="preserve">short-run predictability across stages. </w:t>
      </w:r>
      <w:r w:rsidRPr="00667A6E">
        <w:rPr>
          <w:rFonts w:ascii="Garamond" w:hAnsi="Garamond"/>
        </w:rPr>
        <w:lastRenderedPageBreak/>
        <w:t>If lagged retail price changes help predict processor and farm-gate changes even after controlling for CME and macro shocks, retail movements can be interpreted as active shocks that propagate upstream. If the reverse holds, retail prices appear mainly driven by upstream conditions.</w:t>
      </w:r>
    </w:p>
    <w:p w14:paraId="2C03C064" w14:textId="24BBB51D" w:rsidR="00667A6E" w:rsidRPr="00667A6E" w:rsidRDefault="00667A6E" w:rsidP="00053940">
      <w:pPr>
        <w:pStyle w:val="p1"/>
        <w:spacing w:line="360" w:lineRule="auto"/>
        <w:rPr>
          <w:rFonts w:ascii="Garamond" w:hAnsi="Garamond"/>
        </w:rPr>
      </w:pPr>
      <w:r w:rsidRPr="00667A6E">
        <w:rPr>
          <w:rFonts w:ascii="Garamond" w:hAnsi="Garamond"/>
        </w:rPr>
        <w:t>Because retailers typically manage dairy as a category, not as isolated items, the thesis also allows for*inter-product linkages within the retail layer. Milk, butter, and cheese prices may be linked through substitution in consumer demand, coordinated promotional cycles, and category-level pricing strategies. To capture this without changing the logic of the model, the price vector can be expanded to include multiple retail category indices where the data are sufficiently consistent:</w:t>
      </w:r>
    </w:p>
    <w:p w14:paraId="5BD7F564" w14:textId="075760E1" w:rsidR="00667A6E" w:rsidRPr="00F22DC2" w:rsidRDefault="00000000" w:rsidP="00053940">
      <w:pPr>
        <w:pStyle w:val="p1"/>
        <w:spacing w:line="360" w:lineRule="auto"/>
        <w:rPr>
          <w:rStyle w:val="mpunct"/>
          <w:rFonts w:ascii="Garamond" w:hAnsi="Garamond"/>
        </w:rPr>
      </w:pPr>
      <m:oMathPara>
        <m:oMath>
          <m:sSubSup>
            <m:sSubSupPr>
              <m:ctrlPr>
                <w:rPr>
                  <w:rStyle w:val="mord"/>
                  <w:rFonts w:ascii="Cambria Math" w:eastAsiaTheme="majorEastAsia" w:hAnsi="Cambria Math"/>
                </w:rPr>
              </m:ctrlPr>
            </m:sSubSupPr>
            <m:e>
              <m:r>
                <m:rPr>
                  <m:sty m:val="p"/>
                </m:rPr>
                <w:rPr>
                  <w:rStyle w:val="mord"/>
                  <w:rFonts w:ascii="Cambria Math" w:eastAsiaTheme="majorEastAsia" w:hAnsi="Cambria Math"/>
                </w:rPr>
                <m:t>Y</m:t>
              </m:r>
            </m:e>
            <m:sub>
              <m:r>
                <m:rPr>
                  <m:sty m:val="p"/>
                </m:rPr>
                <w:rPr>
                  <w:rStyle w:val="mord"/>
                  <w:rFonts w:ascii="Cambria Math" w:eastAsiaTheme="majorEastAsia" w:hAnsi="Cambria Math"/>
                </w:rPr>
                <m:t>t</m:t>
              </m:r>
              <m:ctrlPr>
                <w:rPr>
                  <w:rStyle w:val="mopen"/>
                  <w:rFonts w:ascii="Cambria Math" w:eastAsiaTheme="majorEastAsia" w:hAnsi="Cambria Math"/>
                </w:rPr>
              </m:ctrlPr>
            </m:sub>
            <m:sup>
              <m:r>
                <m:rPr>
                  <m:sty m:val="p"/>
                </m:rPr>
                <w:rPr>
                  <w:rStyle w:val="mord"/>
                  <w:rFonts w:ascii="Cambria Math" w:eastAsiaTheme="majorEastAsia" w:hAnsi="Cambria Math"/>
                </w:rPr>
                <m:t>(k)</m:t>
              </m:r>
              <m:ctrlPr>
                <w:rPr>
                  <w:rStyle w:val="mopen"/>
                  <w:rFonts w:ascii="Cambria Math" w:eastAsiaTheme="majorEastAsia" w:hAnsi="Cambria Math"/>
                </w:rPr>
              </m:ctrlPr>
            </m:sup>
          </m:sSubSup>
          <m:r>
            <m:rPr>
              <m:sty m:val="p"/>
            </m:rPr>
            <w:rPr>
              <w:rStyle w:val="vlist-s"/>
              <w:rFonts w:ascii="Cambria Math" w:eastAsiaTheme="majorEastAsia" w:hAnsi="Cambria Math"/>
            </w:rPr>
            <m:t>​</m:t>
          </m:r>
          <m:r>
            <m:rPr>
              <m:sty m:val="p"/>
            </m:rPr>
            <w:rPr>
              <w:rStyle w:val="mrel"/>
              <w:rFonts w:ascii="Cambria Math" w:eastAsiaTheme="majorEastAsia" w:hAnsi="Cambria Math"/>
            </w:rPr>
            <m:t>=</m:t>
          </m:r>
          <m:d>
            <m:dPr>
              <m:begChr m:val="["/>
              <m:endChr m:val="]"/>
              <m:ctrlPr>
                <w:rPr>
                  <w:rStyle w:val="mrel"/>
                  <w:rFonts w:ascii="Cambria Math" w:eastAsiaTheme="majorEastAsia" w:hAnsi="Cambria Math"/>
                </w:rPr>
              </m:ctrlPr>
            </m:dPr>
            <m:e>
              <m:m>
                <m:mPr>
                  <m:mcs>
                    <m:mc>
                      <m:mcPr>
                        <m:count m:val="1"/>
                        <m:mcJc m:val="center"/>
                      </m:mcPr>
                    </m:mc>
                  </m:mcs>
                  <m:ctrlPr>
                    <w:rPr>
                      <w:rStyle w:val="vlist-s"/>
                      <w:rFonts w:ascii="Cambria Math" w:eastAsiaTheme="majorEastAsia" w:hAnsi="Cambria Math"/>
                    </w:rPr>
                  </m:ctrlPr>
                </m:mPr>
                <m:mr>
                  <m:e>
                    <m:r>
                      <m:rPr>
                        <m:sty m:val="p"/>
                      </m:rPr>
                      <w:rPr>
                        <w:rStyle w:val="vlist-s"/>
                        <w:rFonts w:ascii="Cambria Math" w:eastAsiaTheme="majorEastAsia" w:hAnsi="Cambria Math"/>
                      </w:rPr>
                      <m:t>​</m:t>
                    </m:r>
                    <m:r>
                      <m:rPr>
                        <m:sty m:val="b"/>
                      </m:rP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ctrlPr>
                              <w:rPr>
                                <w:rStyle w:val="mopen"/>
                                <w:rFonts w:ascii="Cambria Math" w:eastAsiaTheme="majorEastAsia" w:hAnsi="Cambria Math"/>
                              </w:rPr>
                            </m:ctrlP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R</m:t>
                            </m:r>
                            <m:r>
                              <m:rPr>
                                <m:sty m:val="p"/>
                              </m:rPr>
                              <w:rPr>
                                <w:rStyle w:val="mpunct"/>
                                <w:rFonts w:ascii="Cambria Math" w:eastAsiaTheme="majorEastAsia" w:hAnsi="Cambria Math"/>
                              </w:rPr>
                              <m:t>,</m:t>
                            </m:r>
                            <m:r>
                              <m:rPr>
                                <m:sty m:val="p"/>
                              </m:rPr>
                              <w:rPr>
                                <w:rStyle w:val="mord"/>
                                <w:rFonts w:ascii="Cambria Math" w:eastAsiaTheme="majorEastAsia" w:hAnsi="Cambria Math"/>
                              </w:rPr>
                              <m:t>milk</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e>
                </m:mr>
                <m:mr>
                  <m:e>
                    <m:r>
                      <m:rPr>
                        <m:sty m:val="b"/>
                      </m:rP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ctrlPr>
                              <w:rPr>
                                <w:rStyle w:val="mopen"/>
                                <w:rFonts w:ascii="Cambria Math" w:eastAsiaTheme="majorEastAsia" w:hAnsi="Cambria Math"/>
                              </w:rPr>
                            </m:ctrlP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R</m:t>
                            </m:r>
                            <m:r>
                              <m:rPr>
                                <m:sty m:val="p"/>
                              </m:rPr>
                              <w:rPr>
                                <w:rStyle w:val="mpunct"/>
                                <w:rFonts w:ascii="Cambria Math" w:eastAsiaTheme="majorEastAsia" w:hAnsi="Cambria Math"/>
                              </w:rPr>
                              <m:t>,</m:t>
                            </m:r>
                            <m:r>
                              <m:rPr>
                                <m:sty m:val="p"/>
                              </m:rPr>
                              <w:rPr>
                                <w:rStyle w:val="mord"/>
                                <w:rFonts w:ascii="Cambria Math" w:eastAsiaTheme="majorEastAsia" w:hAnsi="Cambria Math"/>
                              </w:rPr>
                              <m:t>cheese</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e>
                </m:mr>
                <m:mr>
                  <m:e>
                    <m:r>
                      <m:rPr>
                        <m:sty m:val="b"/>
                      </m:rP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ctrlPr>
                              <w:rPr>
                                <w:rStyle w:val="mopen"/>
                                <w:rFonts w:ascii="Cambria Math" w:eastAsiaTheme="majorEastAsia" w:hAnsi="Cambria Math"/>
                              </w:rPr>
                            </m:ctrlP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R</m:t>
                            </m:r>
                            <m:r>
                              <m:rPr>
                                <m:sty m:val="p"/>
                              </m:rPr>
                              <w:rPr>
                                <w:rStyle w:val="mpunct"/>
                                <w:rFonts w:ascii="Cambria Math" w:eastAsiaTheme="majorEastAsia" w:hAnsi="Cambria Math"/>
                              </w:rPr>
                              <m:t>,</m:t>
                            </m:r>
                            <m:r>
                              <m:rPr>
                                <m:sty m:val="p"/>
                              </m:rPr>
                              <w:rPr>
                                <w:rStyle w:val="mord"/>
                                <w:rFonts w:ascii="Cambria Math" w:eastAsiaTheme="majorEastAsia" w:hAnsi="Cambria Math"/>
                              </w:rPr>
                              <m:t>butter</m:t>
                            </m:r>
                            <m:r>
                              <m:rPr>
                                <m:sty m:val="p"/>
                              </m:rPr>
                              <w:rPr>
                                <w:rStyle w:val="vlist-s"/>
                                <w:rFonts w:ascii="Cambria Math" w:eastAsiaTheme="majorEastAsia" w:hAnsi="Cambria Math"/>
                              </w:rPr>
                              <m:t>​</m:t>
                            </m:r>
                          </m:sup>
                        </m:sSubSup>
                        <m:ctrlPr>
                          <w:rPr>
                            <w:rStyle w:val="mclose"/>
                            <w:rFonts w:ascii="Cambria Math" w:eastAsiaTheme="majorEastAsia" w:hAnsi="Cambria Math"/>
                          </w:rPr>
                        </m:ctrlPr>
                      </m:e>
                    </m:d>
                    <m:ctrlPr>
                      <w:rPr>
                        <w:rStyle w:val="mclose"/>
                        <w:rFonts w:ascii="Cambria Math" w:eastAsia="Cambria Math" w:hAnsi="Cambria Math" w:cs="Cambria Math"/>
                      </w:rPr>
                    </m:ctrlPr>
                  </m:e>
                </m:mr>
                <m:mr>
                  <m:e>
                    <m:r>
                      <m:rPr>
                        <m:sty m:val="b"/>
                      </m:rP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ctrlPr>
                              <w:rPr>
                                <w:rStyle w:val="mopen"/>
                                <w:rFonts w:ascii="Cambria Math" w:eastAsiaTheme="majorEastAsia" w:hAnsi="Cambria Math"/>
                              </w:rPr>
                            </m:ctrlP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P</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ctrlPr>
                      <w:rPr>
                        <w:rStyle w:val="mclose"/>
                        <w:rFonts w:ascii="Cambria Math" w:eastAsia="Cambria Math" w:hAnsi="Cambria Math" w:cs="Cambria Math"/>
                        <w:i/>
                      </w:rPr>
                    </m:ctrlPr>
                  </m:e>
                </m:mr>
                <m:mr>
                  <m:e>
                    <m:r>
                      <m:rPr>
                        <m:sty m:val="b"/>
                      </m:rPr>
                      <w:rPr>
                        <w:rStyle w:val="mop"/>
                        <w:rFonts w:ascii="Cambria Math" w:eastAsiaTheme="majorEastAsia" w:hAnsi="Cambria Math"/>
                      </w:rPr>
                      <m:t>ln</m:t>
                    </m:r>
                    <m:d>
                      <m:dPr>
                        <m:ctrlPr>
                          <w:rPr>
                            <w:rStyle w:val="mopen"/>
                            <w:rFonts w:ascii="Cambria Math" w:eastAsiaTheme="majorEastAsia" w:hAnsi="Cambria Math"/>
                          </w:rPr>
                        </m:ctrlPr>
                      </m:dPr>
                      <m:e>
                        <m:sSubSup>
                          <m:sSubSupPr>
                            <m:ctrlPr>
                              <w:rPr>
                                <w:rStyle w:val="mord"/>
                                <w:rFonts w:ascii="Cambria Math" w:eastAsiaTheme="majorEastAsia" w:hAnsi="Cambria Math"/>
                              </w:rPr>
                            </m:ctrlPr>
                          </m:sSubSupPr>
                          <m:e>
                            <m:r>
                              <m:rPr>
                                <m:sty m:val="p"/>
                              </m:rPr>
                              <w:rPr>
                                <w:rStyle w:val="mord"/>
                                <w:rFonts w:ascii="Cambria Math" w:eastAsiaTheme="majorEastAsia" w:hAnsi="Cambria Math"/>
                              </w:rPr>
                              <m:t>P</m:t>
                            </m:r>
                            <m:ctrlPr>
                              <w:rPr>
                                <w:rStyle w:val="mopen"/>
                                <w:rFonts w:ascii="Cambria Math" w:eastAsiaTheme="majorEastAsia" w:hAnsi="Cambria Math"/>
                              </w:rPr>
                            </m:ctrlPr>
                          </m:e>
                          <m:sub>
                            <m:r>
                              <m:rPr>
                                <m:sty m:val="p"/>
                              </m:rPr>
                              <w:rPr>
                                <w:rStyle w:val="mord"/>
                                <w:rFonts w:ascii="Cambria Math" w:eastAsiaTheme="majorEastAsia" w:hAnsi="Cambria Math"/>
                              </w:rPr>
                              <m:t>t</m:t>
                            </m:r>
                          </m:sub>
                          <m:sup>
                            <m:r>
                              <m:rPr>
                                <m:sty m:val="p"/>
                              </m:rPr>
                              <w:rPr>
                                <w:rStyle w:val="mord"/>
                                <w:rFonts w:ascii="Cambria Math" w:eastAsiaTheme="majorEastAsia" w:hAnsi="Cambria Math"/>
                              </w:rPr>
                              <m:t>F</m:t>
                            </m:r>
                          </m:sup>
                        </m:sSubSup>
                        <m:r>
                          <m:rPr>
                            <m:sty m:val="p"/>
                          </m:rPr>
                          <w:rPr>
                            <w:rStyle w:val="vlist-s"/>
                            <w:rFonts w:ascii="Cambria Math" w:eastAsiaTheme="majorEastAsia" w:hAnsi="Cambria Math"/>
                          </w:rPr>
                          <m:t>​</m:t>
                        </m:r>
                        <m:ctrlPr>
                          <w:rPr>
                            <w:rStyle w:val="mclose"/>
                            <w:rFonts w:ascii="Cambria Math" w:eastAsiaTheme="majorEastAsia" w:hAnsi="Cambria Math"/>
                          </w:rPr>
                        </m:ctrlPr>
                      </m:e>
                    </m:d>
                  </m:e>
                </m:mr>
              </m:m>
              <m:ctrlPr>
                <w:rPr>
                  <w:rStyle w:val="vlist-s"/>
                  <w:rFonts w:ascii="Cambria Math" w:eastAsiaTheme="majorEastAsia" w:hAnsi="Cambria Math"/>
                </w:rPr>
              </m:ctrlPr>
            </m:e>
          </m:d>
          <m:r>
            <m:rPr>
              <m:sty m:val="p"/>
            </m:rPr>
            <w:rPr>
              <w:rStyle w:val="vlist-s"/>
              <w:rFonts w:ascii="Cambria Math" w:eastAsiaTheme="majorEastAsia" w:hAnsi="Cambria Math"/>
            </w:rPr>
            <m:t>​​</m:t>
          </m:r>
          <m:r>
            <m:rPr>
              <m:sty m:val="p"/>
            </m:rPr>
            <w:rPr>
              <w:rStyle w:val="mpunct"/>
              <w:rFonts w:ascii="Cambria Math" w:eastAsiaTheme="majorEastAsia" w:hAnsi="Cambria Math"/>
            </w:rPr>
            <m:t>,</m:t>
          </m:r>
        </m:oMath>
      </m:oMathPara>
    </w:p>
    <w:p w14:paraId="513F974D" w14:textId="1BBBC501" w:rsidR="00F22DC2" w:rsidRPr="00B52F9F" w:rsidRDefault="00B52F9F" w:rsidP="00B52F9F">
      <w:pPr>
        <w:rPr>
          <w:rFonts w:asciiTheme="minorHAnsi" w:eastAsiaTheme="minorEastAsia" w:hAnsiTheme="minorHAnsi" w:cstheme="minorBidi"/>
        </w:rPr>
      </w:pPr>
      <m:oMathPara>
        <m:oMath>
          <m:r>
            <w:rPr>
              <w:rStyle w:val="mord"/>
              <w:rFonts w:ascii="Cambria Math" w:hAnsi="Cambria Math"/>
            </w:rPr>
            <m:t>Δ</m:t>
          </m:r>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d>
            <m:dPr>
              <m:ctrlPr>
                <w:rPr>
                  <w:rStyle w:val="mopen"/>
                  <w:rFonts w:ascii="Cambria Math" w:hAnsi="Cambria Math"/>
                  <w:i/>
                </w:rPr>
              </m:ctrlPr>
            </m:dPr>
            <m:e>
              <m:r>
                <w:rPr>
                  <w:rStyle w:val="mord"/>
                  <w:rFonts w:ascii="Cambria Math" w:hAnsi="Cambria Math"/>
                </w:rPr>
                <m:t>k</m:t>
              </m:r>
              <m:ctrlPr>
                <w:rPr>
                  <w:rStyle w:val="mclose"/>
                  <w:rFonts w:ascii="Cambria Math" w:hAnsi="Cambria Math"/>
                  <w:i/>
                </w:rPr>
              </m:ctrlPr>
            </m:e>
          </m:d>
          <m:r>
            <w:rPr>
              <w:rStyle w:val="vlist-s"/>
              <w:rFonts w:ascii="Cambria Math" w:hAnsi="Cambria Math" w:cs="Arial"/>
            </w:rPr>
            <m:t>​</m:t>
          </m:r>
          <m:r>
            <w:rPr>
              <w:rStyle w:val="mrel"/>
              <w:rFonts w:ascii="Cambria Math" w:hAnsi="Cambria Math"/>
            </w:rPr>
            <m:t>=</m:t>
          </m:r>
          <m:sSup>
            <m:sSupPr>
              <m:ctrlPr>
                <w:rPr>
                  <w:rStyle w:val="mord"/>
                  <w:rFonts w:ascii="Cambria Math" w:hAnsi="Cambria Math"/>
                  <w:i/>
                </w:rPr>
              </m:ctrlPr>
            </m:sSupPr>
            <m:e>
              <m:r>
                <w:rPr>
                  <w:rStyle w:val="mord"/>
                  <w:rFonts w:ascii="Cambria Math" w:hAnsi="Cambria Math"/>
                </w:rPr>
                <m:t>Π</m:t>
              </m:r>
              <m:ctrlPr>
                <w:rPr>
                  <w:rStyle w:val="mrel"/>
                  <w:rFonts w:ascii="Cambria Math" w:hAnsi="Cambria Math"/>
                  <w:i/>
                </w:rPr>
              </m:ctrlPr>
            </m:e>
            <m:sup>
              <m:d>
                <m:dPr>
                  <m:ctrlPr>
                    <w:rPr>
                      <w:rStyle w:val="mopen"/>
                      <w:rFonts w:ascii="Cambria Math" w:hAnsi="Cambria Math"/>
                      <w:i/>
                    </w:rPr>
                  </m:ctrlPr>
                </m:dPr>
                <m:e>
                  <m:r>
                    <w:rPr>
                      <w:rStyle w:val="mord"/>
                      <w:rFonts w:ascii="Cambria Math" w:hAnsi="Cambria Math"/>
                    </w:rPr>
                    <m:t>k</m:t>
                  </m:r>
                  <m:ctrlPr>
                    <w:rPr>
                      <w:rStyle w:val="mclose"/>
                      <w:rFonts w:ascii="Cambria Math" w:hAnsi="Cambria Math"/>
                      <w:i/>
                    </w:rPr>
                  </m:ctrlPr>
                </m:e>
              </m:d>
            </m:sup>
          </m:sSup>
          <m:r>
            <w:rPr>
              <w:rStyle w:val="mord"/>
              <w:rFonts w:ascii="Cambria Math" w:hAnsi="Cambria Math"/>
            </w:rPr>
            <m:t>EC</m:t>
          </m:r>
          <m:sSubSup>
            <m:sSubSupPr>
              <m:ctrlPr>
                <w:rPr>
                  <w:rStyle w:val="mord"/>
                  <w:rFonts w:ascii="Cambria Math" w:hAnsi="Cambria Math"/>
                  <w:i/>
                </w:rPr>
              </m:ctrlPr>
            </m:sSubSupPr>
            <m:e>
              <m:r>
                <w:rPr>
                  <w:rStyle w:val="mord"/>
                  <w:rFonts w:ascii="Cambria Math" w:hAnsi="Cambria Math"/>
                </w:rPr>
                <m:t>T</m:t>
              </m:r>
            </m:e>
            <m:sub>
              <m:r>
                <w:rPr>
                  <w:rStyle w:val="mord"/>
                  <w:rFonts w:ascii="Cambria Math" w:hAnsi="Cambria Math"/>
                </w:rPr>
                <m:t>t</m:t>
              </m:r>
              <m:r>
                <w:rPr>
                  <w:rStyle w:val="mbin"/>
                  <w:rFonts w:ascii="Cambria Math" w:hAnsi="Cambria Math"/>
                </w:rPr>
                <m:t>-</m:t>
              </m:r>
              <m:r>
                <w:rPr>
                  <w:rStyle w:val="mord"/>
                  <w:rFonts w:ascii="Cambria Math" w:hAnsi="Cambria Math"/>
                </w:rPr>
                <m:t>1</m:t>
              </m:r>
              <m:ctrlPr>
                <w:rPr>
                  <w:rStyle w:val="mopen"/>
                  <w:rFonts w:ascii="Cambria Math" w:hAnsi="Cambria Math"/>
                  <w:i/>
                </w:rPr>
              </m:ctrlPr>
            </m:sub>
            <m:sup>
              <m:d>
                <m:dPr>
                  <m:ctrlPr>
                    <w:rPr>
                      <w:rStyle w:val="mopen"/>
                      <w:rFonts w:ascii="Cambria Math" w:hAnsi="Cambria Math"/>
                      <w:i/>
                    </w:rPr>
                  </m:ctrlPr>
                </m:dPr>
                <m:e>
                  <m:r>
                    <w:rPr>
                      <w:rStyle w:val="mopen"/>
                      <w:rFonts w:ascii="Cambria Math" w:hAnsi="Cambria Math"/>
                    </w:rPr>
                    <m:t>k</m:t>
                  </m:r>
                </m:e>
              </m:d>
              <m:ctrlPr>
                <w:rPr>
                  <w:rStyle w:val="mopen"/>
                  <w:rFonts w:ascii="Cambria Math" w:hAnsi="Cambria Math"/>
                  <w:i/>
                </w:rPr>
              </m:ctrlPr>
            </m:sup>
          </m:sSubSup>
          <m:r>
            <w:rPr>
              <w:rStyle w:val="vlist-s"/>
              <w:rFonts w:ascii="Cambria Math" w:hAnsi="Cambria Math" w:cs="Arial"/>
            </w:rPr>
            <m:t>​</m:t>
          </m:r>
          <m:r>
            <w:rPr>
              <w:rStyle w:val="mbin"/>
              <w:rFonts w:ascii="Cambria Math" w:hAnsi="Cambria Math"/>
            </w:rPr>
            <m:t>+</m:t>
          </m:r>
          <m:nary>
            <m:naryPr>
              <m:chr m:val="∑"/>
              <m:ctrlPr>
                <w:rPr>
                  <w:rStyle w:val="vlist-s"/>
                  <w:rFonts w:ascii="Cambria Math" w:eastAsiaTheme="majorEastAsia" w:hAnsi="Cambria Math"/>
                </w:rPr>
              </m:ctrlPr>
            </m:naryPr>
            <m:sub>
              <m:r>
                <w:rPr>
                  <w:rStyle w:val="vlist-s"/>
                  <w:rFonts w:ascii="Cambria Math" w:eastAsiaTheme="majorEastAsia" w:hAnsi="Cambria Math"/>
                </w:rPr>
                <m:t>i</m:t>
              </m:r>
              <m:r>
                <m:rPr>
                  <m:sty m:val="p"/>
                </m:rPr>
                <w:rPr>
                  <w:rStyle w:val="vlist-s"/>
                  <w:rFonts w:ascii="Cambria Math" w:eastAsiaTheme="majorEastAsia" w:hAnsi="Cambria Math"/>
                </w:rPr>
                <m:t>=1</m:t>
              </m:r>
            </m:sub>
            <m:sup>
              <m:r>
                <m:rPr>
                  <m:sty m:val="p"/>
                </m:rPr>
                <w:rPr>
                  <w:rStyle w:val="vlist-s"/>
                  <w:rFonts w:ascii="Cambria Math" w:eastAsiaTheme="majorEastAsia" w:hAnsi="Cambria Math"/>
                </w:rPr>
                <m:t>L</m:t>
              </m:r>
            </m:sup>
            <m:e>
              <m:sSubSup>
                <m:sSubSupPr>
                  <m:ctrlPr>
                    <w:rPr>
                      <w:rStyle w:val="mord"/>
                      <w:rFonts w:ascii="Cambria Math" w:hAnsi="Cambria Math"/>
                      <w:i/>
                    </w:rPr>
                  </m:ctrlPr>
                </m:sSubSupPr>
                <m:e>
                  <m:r>
                    <w:rPr>
                      <w:rStyle w:val="mord"/>
                      <w:rFonts w:ascii="Cambria Math" w:hAnsi="Cambria Math"/>
                    </w:rPr>
                    <m:t>Γ</m:t>
                  </m:r>
                </m:e>
                <m:sub>
                  <m:r>
                    <w:rPr>
                      <w:rStyle w:val="mord"/>
                      <w:rFonts w:ascii="Cambria Math" w:hAnsi="Cambria Math"/>
                    </w:rPr>
                    <m:t>i</m:t>
                  </m:r>
                </m:sub>
                <m:sup>
                  <m:d>
                    <m:dPr>
                      <m:ctrlPr>
                        <w:rPr>
                          <w:rStyle w:val="mopen"/>
                          <w:rFonts w:ascii="Cambria Math" w:hAnsi="Cambria Math"/>
                          <w:i/>
                        </w:rPr>
                      </m:ctrlPr>
                    </m:dPr>
                    <m:e>
                      <m:r>
                        <w:rPr>
                          <w:rStyle w:val="mord"/>
                          <w:rFonts w:ascii="Cambria Math" w:hAnsi="Cambria Math"/>
                        </w:rPr>
                        <m:t>k</m:t>
                      </m:r>
                      <m:ctrlPr>
                        <w:rPr>
                          <w:rStyle w:val="mclose"/>
                          <w:rFonts w:ascii="Cambria Math" w:hAnsi="Cambria Math"/>
                          <w:i/>
                        </w:rPr>
                      </m:ctrlPr>
                    </m:e>
                  </m:d>
                </m:sup>
              </m:sSubSup>
              <m:r>
                <w:rPr>
                  <w:rStyle w:val="vlist-s"/>
                  <w:rFonts w:ascii="Cambria Math" w:hAnsi="Cambria Math" w:cs="Arial"/>
                </w:rPr>
                <m:t>​</m:t>
              </m:r>
              <m:r>
                <w:rPr>
                  <w:rStyle w:val="mord"/>
                  <w:rFonts w:ascii="Cambria Math" w:hAnsi="Cambria Math"/>
                </w:rPr>
                <m:t>Δ</m:t>
              </m:r>
              <m:sSubSup>
                <m:sSubSupPr>
                  <m:ctrlPr>
                    <w:rPr>
                      <w:rStyle w:val="mord"/>
                      <w:rFonts w:ascii="Cambria Math" w:hAnsi="Cambria Math"/>
                      <w:i/>
                    </w:rPr>
                  </m:ctrlPr>
                </m:sSubSupPr>
                <m:e>
                  <m:r>
                    <w:rPr>
                      <w:rStyle w:val="mord"/>
                      <w:rFonts w:ascii="Cambria Math" w:hAnsi="Cambria Math"/>
                    </w:rPr>
                    <m:t>Y</m:t>
                  </m:r>
                </m:e>
                <m:sub>
                  <m:r>
                    <w:rPr>
                      <w:rStyle w:val="mord"/>
                      <w:rFonts w:ascii="Cambria Math" w:hAnsi="Cambria Math"/>
                    </w:rPr>
                    <m:t>t</m:t>
                  </m:r>
                  <m:r>
                    <w:rPr>
                      <w:rStyle w:val="mbin"/>
                      <w:rFonts w:ascii="Cambria Math" w:hAnsi="Cambria Math"/>
                    </w:rPr>
                    <m:t>-</m:t>
                  </m:r>
                  <m:r>
                    <w:rPr>
                      <w:rStyle w:val="mord"/>
                      <w:rFonts w:ascii="Cambria Math" w:hAnsi="Cambria Math"/>
                    </w:rPr>
                    <m:t>i</m:t>
                  </m:r>
                </m:sub>
                <m:sup>
                  <m:d>
                    <m:dPr>
                      <m:ctrlPr>
                        <w:rPr>
                          <w:rStyle w:val="mopen"/>
                          <w:rFonts w:ascii="Cambria Math" w:hAnsi="Cambria Math"/>
                          <w:i/>
                        </w:rPr>
                      </m:ctrlPr>
                    </m:dPr>
                    <m:e>
                      <m:r>
                        <w:rPr>
                          <w:rStyle w:val="mord"/>
                          <w:rFonts w:ascii="Cambria Math" w:hAnsi="Cambria Math"/>
                        </w:rPr>
                        <m:t>k</m:t>
                      </m:r>
                      <m:ctrlPr>
                        <w:rPr>
                          <w:rStyle w:val="mclose"/>
                          <w:rFonts w:ascii="Cambria Math" w:hAnsi="Cambria Math"/>
                          <w:i/>
                        </w:rPr>
                      </m:ctrlPr>
                    </m:e>
                  </m:d>
                </m:sup>
              </m:sSubSup>
              <m:r>
                <w:rPr>
                  <w:rStyle w:val="vlist-s"/>
                  <w:rFonts w:ascii="Cambria Math" w:hAnsi="Cambria Math" w:cs="Arial"/>
                </w:rPr>
                <m:t>​</m:t>
              </m:r>
              <m:ctrlPr>
                <w:rPr>
                  <w:rStyle w:val="mbin"/>
                  <w:rFonts w:ascii="Cambria Math" w:eastAsiaTheme="majorEastAsia" w:hAnsi="Cambria Math"/>
                </w:rPr>
              </m:ctrlPr>
            </m:e>
          </m:nary>
          <m:r>
            <w:rPr>
              <w:rStyle w:val="mbin"/>
              <w:rFonts w:ascii="Cambria Math" w:hAnsi="Cambria Math"/>
            </w:rPr>
            <m:t>+</m:t>
          </m:r>
          <m:sSup>
            <m:sSupPr>
              <m:ctrlPr>
                <w:rPr>
                  <w:rStyle w:val="mord"/>
                  <w:rFonts w:ascii="Cambria Math" w:hAnsi="Cambria Math"/>
                  <w:i/>
                </w:rPr>
              </m:ctrlPr>
            </m:sSupPr>
            <m:e>
              <m:r>
                <w:rPr>
                  <w:rStyle w:val="mord"/>
                  <w:rFonts w:ascii="Cambria Math" w:hAnsi="Cambria Math"/>
                </w:rPr>
                <m:t>Ψ</m:t>
              </m:r>
              <m:ctrlPr>
                <w:rPr>
                  <w:rStyle w:val="mbin"/>
                  <w:rFonts w:ascii="Cambria Math" w:hAnsi="Cambria Math"/>
                  <w:i/>
                </w:rPr>
              </m:ctrlPr>
            </m:e>
            <m:sup>
              <m:d>
                <m:dPr>
                  <m:ctrlPr>
                    <w:rPr>
                      <w:rStyle w:val="mopen"/>
                      <w:rFonts w:ascii="Cambria Math" w:hAnsi="Cambria Math"/>
                      <w:i/>
                    </w:rPr>
                  </m:ctrlPr>
                </m:dPr>
                <m:e>
                  <m:r>
                    <w:rPr>
                      <w:rStyle w:val="mord"/>
                      <w:rFonts w:ascii="Cambria Math" w:hAnsi="Cambria Math"/>
                    </w:rPr>
                    <m:t>k</m:t>
                  </m:r>
                  <m:ctrlPr>
                    <w:rPr>
                      <w:rStyle w:val="mclose"/>
                      <w:rFonts w:ascii="Cambria Math" w:hAnsi="Cambria Math"/>
                      <w:i/>
                    </w:rPr>
                  </m:ctrlPr>
                </m:e>
              </m:d>
            </m:sup>
          </m:sSup>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r>
            <w:rPr>
              <w:rStyle w:val="vlist-s"/>
              <w:rFonts w:ascii="Cambria Math" w:hAnsi="Cambria Math" w:cs="Arial"/>
            </w:rPr>
            <m:t>​</m:t>
          </m:r>
          <m:r>
            <w:rPr>
              <w:rStyle w:val="mbin"/>
              <w:rFonts w:ascii="Cambria Math" w:hAnsi="Cambria Math"/>
            </w:rPr>
            <m:t>+</m:t>
          </m:r>
          <m:sSubSup>
            <m:sSubSupPr>
              <m:ctrlPr>
                <w:rPr>
                  <w:rStyle w:val="mord"/>
                  <w:rFonts w:ascii="Cambria Math" w:hAnsi="Cambria Math"/>
                  <w:i/>
                </w:rPr>
              </m:ctrlPr>
            </m:sSubSupPr>
            <m:e>
              <m:r>
                <w:rPr>
                  <w:rStyle w:val="mord"/>
                  <w:rFonts w:ascii="Cambria Math" w:hAnsi="Cambria Math"/>
                </w:rPr>
                <m:t>ε</m:t>
              </m:r>
              <m:ctrlPr>
                <w:rPr>
                  <w:rStyle w:val="mbin"/>
                  <w:rFonts w:ascii="Cambria Math" w:hAnsi="Cambria Math"/>
                  <w:i/>
                </w:rPr>
              </m:ctrlPr>
            </m:e>
            <m:sub>
              <m:r>
                <w:rPr>
                  <w:rStyle w:val="mord"/>
                  <w:rFonts w:ascii="Cambria Math" w:hAnsi="Cambria Math"/>
                </w:rPr>
                <m:t>t</m:t>
              </m:r>
            </m:sub>
            <m:sup>
              <m:d>
                <m:dPr>
                  <m:ctrlPr>
                    <w:rPr>
                      <w:rStyle w:val="mopen"/>
                      <w:rFonts w:ascii="Cambria Math" w:hAnsi="Cambria Math"/>
                      <w:i/>
                    </w:rPr>
                  </m:ctrlPr>
                </m:dPr>
                <m:e>
                  <m:r>
                    <w:rPr>
                      <w:rStyle w:val="mord"/>
                      <w:rFonts w:ascii="Cambria Math" w:hAnsi="Cambria Math"/>
                    </w:rPr>
                    <m:t>k</m:t>
                  </m:r>
                  <m:ctrlPr>
                    <w:rPr>
                      <w:rStyle w:val="mclose"/>
                      <w:rFonts w:ascii="Cambria Math" w:hAnsi="Cambria Math"/>
                      <w:i/>
                    </w:rPr>
                  </m:ctrlPr>
                </m:e>
              </m:d>
            </m:sup>
          </m:sSubSup>
          <m:r>
            <w:rPr>
              <w:rStyle w:val="vlist-s"/>
              <w:rFonts w:ascii="Cambria Math" w:hAnsi="Cambria Math" w:cs="Arial"/>
            </w:rPr>
            <m:t>​​</m:t>
          </m:r>
          <m:r>
            <w:rPr>
              <w:rStyle w:val="mord"/>
              <w:rFonts w:ascii="Cambria Math" w:hAnsi="Cambria Math"/>
            </w:rPr>
            <m:t>.</m:t>
          </m:r>
        </m:oMath>
      </m:oMathPara>
    </w:p>
    <w:p w14:paraId="6DC33A06" w14:textId="6152EE38" w:rsidR="00667A6E" w:rsidRPr="00667A6E" w:rsidRDefault="00667A6E" w:rsidP="00053940">
      <w:pPr>
        <w:pStyle w:val="p1"/>
        <w:spacing w:line="360" w:lineRule="auto"/>
        <w:rPr>
          <w:rFonts w:ascii="Garamond" w:hAnsi="Garamond"/>
        </w:rPr>
      </w:pPr>
      <w:r w:rsidRPr="00667A6E">
        <w:rPr>
          <w:rFonts w:ascii="Garamond" w:hAnsi="Garamond"/>
        </w:rPr>
        <w:t>This extension is used to test whether retail price movements in one product systematically precede or amplify adjustments in another, for example, whether milk price changes lead cheese price changes with lags, and whether such cross-product dynamics affect the estimated vertical transmission. Substantively, it helps distinguish product-specific pass-through from broader retail category management.</w:t>
      </w:r>
    </w:p>
    <w:p w14:paraId="0349CAA4" w14:textId="7595E306" w:rsidR="00667A6E" w:rsidRPr="00667A6E" w:rsidRDefault="00667A6E" w:rsidP="00053940">
      <w:pPr>
        <w:pStyle w:val="p1"/>
        <w:spacing w:line="360" w:lineRule="auto"/>
        <w:rPr>
          <w:rFonts w:ascii="Garamond" w:hAnsi="Garamond"/>
        </w:rPr>
      </w:pPr>
      <w:r w:rsidRPr="00667A6E">
        <w:rPr>
          <w:rFonts w:ascii="Garamond" w:hAnsi="Garamond"/>
        </w:rPr>
        <w:t>Overall, this section keeps the empirical approach coherent and minimal while strengthening what the thesis can conclude. It moves beyond a one-direction pass-back narrative and provides an internally consistent way to infer leadership, feedback, and the role of external markets, while acknowledging that dairy pricing is shaped not only by vertical relations but also by interactions within the product category.</w:t>
      </w:r>
    </w:p>
    <w:p w14:paraId="343066A1" w14:textId="77777777" w:rsidR="00950E67" w:rsidRPr="00E16FA9" w:rsidRDefault="00950E67" w:rsidP="00053940">
      <w:pPr>
        <w:spacing w:after="160" w:line="360" w:lineRule="auto"/>
        <w:rPr>
          <w:spacing w:val="0"/>
          <w:szCs w:val="24"/>
          <w:lang w:eastAsia="en-GB"/>
        </w:rPr>
      </w:pPr>
      <w:r>
        <w:br w:type="page"/>
      </w:r>
    </w:p>
    <w:p w14:paraId="4D251437" w14:textId="4DD37449" w:rsidR="00950E67" w:rsidRDefault="00950E67" w:rsidP="00053940">
      <w:pPr>
        <w:pStyle w:val="Heading1"/>
      </w:pPr>
      <w:bookmarkStart w:id="16" w:name="_Toc216525122"/>
      <w:r>
        <w:lastRenderedPageBreak/>
        <w:t>DATA</w:t>
      </w:r>
      <w:bookmarkEnd w:id="16"/>
    </w:p>
    <w:p w14:paraId="6FECC6CC" w14:textId="77777777" w:rsidR="00053940" w:rsidRDefault="00053940" w:rsidP="00053940">
      <w:pPr>
        <w:spacing w:line="360" w:lineRule="auto"/>
      </w:pPr>
    </w:p>
    <w:p w14:paraId="3DC7A641"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This thesis is built around a simple but demanding idea: in dairy, prices are not a single object, they are a sequence of signals that travel through stages, sometimes smoothly and sometimes with friction. Because of that, the empirical dataset is not one table but a vertical stack of price series, collected at different frequencies and then aligned into one coherent timeline for econometric work. The retail layer is observed daily at the level of two supermarket chains. The upstream layer is observed at lower frequency through official and sector datasets that describe procurement and processing. Finally, external benchmarks are added to represent the global dairy cycle and nearby market trends, so that domestic relationships are not falsely credited for movements driven by outside conditions.</w:t>
      </w:r>
    </w:p>
    <w:p w14:paraId="2F41DE69"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In practical terms, the working dataset is constructed at a monthly frequency. This is not because the retail information is weak, it is because the upstream and external series are fundamentally monthly or quarterly, and the model needs a consistent clock. The daily retail prices are therefore aggregated into monthly indices while preserving retail </w:t>
      </w:r>
      <w:proofErr w:type="spellStart"/>
      <w:r w:rsidRPr="00053940">
        <w:rPr>
          <w:rFonts w:eastAsiaTheme="minorHAnsi"/>
          <w:lang w:val="en-GB" w:eastAsia="en-US"/>
        </w:rPr>
        <w:t>behavior</w:t>
      </w:r>
      <w:proofErr w:type="spellEnd"/>
      <w:r w:rsidRPr="00053940">
        <w:rPr>
          <w:rFonts w:eastAsiaTheme="minorHAnsi"/>
          <w:lang w:val="en-GB" w:eastAsia="en-US"/>
        </w:rPr>
        <w:t xml:space="preserve"> as additional variables, such as promotion intensity and within-month dispersion. This creates a dataset that is easy to interpret and still faithful to the reality that supermarkets do not change prices only once per month.</w:t>
      </w:r>
    </w:p>
    <w:p w14:paraId="0CFE30F9"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The core datasets used in the thesis are: daily retail prices scraped from </w:t>
      </w:r>
      <w:proofErr w:type="spellStart"/>
      <w:r w:rsidRPr="00053940">
        <w:rPr>
          <w:rFonts w:eastAsiaTheme="minorHAnsi"/>
          <w:lang w:val="en-GB" w:eastAsia="en-US"/>
        </w:rPr>
        <w:t>Silpo</w:t>
      </w:r>
      <w:proofErr w:type="spellEnd"/>
      <w:r w:rsidRPr="00053940">
        <w:rPr>
          <w:rFonts w:eastAsiaTheme="minorHAnsi"/>
          <w:lang w:val="en-GB" w:eastAsia="en-US"/>
        </w:rPr>
        <w:t>, daily retail prices scraped from Novus, CME Class III milk futures as a global benchmark, EU raw milk price series as a long-run external trend reference, a quarterly processing and procurement dataset as the domestic upstream layer, and selected industry-compiled Ukrainian dairy tables used for context and plausibility checks.</w:t>
      </w:r>
    </w:p>
    <w:p w14:paraId="0EA9773C"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The first core dataset is the daily retail price panel scraped from </w:t>
      </w:r>
      <w:proofErr w:type="spellStart"/>
      <w:r w:rsidRPr="00053940">
        <w:rPr>
          <w:rFonts w:eastAsiaTheme="minorHAnsi"/>
          <w:lang w:val="en-GB" w:eastAsia="en-US"/>
        </w:rPr>
        <w:t>Silpo’s</w:t>
      </w:r>
      <w:proofErr w:type="spellEnd"/>
      <w:r w:rsidRPr="00053940">
        <w:rPr>
          <w:rFonts w:eastAsiaTheme="minorHAnsi"/>
          <w:lang w:val="en-GB" w:eastAsia="en-US"/>
        </w:rPr>
        <w:t xml:space="preserve"> online store. It begins on </w:t>
      </w:r>
      <w:r w:rsidRPr="00053940">
        <w:rPr>
          <w:rFonts w:ascii="Times-Bold" w:eastAsiaTheme="minorHAnsi" w:hAnsi="Times-Bold" w:cs="Times-Bold"/>
          <w:lang w:val="en-GB" w:eastAsia="en-US"/>
        </w:rPr>
        <w:t>14 October 2025</w:t>
      </w:r>
      <w:r w:rsidRPr="00053940">
        <w:rPr>
          <w:rFonts w:eastAsiaTheme="minorHAnsi"/>
          <w:lang w:val="en-GB" w:eastAsia="en-US"/>
        </w:rPr>
        <w:t xml:space="preserve"> and continues daily up to the most recent available date at the time of writing, meaning it is designed as a “live” series that extends until the end of the research period. The raw data are recorded at the product level, each observation being a snapshot of a specific product listing at a specific date. This structure is important because it keeps the retail layer concrete. It avoids the common problem where retail prices are reduced to a single abstract index and the researcher can no longer tell whether a change comes from a new pack size, a new brand, a discount campaign, or a genuine repricing.</w:t>
      </w:r>
    </w:p>
    <w:p w14:paraId="164FE3CF"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In its raw form, the </w:t>
      </w:r>
      <w:proofErr w:type="spellStart"/>
      <w:r w:rsidRPr="00053940">
        <w:rPr>
          <w:rFonts w:eastAsiaTheme="minorHAnsi"/>
          <w:lang w:val="en-GB" w:eastAsia="en-US"/>
        </w:rPr>
        <w:t>Silpo</w:t>
      </w:r>
      <w:proofErr w:type="spellEnd"/>
      <w:r w:rsidRPr="00053940">
        <w:rPr>
          <w:rFonts w:eastAsiaTheme="minorHAnsi"/>
          <w:lang w:val="en-GB" w:eastAsia="en-US"/>
        </w:rPr>
        <w:t xml:space="preserve"> dataset contains product title and identifiers, category tags, package size and units, and the posted price variables, including current price and any promotional or old-price information when it exists. These fields allow construction of comparable unit prices in UAH per litre or per kilogram. They also allow the researcher to explicitly observe promotions rather than guessing </w:t>
      </w:r>
      <w:r w:rsidRPr="00053940">
        <w:rPr>
          <w:rFonts w:eastAsiaTheme="minorHAnsi"/>
          <w:lang w:val="en-GB" w:eastAsia="en-US"/>
        </w:rPr>
        <w:lastRenderedPageBreak/>
        <w:t xml:space="preserve">them from volatility. For the econometric dataset, the daily </w:t>
      </w:r>
      <w:proofErr w:type="spellStart"/>
      <w:r w:rsidRPr="00053940">
        <w:rPr>
          <w:rFonts w:eastAsiaTheme="minorHAnsi"/>
          <w:lang w:val="en-GB" w:eastAsia="en-US"/>
        </w:rPr>
        <w:t>Silpo</w:t>
      </w:r>
      <w:proofErr w:type="spellEnd"/>
      <w:r w:rsidRPr="00053940">
        <w:rPr>
          <w:rFonts w:eastAsiaTheme="minorHAnsi"/>
          <w:lang w:val="en-GB" w:eastAsia="en-US"/>
        </w:rPr>
        <w:t xml:space="preserve"> series is transformed into monthly indices by product category. The baseline aggregation uses robust measures such as the monthly median of unit prices to reduce the influence of short promotional spikes. In addition, within-month indicators are constructed to preserve the retail </w:t>
      </w:r>
      <w:proofErr w:type="spellStart"/>
      <w:r w:rsidRPr="00053940">
        <w:rPr>
          <w:rFonts w:eastAsiaTheme="minorHAnsi"/>
          <w:lang w:val="en-GB" w:eastAsia="en-US"/>
        </w:rPr>
        <w:t>behavior</w:t>
      </w:r>
      <w:proofErr w:type="spellEnd"/>
      <w:r w:rsidRPr="00053940">
        <w:rPr>
          <w:rFonts w:eastAsiaTheme="minorHAnsi"/>
          <w:lang w:val="en-GB" w:eastAsia="en-US"/>
        </w:rPr>
        <w:t xml:space="preserve"> that daily scraping reveals, for example, the share of items on discount and the degree of within-month price dispersion. These indicators later matter because they help the model distinguish price transmission from price strategy.</w:t>
      </w:r>
    </w:p>
    <w:p w14:paraId="11E339B8"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The second retail dataset is the daily price panel scraped from Novus. It starts later than </w:t>
      </w:r>
      <w:proofErr w:type="spellStart"/>
      <w:r w:rsidRPr="00053940">
        <w:rPr>
          <w:rFonts w:eastAsiaTheme="minorHAnsi"/>
          <w:lang w:val="en-GB" w:eastAsia="en-US"/>
        </w:rPr>
        <w:t>Silpo</w:t>
      </w:r>
      <w:proofErr w:type="spellEnd"/>
      <w:r w:rsidRPr="00053940">
        <w:rPr>
          <w:rFonts w:eastAsiaTheme="minorHAnsi"/>
          <w:lang w:val="en-GB" w:eastAsia="en-US"/>
        </w:rPr>
        <w:t xml:space="preserve">, beginning on </w:t>
      </w:r>
      <w:r w:rsidRPr="00053940">
        <w:rPr>
          <w:rFonts w:ascii="Times-Bold" w:eastAsiaTheme="minorHAnsi" w:hAnsi="Times-Bold" w:cs="Times-Bold"/>
          <w:lang w:val="en-GB" w:eastAsia="en-US"/>
        </w:rPr>
        <w:t>4 November 2025</w:t>
      </w:r>
      <w:r w:rsidRPr="00053940">
        <w:rPr>
          <w:rFonts w:eastAsiaTheme="minorHAnsi"/>
          <w:lang w:val="en-GB" w:eastAsia="en-US"/>
        </w:rPr>
        <w:t xml:space="preserve">, and likewise continues daily up to the most recent available date at the time of writing. The dataset is organized slightly differently at the raw level, but it contains the same essential building blocks needed for price construction: product identifiers or URLs, product names and category information, posted prices, and scraping timestamps. The purpose of Novus in the design is not </w:t>
      </w:r>
      <w:proofErr w:type="gramStart"/>
      <w:r w:rsidRPr="00053940">
        <w:rPr>
          <w:rFonts w:eastAsiaTheme="minorHAnsi"/>
          <w:lang w:val="en-GB" w:eastAsia="en-US"/>
        </w:rPr>
        <w:t>to</w:t>
      </w:r>
      <w:proofErr w:type="gramEnd"/>
      <w:r w:rsidRPr="00053940">
        <w:rPr>
          <w:rFonts w:eastAsiaTheme="minorHAnsi"/>
          <w:lang w:val="en-GB" w:eastAsia="en-US"/>
        </w:rPr>
        <w:t xml:space="preserve"> “double” the data mechanically, but to provide a second independent window into retail pricing. With two retailers observed under the same general market conditions, it becomes possible to check whether estimated dynamics are chain-specific or reflect a broader retail mechanism in the Ukrainian dairy market.</w:t>
      </w:r>
    </w:p>
    <w:p w14:paraId="552A0030"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Both retail datasets are particularly valuable because they are high-frequency and chain-specific. Many official sources provide retail price information only as monthly averages or as national indices, which hides promotions, category management, and chain strategy. Daily scraping changes what can be asked. It allows the thesis to treat retail pricing as a </w:t>
      </w:r>
      <w:proofErr w:type="spellStart"/>
      <w:r w:rsidRPr="00053940">
        <w:rPr>
          <w:rFonts w:eastAsiaTheme="minorHAnsi"/>
          <w:lang w:val="en-GB" w:eastAsia="en-US"/>
        </w:rPr>
        <w:t>behavior</w:t>
      </w:r>
      <w:proofErr w:type="spellEnd"/>
      <w:r w:rsidRPr="00053940">
        <w:rPr>
          <w:rFonts w:eastAsiaTheme="minorHAnsi"/>
          <w:lang w:val="en-GB" w:eastAsia="en-US"/>
        </w:rPr>
        <w:t xml:space="preserve"> that can be </w:t>
      </w:r>
      <w:proofErr w:type="spellStart"/>
      <w:r w:rsidRPr="00053940">
        <w:rPr>
          <w:rFonts w:eastAsiaTheme="minorHAnsi"/>
          <w:lang w:val="en-GB" w:eastAsia="en-US"/>
        </w:rPr>
        <w:t>modeled</w:t>
      </w:r>
      <w:proofErr w:type="spellEnd"/>
      <w:r w:rsidRPr="00053940">
        <w:rPr>
          <w:rFonts w:eastAsiaTheme="minorHAnsi"/>
          <w:lang w:val="en-GB" w:eastAsia="en-US"/>
        </w:rPr>
        <w:t>, rather than as an unobservable residual.</w:t>
      </w:r>
    </w:p>
    <w:p w14:paraId="4756220E"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The domestic upstream layer is captured by a quarterly dataset covering </w:t>
      </w:r>
      <w:r w:rsidRPr="00053940">
        <w:rPr>
          <w:rFonts w:ascii="Times-Bold" w:eastAsiaTheme="minorHAnsi" w:hAnsi="Times-Bold" w:cs="Times-Bold"/>
          <w:lang w:val="en-GB" w:eastAsia="en-US"/>
        </w:rPr>
        <w:t>2016 Q1 through 2024 Q4</w:t>
      </w:r>
      <w:r w:rsidRPr="00053940">
        <w:rPr>
          <w:rFonts w:eastAsiaTheme="minorHAnsi"/>
          <w:lang w:val="en-GB" w:eastAsia="en-US"/>
        </w:rPr>
        <w:t>. This dataset provides procurement and processing indicators in a consistent time-series format, including raw milk purchase prices and quantities delivered to processing, with breakdowns that reflect relevant segmentation, such as enterprise versus household supply and quality-related distinctions. The quarterly frequency implies that this dataset is not used to track day-to-day alignment with retail prices. Instead, it establishes the medium-run structure of the Ukrainian upstream market and supports interpretation of long-run relationships and adjustment patterns estimated in the model. In other words, it gives the vertical system a backbone even when the retail observation window is shorter in calendar time.</w:t>
      </w:r>
    </w:p>
    <w:p w14:paraId="4E654D26"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The thesis also relies on a global benchmark series, </w:t>
      </w:r>
      <w:r w:rsidRPr="00053940">
        <w:rPr>
          <w:rFonts w:ascii="Times-Bold" w:eastAsiaTheme="minorHAnsi" w:hAnsi="Times-Bold" w:cs="Times-Bold"/>
          <w:lang w:val="en-GB" w:eastAsia="en-US"/>
        </w:rPr>
        <w:t>CME Class III milk futures</w:t>
      </w:r>
      <w:r w:rsidRPr="00053940">
        <w:rPr>
          <w:rFonts w:eastAsiaTheme="minorHAnsi"/>
          <w:lang w:val="en-GB" w:eastAsia="en-US"/>
        </w:rPr>
        <w:t xml:space="preserve">, observed at daily frequency and aggregated to monthly averages for integration into the monthly econometric dataset. In the collected files currently used, the series covers at least </w:t>
      </w:r>
      <w:r w:rsidRPr="00053940">
        <w:rPr>
          <w:rFonts w:ascii="Times-Bold" w:eastAsiaTheme="minorHAnsi" w:hAnsi="Times-Bold" w:cs="Times-Bold"/>
          <w:lang w:val="en-GB" w:eastAsia="en-US"/>
        </w:rPr>
        <w:t>2025</w:t>
      </w:r>
      <w:r w:rsidRPr="00053940">
        <w:rPr>
          <w:rFonts w:eastAsiaTheme="minorHAnsi"/>
          <w:lang w:val="en-GB" w:eastAsia="en-US"/>
        </w:rPr>
        <w:t xml:space="preserve">, and a longer historical series exists in </w:t>
      </w:r>
      <w:r w:rsidRPr="00053940">
        <w:rPr>
          <w:rFonts w:eastAsiaTheme="minorHAnsi"/>
          <w:lang w:val="en-GB" w:eastAsia="en-US"/>
        </w:rPr>
        <w:lastRenderedPageBreak/>
        <w:t>the collected archive as well. CME futures are not included because Ukrainian procurement is mechanically indexed to U.S. futures, but because futures prices reflect global dairy conditions and expectations that affect domestic markets through input costs, substitution patterns, and processing margins. Including this benchmark inside the model is a way of forcing the empirical system to distinguish domestic transmission from a global dairy wave that would otherwise make all prices move together and tempt the researcher into attributing too much to market power or too little to external pressure.</w:t>
      </w:r>
    </w:p>
    <w:p w14:paraId="1F4D9162"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As a complementary external reference, the thesis includes the EU raw milk historical price series from the Milk Market Observatory, which spans </w:t>
      </w:r>
      <w:r w:rsidRPr="00053940">
        <w:rPr>
          <w:rFonts w:ascii="Times-Bold" w:eastAsiaTheme="minorHAnsi" w:hAnsi="Times-Bold" w:cs="Times-Bold"/>
          <w:lang w:val="en-GB" w:eastAsia="en-US"/>
        </w:rPr>
        <w:t>January 1977 through December 2026</w:t>
      </w:r>
      <w:r w:rsidRPr="00053940">
        <w:rPr>
          <w:rFonts w:eastAsiaTheme="minorHAnsi"/>
          <w:lang w:val="en-GB" w:eastAsia="en-US"/>
        </w:rPr>
        <w:t xml:space="preserve">. This series is not used as a direct explanatory driver in the same way as CME futures. Its role is primarily contextual and diagnostic. It provides a long-run </w:t>
      </w:r>
      <w:proofErr w:type="spellStart"/>
      <w:r w:rsidRPr="00053940">
        <w:rPr>
          <w:rFonts w:eastAsiaTheme="minorHAnsi"/>
          <w:lang w:val="en-GB" w:eastAsia="en-US"/>
        </w:rPr>
        <w:t>neighboring</w:t>
      </w:r>
      <w:proofErr w:type="spellEnd"/>
      <w:r w:rsidRPr="00053940">
        <w:rPr>
          <w:rFonts w:eastAsiaTheme="minorHAnsi"/>
          <w:lang w:val="en-GB" w:eastAsia="en-US"/>
        </w:rPr>
        <w:t xml:space="preserve"> market trend for raw milk prices that helps interpret whether observed Ukrainian dynamics align with broader regional cycles or diverge in ways that point toward Ukraine-specific constraints and wartime disruptions. When used alongside CME, it offers two distinct external perspectives, one market-based and expectation-driven, and one realized farm-gate-based in a large nearby market environment.</w:t>
      </w:r>
    </w:p>
    <w:p w14:paraId="7DCF29A0" w14:textId="77777777" w:rsidR="00053940" w:rsidRPr="00053940" w:rsidRDefault="00053940" w:rsidP="00053940">
      <w:pPr>
        <w:spacing w:line="360" w:lineRule="auto"/>
        <w:rPr>
          <w:rFonts w:eastAsiaTheme="minorHAnsi"/>
          <w:lang w:val="en-GB" w:eastAsia="en-US"/>
        </w:rPr>
      </w:pPr>
      <w:r w:rsidRPr="00053940">
        <w:rPr>
          <w:rFonts w:eastAsiaTheme="minorHAnsi"/>
          <w:lang w:val="en-GB" w:eastAsia="en-US"/>
        </w:rPr>
        <w:t xml:space="preserve">Finally, the thesis uses industry-compiled Ukrainian dairy sector tables, including annual summaries that run roughly through </w:t>
      </w:r>
      <w:r w:rsidRPr="00053940">
        <w:rPr>
          <w:rFonts w:ascii="Times-Bold" w:eastAsiaTheme="minorHAnsi" w:hAnsi="Times-Bold" w:cs="Times-Bold"/>
          <w:lang w:val="en-GB" w:eastAsia="en-US"/>
        </w:rPr>
        <w:t>2024</w:t>
      </w:r>
      <w:r w:rsidRPr="00053940">
        <w:rPr>
          <w:rFonts w:eastAsiaTheme="minorHAnsi"/>
          <w:lang w:val="en-GB" w:eastAsia="en-US"/>
        </w:rPr>
        <w:t>, to provide background and plausibility checks. These datasets help describe the structure of the sector, changes in production patterns, and the broader environment in which the retail and upstream prices are formed. They are not treated as the main econometric layer because they are not structured as a clean high-frequency price system, but they are useful because a price transmission model without sector context can be statistically correct and economically naive at the same time.</w:t>
      </w:r>
    </w:p>
    <w:p w14:paraId="0F7CD4D7" w14:textId="77777777" w:rsidR="00053940" w:rsidRDefault="00053940" w:rsidP="00053940">
      <w:pPr>
        <w:spacing w:line="360" w:lineRule="auto"/>
        <w:rPr>
          <w:rFonts w:eastAsiaTheme="minorHAnsi"/>
          <w:lang w:val="en-GB" w:eastAsia="en-US"/>
        </w:rPr>
      </w:pPr>
      <w:r>
        <w:rPr>
          <w:rFonts w:eastAsiaTheme="minorHAnsi"/>
          <w:lang w:val="en-GB" w:eastAsia="en-US"/>
        </w:rPr>
        <w:t xml:space="preserve">The full empirical dataset is constructed by aligning these layers into a monthly timeline. Daily retail series are aggregated into monthly indices for each product category and retailer, while preserving retail </w:t>
      </w:r>
      <w:proofErr w:type="spellStart"/>
      <w:r>
        <w:rPr>
          <w:rFonts w:eastAsiaTheme="minorHAnsi"/>
          <w:lang w:val="en-GB" w:eastAsia="en-US"/>
        </w:rPr>
        <w:t>behavior</w:t>
      </w:r>
      <w:proofErr w:type="spellEnd"/>
      <w:r>
        <w:rPr>
          <w:rFonts w:eastAsiaTheme="minorHAnsi"/>
          <w:lang w:val="en-GB" w:eastAsia="en-US"/>
        </w:rPr>
        <w:t xml:space="preserve"> through additional monthly indicators derived from daily data. Quarterly upstream series are used to characterize longer-run domestic dynamics and support interpretation of equilibrium relationships. External series are included to capture global cycles and nearby market trends, limiting the risk of confounding domestic bargaining dynamics with external shocks.</w:t>
      </w:r>
    </w:p>
    <w:p w14:paraId="42FDFD5E" w14:textId="77777777" w:rsidR="00053940" w:rsidRDefault="00053940" w:rsidP="00053940">
      <w:pPr>
        <w:spacing w:line="360" w:lineRule="auto"/>
        <w:rPr>
          <w:rFonts w:eastAsiaTheme="minorHAnsi"/>
          <w:lang w:val="en-GB" w:eastAsia="en-US"/>
        </w:rPr>
      </w:pPr>
      <w:r>
        <w:rPr>
          <w:rFonts w:eastAsiaTheme="minorHAnsi"/>
          <w:lang w:val="en-GB" w:eastAsia="en-US"/>
        </w:rPr>
        <w:t>The current design is feasible and coherent with the data already collected. Still, two additions would strengthen identification and interpretation if they can be obtained in a consistent monthly format, without changing the core model logic.</w:t>
      </w:r>
    </w:p>
    <w:p w14:paraId="24EDE102" w14:textId="010FA420" w:rsidR="00053940" w:rsidRPr="00053940" w:rsidRDefault="00053940" w:rsidP="00053940">
      <w:pPr>
        <w:spacing w:line="360" w:lineRule="auto"/>
        <w:rPr>
          <w:rFonts w:eastAsiaTheme="minorHAnsi"/>
          <w:lang w:val="en-GB" w:eastAsia="en-US"/>
        </w:rPr>
      </w:pPr>
      <w:r>
        <w:rPr>
          <w:rFonts w:eastAsiaTheme="minorHAnsi"/>
          <w:lang w:val="en-GB" w:eastAsia="en-US"/>
        </w:rPr>
        <w:lastRenderedPageBreak/>
        <w:t xml:space="preserve">A </w:t>
      </w:r>
      <w:r w:rsidRPr="00053940">
        <w:rPr>
          <w:rFonts w:eastAsiaTheme="minorHAnsi"/>
          <w:lang w:val="en-GB" w:eastAsia="en-US"/>
        </w:rPr>
        <w:t>monthly import price index and export price index for dairy, which would let the model represent trade-based cost and demand pressures directly rather than indirectly</w:t>
      </w:r>
      <w:r>
        <w:rPr>
          <w:rFonts w:eastAsiaTheme="minorHAnsi"/>
          <w:lang w:val="en-GB" w:eastAsia="en-US"/>
        </w:rPr>
        <w:t>.</w:t>
      </w:r>
    </w:p>
    <w:p w14:paraId="54DDC5BE" w14:textId="77777777" w:rsidR="00053940" w:rsidRDefault="00053940" w:rsidP="00053940">
      <w:pPr>
        <w:spacing w:line="360" w:lineRule="auto"/>
        <w:rPr>
          <w:rFonts w:eastAsiaTheme="minorHAnsi"/>
          <w:lang w:val="en-GB" w:eastAsia="en-US"/>
        </w:rPr>
      </w:pPr>
      <w:r>
        <w:rPr>
          <w:rFonts w:eastAsiaTheme="minorHAnsi"/>
          <w:lang w:val="en-GB" w:eastAsia="en-US"/>
        </w:rPr>
        <w:t>This would matter because it makes the trade channel observable. Without it, external pressures are partially absorbed into general macro controls and global benchmarks, which is informative but not fully specific. With import and export price indices, the model can separate domestic vertical transmission from changes in the external price corridor that processors and retailers face.</w:t>
      </w:r>
    </w:p>
    <w:p w14:paraId="5AF7F6D1" w14:textId="2835DB0D" w:rsidR="00053940" w:rsidRDefault="00053940" w:rsidP="00053940">
      <w:pPr>
        <w:spacing w:line="360" w:lineRule="auto"/>
        <w:rPr>
          <w:rFonts w:eastAsiaTheme="minorHAnsi"/>
          <w:lang w:val="en-GB" w:eastAsia="en-US"/>
        </w:rPr>
      </w:pPr>
      <w:r>
        <w:rPr>
          <w:rFonts w:eastAsiaTheme="minorHAnsi"/>
          <w:lang w:val="en-GB" w:eastAsia="en-US"/>
        </w:rPr>
        <w:t>Daily processor or producer price series, which could be aggregated to monthly measures and would tighten the processor layer, especially during the retail scraping period.</w:t>
      </w:r>
    </w:p>
    <w:p w14:paraId="75C4A63C" w14:textId="77777777" w:rsidR="00053940" w:rsidRDefault="00053940" w:rsidP="00053940">
      <w:pPr>
        <w:spacing w:line="360" w:lineRule="auto"/>
        <w:rPr>
          <w:rFonts w:eastAsiaTheme="minorHAnsi"/>
          <w:lang w:val="en-GB" w:eastAsia="en-US"/>
        </w:rPr>
      </w:pPr>
      <w:r>
        <w:rPr>
          <w:rFonts w:eastAsiaTheme="minorHAnsi"/>
          <w:lang w:val="en-GB" w:eastAsia="en-US"/>
        </w:rPr>
        <w:t>This would matter because the processor stage often absorbs and reshapes shocks before they reach farms. A daily upstream series would reduce the need to infer within-period adjustment from lower-frequency data, making it clearer whether processors lead, follow, or mediate retail movements during the scraping window.</w:t>
      </w:r>
    </w:p>
    <w:p w14:paraId="142A44BC" w14:textId="5B949390" w:rsidR="00053940" w:rsidRDefault="00053940" w:rsidP="00053940">
      <w:pPr>
        <w:spacing w:line="360" w:lineRule="auto"/>
        <w:rPr>
          <w:rFonts w:eastAsiaTheme="minorHAnsi"/>
          <w:lang w:val="en-GB" w:eastAsia="en-US"/>
        </w:rPr>
      </w:pPr>
      <w:r>
        <w:rPr>
          <w:rFonts w:eastAsiaTheme="minorHAnsi"/>
          <w:lang w:val="en-GB" w:eastAsia="en-US"/>
        </w:rPr>
        <w:t xml:space="preserve">These additions are optional upgrades rather than requirements. The thesis remains grounded in the dataset already gathered: daily chain-level retail prices for </w:t>
      </w:r>
      <w:proofErr w:type="spellStart"/>
      <w:r>
        <w:rPr>
          <w:rFonts w:eastAsiaTheme="minorHAnsi"/>
          <w:lang w:val="en-GB" w:eastAsia="en-US"/>
        </w:rPr>
        <w:t>Silpo</w:t>
      </w:r>
      <w:proofErr w:type="spellEnd"/>
      <w:r>
        <w:rPr>
          <w:rFonts w:eastAsiaTheme="minorHAnsi"/>
          <w:lang w:val="en-GB" w:eastAsia="en-US"/>
        </w:rPr>
        <w:t xml:space="preserve"> and Novus starting in October 2025, domestic upstream procurement and processing indicators available in consistent official-style series, and external benchmarks that capture global and regional dairy cycles.</w:t>
      </w:r>
    </w:p>
    <w:p w14:paraId="626BFD6C" w14:textId="4835EC8E" w:rsidR="00053940" w:rsidRPr="00053940" w:rsidRDefault="00053940" w:rsidP="00053940">
      <w:pPr>
        <w:spacing w:line="360" w:lineRule="auto"/>
        <w:sectPr w:rsidR="00053940" w:rsidRPr="00053940" w:rsidSect="0016261E">
          <w:headerReference w:type="default" r:id="rId15"/>
          <w:pgSz w:w="12240" w:h="15840"/>
          <w:pgMar w:top="1440" w:right="1440" w:bottom="1440" w:left="1440" w:header="708" w:footer="708" w:gutter="0"/>
          <w:cols w:space="708"/>
          <w:docGrid w:linePitch="360"/>
        </w:sectPr>
      </w:pPr>
    </w:p>
    <w:p w14:paraId="5709616B" w14:textId="6280BF7B" w:rsidR="00F61F74" w:rsidRPr="0033435D" w:rsidRDefault="00F61F74" w:rsidP="00053940">
      <w:pPr>
        <w:pStyle w:val="Heading1"/>
      </w:pPr>
      <w:bookmarkStart w:id="17" w:name="_Toc216525123"/>
      <w:r w:rsidRPr="0033435D">
        <w:lastRenderedPageBreak/>
        <w:t>WORKS CITED</w:t>
      </w:r>
      <w:bookmarkEnd w:id="0"/>
      <w:bookmarkEnd w:id="1"/>
      <w:bookmarkEnd w:id="2"/>
      <w:bookmarkEnd w:id="3"/>
      <w:bookmarkEnd w:id="4"/>
      <w:bookmarkEnd w:id="5"/>
      <w:bookmarkEnd w:id="6"/>
      <w:bookmarkEnd w:id="17"/>
    </w:p>
    <w:p w14:paraId="3D1E4ACE" w14:textId="77777777" w:rsidR="00D31BD1" w:rsidRDefault="00D31BD1" w:rsidP="00D31BD1">
      <w:pPr>
        <w:pStyle w:val="NormalWeb"/>
      </w:pPr>
      <w:r>
        <w:t xml:space="preserve">[1] Ba, Ha, et al. “Inclusiveness of Contract Farming along the Vertical Coordination Pathways.” </w:t>
      </w:r>
      <w:r>
        <w:rPr>
          <w:rStyle w:val="Emphasis"/>
          <w:rFonts w:eastAsiaTheme="majorEastAsia"/>
        </w:rPr>
        <w:t>Food Policy</w:t>
      </w:r>
      <w:r>
        <w:t xml:space="preserve"> 83 (2019). </w:t>
      </w:r>
      <w:hyperlink r:id="rId16" w:tgtFrame="_new" w:history="1">
        <w:r>
          <w:rPr>
            <w:rStyle w:val="Hyperlink"/>
            <w:rFonts w:eastAsiaTheme="majorEastAsia"/>
          </w:rPr>
          <w:t>https://www.sciencedirect.com/science/article/pii/S0264837718307786</w:t>
        </w:r>
      </w:hyperlink>
    </w:p>
    <w:p w14:paraId="4E288EFC" w14:textId="77777777" w:rsidR="00D31BD1" w:rsidRDefault="00D31BD1" w:rsidP="00D31BD1">
      <w:pPr>
        <w:pStyle w:val="NormalWeb"/>
      </w:pPr>
      <w:r>
        <w:t xml:space="preserve">[2] CME Group. “Class III Milk Futures.” Accessed February 25, 2026. </w:t>
      </w:r>
      <w:hyperlink r:id="rId17" w:tgtFrame="_new" w:history="1">
        <w:r>
          <w:rPr>
            <w:rStyle w:val="Hyperlink"/>
            <w:rFonts w:eastAsiaTheme="majorEastAsia"/>
          </w:rPr>
          <w:t>https://www.cmegroup.com/markets/agriculture/dairy/class-iii-milk.html</w:t>
        </w:r>
      </w:hyperlink>
    </w:p>
    <w:p w14:paraId="050244B3" w14:textId="77777777" w:rsidR="00D31BD1" w:rsidRDefault="00D31BD1" w:rsidP="00D31BD1">
      <w:pPr>
        <w:pStyle w:val="NormalWeb"/>
      </w:pPr>
      <w:r>
        <w:t xml:space="preserve">[3] Dereva, Maryna, and Miroslava Rajčaniová. “Vertical Price Transmission in the Ukrainian Sunflower Oil Supply Chain.” </w:t>
      </w:r>
      <w:r>
        <w:rPr>
          <w:rStyle w:val="Emphasis"/>
          <w:rFonts w:eastAsiaTheme="majorEastAsia"/>
        </w:rPr>
        <w:t>Journal of Central European Agriculture</w:t>
      </w:r>
      <w:r>
        <w:t xml:space="preserve"> 23, no. 2 (2022): 477–485. </w:t>
      </w:r>
      <w:hyperlink r:id="rId18" w:tgtFrame="_new" w:history="1">
        <w:r>
          <w:rPr>
            <w:rStyle w:val="Hyperlink"/>
            <w:rFonts w:eastAsiaTheme="majorEastAsia"/>
          </w:rPr>
          <w:t>https://jcea.agr.hr/en/issues/article/3524</w:t>
        </w:r>
      </w:hyperlink>
    </w:p>
    <w:p w14:paraId="431230C3" w14:textId="77777777" w:rsidR="00D31BD1" w:rsidRDefault="00D31BD1" w:rsidP="00D31BD1">
      <w:pPr>
        <w:pStyle w:val="NormalWeb"/>
      </w:pPr>
      <w:r>
        <w:t xml:space="preserve">[4] Food and Agriculture Organization of the United Nations (FAO). </w:t>
      </w:r>
      <w:r>
        <w:rPr>
          <w:rStyle w:val="Emphasis"/>
          <w:rFonts w:eastAsiaTheme="majorEastAsia"/>
        </w:rPr>
        <w:t>Milk and Dairy Products Supply Chain in Ukraine.</w:t>
      </w:r>
      <w:r>
        <w:t xml:space="preserve"> Rome: FAO, 2013. </w:t>
      </w:r>
      <w:hyperlink r:id="rId19" w:tgtFrame="_new" w:history="1">
        <w:r>
          <w:rPr>
            <w:rStyle w:val="Hyperlink"/>
            <w:rFonts w:eastAsiaTheme="majorEastAsia"/>
          </w:rPr>
          <w:t>https://www.fao.org/4/i3446e/i3446e.pdf</w:t>
        </w:r>
      </w:hyperlink>
    </w:p>
    <w:p w14:paraId="2BE58959" w14:textId="77777777" w:rsidR="00D31BD1" w:rsidRDefault="00D31BD1" w:rsidP="00D31BD1">
      <w:pPr>
        <w:pStyle w:val="NormalWeb"/>
      </w:pPr>
      <w:r>
        <w:t xml:space="preserve">[5] Kinnucan, Henry W., and Olan D. Forker. “Asymmetry in Farm–Retail Price Transmission for Major Dairy Products.” </w:t>
      </w:r>
      <w:r>
        <w:rPr>
          <w:rStyle w:val="Emphasis"/>
          <w:rFonts w:eastAsiaTheme="majorEastAsia"/>
        </w:rPr>
        <w:t>American Journal of Agricultural Economics</w:t>
      </w:r>
      <w:r>
        <w:t xml:space="preserve"> 69, no. 2 (1987): 285–292. </w:t>
      </w:r>
      <w:hyperlink r:id="rId20" w:tgtFrame="_new" w:history="1">
        <w:r>
          <w:rPr>
            <w:rStyle w:val="Hyperlink"/>
            <w:rFonts w:eastAsiaTheme="majorEastAsia"/>
          </w:rPr>
          <w:t>https://doi.org/10.2307/1242278</w:t>
        </w:r>
      </w:hyperlink>
    </w:p>
    <w:p w14:paraId="1FD2F360" w14:textId="77777777" w:rsidR="00D31BD1" w:rsidRDefault="00D31BD1" w:rsidP="00D31BD1">
      <w:pPr>
        <w:pStyle w:val="NormalWeb"/>
      </w:pPr>
      <w:r>
        <w:t xml:space="preserve">[6] Kinnucan, Henry W., and Daowei Zhang. “Notes on Farm–Retail Price Transmission and Marketing Margin Behavior.” </w:t>
      </w:r>
      <w:r>
        <w:rPr>
          <w:rStyle w:val="Emphasis"/>
          <w:rFonts w:eastAsiaTheme="majorEastAsia"/>
        </w:rPr>
        <w:t>Agricultural Economics</w:t>
      </w:r>
      <w:r>
        <w:t xml:space="preserve"> 46, no. 6 (2015): 729–737. </w:t>
      </w:r>
      <w:hyperlink r:id="rId21" w:tgtFrame="_new" w:history="1">
        <w:r>
          <w:rPr>
            <w:rStyle w:val="Hyperlink"/>
            <w:rFonts w:eastAsiaTheme="majorEastAsia"/>
          </w:rPr>
          <w:t>https://doi.org/10.1111/agec.12194</w:t>
        </w:r>
      </w:hyperlink>
    </w:p>
    <w:p w14:paraId="7ACF6DC2" w14:textId="77777777" w:rsidR="00D31BD1" w:rsidRDefault="00D31BD1" w:rsidP="00D31BD1">
      <w:pPr>
        <w:pStyle w:val="NormalWeb"/>
      </w:pPr>
      <w:r>
        <w:t xml:space="preserve">[7] Koester, Ulrich, and Stephan von Cramon-Taubadel, eds. </w:t>
      </w:r>
      <w:r>
        <w:rPr>
          <w:rStyle w:val="Emphasis"/>
          <w:rFonts w:eastAsiaTheme="majorEastAsia"/>
        </w:rPr>
        <w:t>Agricultural Price Formation in Theory and Reality.</w:t>
      </w:r>
      <w:r>
        <w:t xml:space="preserve"> Newcastle upon Tyne: Cambridge Scholars Publishing, 2023.</w:t>
      </w:r>
    </w:p>
    <w:p w14:paraId="02B29B0D" w14:textId="77777777" w:rsidR="00D31BD1" w:rsidRDefault="00D31BD1" w:rsidP="00D31BD1">
      <w:pPr>
        <w:pStyle w:val="NormalWeb"/>
      </w:pPr>
      <w:r>
        <w:t xml:space="preserve">[8] Loy, Jens-Peter. “Price Formation in Food Retailing.” In </w:t>
      </w:r>
      <w:r>
        <w:rPr>
          <w:rStyle w:val="Emphasis"/>
          <w:rFonts w:eastAsiaTheme="majorEastAsia"/>
        </w:rPr>
        <w:t>Agricultural Price Formation in Theory and Reality</w:t>
      </w:r>
      <w:r>
        <w:t>, edited by Ulrich Koester and Stephan von Cramon-Taubadel. Newcastle upon Tyne: Cambridge Scholars Publishing, 2023.</w:t>
      </w:r>
    </w:p>
    <w:p w14:paraId="18F2E0AC" w14:textId="77777777" w:rsidR="00D31BD1" w:rsidRDefault="00D31BD1" w:rsidP="00D31BD1">
      <w:pPr>
        <w:pStyle w:val="NormalWeb"/>
      </w:pPr>
      <w:r>
        <w:t xml:space="preserve">[9] Martinez, Steve W. </w:t>
      </w:r>
      <w:r>
        <w:rPr>
          <w:rStyle w:val="Emphasis"/>
          <w:rFonts w:eastAsiaTheme="majorEastAsia"/>
        </w:rPr>
        <w:t>Vertical Coordination of Marketing Systems: Lessons from the Poultry, Egg, and Pork Industries.</w:t>
      </w:r>
      <w:r>
        <w:t xml:space="preserve"> Agricultural Economic Report No. 807. Washington, DC: USDA Economic Research Service, 2002. </w:t>
      </w:r>
      <w:hyperlink r:id="rId22" w:tgtFrame="_new" w:history="1">
        <w:r>
          <w:rPr>
            <w:rStyle w:val="Hyperlink"/>
            <w:rFonts w:eastAsiaTheme="majorEastAsia"/>
          </w:rPr>
          <w:t>https://www.ers.usda.gov/webdocs/publications/42151/16919_aer807_1_.pdf</w:t>
        </w:r>
      </w:hyperlink>
    </w:p>
    <w:p w14:paraId="38A1DAA3" w14:textId="77777777" w:rsidR="00D31BD1" w:rsidRDefault="00D31BD1" w:rsidP="00D31BD1">
      <w:pPr>
        <w:pStyle w:val="NormalWeb"/>
      </w:pPr>
      <w:r>
        <w:t xml:space="preserve">[10] USDA Economic Research Service (ERS). </w:t>
      </w:r>
      <w:r>
        <w:rPr>
          <w:rStyle w:val="Emphasis"/>
          <w:rFonts w:eastAsiaTheme="majorEastAsia"/>
        </w:rPr>
        <w:t>Vertical Coordination and Consumer Welfare.</w:t>
      </w:r>
      <w:r>
        <w:t xml:space="preserve"> Agricultural Economic Report No. 753. Washington, DC: USDA ERS, 1999. </w:t>
      </w:r>
      <w:hyperlink r:id="rId23" w:tgtFrame="_new" w:history="1">
        <w:r>
          <w:rPr>
            <w:rStyle w:val="Hyperlink"/>
            <w:rFonts w:eastAsiaTheme="majorEastAsia"/>
          </w:rPr>
          <w:t>https://ers.usda.gov/sites/default/files/_laserfiche/publications/79929/AER-753.pdf</w:t>
        </w:r>
      </w:hyperlink>
    </w:p>
    <w:p w14:paraId="344D79E1" w14:textId="77777777" w:rsidR="00D31BD1" w:rsidRDefault="00D31BD1" w:rsidP="00D31BD1">
      <w:pPr>
        <w:pStyle w:val="NormalWeb"/>
      </w:pPr>
      <w:r>
        <w:t xml:space="preserve">[11] Sexton, Richard J. “Market Power, Misconceptions, and Modern Agricultural Markets.” </w:t>
      </w:r>
      <w:r>
        <w:rPr>
          <w:rStyle w:val="Emphasis"/>
          <w:rFonts w:eastAsiaTheme="majorEastAsia"/>
        </w:rPr>
        <w:t>American Journal of Agricultural Economics</w:t>
      </w:r>
      <w:r>
        <w:t xml:space="preserve"> 95, no. 2 (2013): 209–219. </w:t>
      </w:r>
      <w:hyperlink r:id="rId24" w:tgtFrame="_new" w:history="1">
        <w:r>
          <w:rPr>
            <w:rStyle w:val="Hyperlink"/>
            <w:rFonts w:eastAsiaTheme="majorEastAsia"/>
          </w:rPr>
          <w:t>https://doi.org/10.1093/ajae/aas102</w:t>
        </w:r>
      </w:hyperlink>
    </w:p>
    <w:p w14:paraId="1B497E56" w14:textId="77777777" w:rsidR="00D31BD1" w:rsidRDefault="00D31BD1" w:rsidP="00D31BD1">
      <w:pPr>
        <w:pStyle w:val="NormalWeb"/>
      </w:pPr>
      <w:r>
        <w:t xml:space="preserve">[12] Silpo. “Online Supermarket.” Accessed February 25, 2026. </w:t>
      </w:r>
      <w:hyperlink r:id="rId25" w:tgtFrame="_new" w:history="1">
        <w:r>
          <w:rPr>
            <w:rStyle w:val="Hyperlink"/>
            <w:rFonts w:eastAsiaTheme="majorEastAsia"/>
          </w:rPr>
          <w:t>https://silpo.ua/</w:t>
        </w:r>
      </w:hyperlink>
    </w:p>
    <w:p w14:paraId="6D807BA9" w14:textId="77777777" w:rsidR="00D31BD1" w:rsidRDefault="00D31BD1" w:rsidP="00D31BD1">
      <w:pPr>
        <w:pStyle w:val="NormalWeb"/>
      </w:pPr>
      <w:r>
        <w:lastRenderedPageBreak/>
        <w:t xml:space="preserve">[13] State Statistics Service of Ukraine. “Delivery of Milk to Processing Enterprises (Dataset).” Accessed February 25, 2026. </w:t>
      </w:r>
      <w:hyperlink r:id="rId26" w:tgtFrame="_new" w:history="1">
        <w:r>
          <w:rPr>
            <w:rStyle w:val="Hyperlink"/>
            <w:rFonts w:eastAsiaTheme="majorEastAsia"/>
          </w:rPr>
          <w:t>https://stat.gov.ua/en/datasets/delivery-milk-processing-enterprises</w:t>
        </w:r>
      </w:hyperlink>
    </w:p>
    <w:p w14:paraId="7514FB1A" w14:textId="77777777" w:rsidR="00D31BD1" w:rsidRDefault="00D31BD1" w:rsidP="00D31BD1">
      <w:pPr>
        <w:pStyle w:val="NormalWeb"/>
      </w:pPr>
      <w:r>
        <w:t xml:space="preserve">[14] Vavra, Peter, and Barry K. Goodwin. “Analysis of Price Transmission along the Food Chain.” </w:t>
      </w:r>
      <w:r>
        <w:rPr>
          <w:rStyle w:val="Emphasis"/>
          <w:rFonts w:eastAsiaTheme="majorEastAsia"/>
        </w:rPr>
        <w:t>OECD Food, Agriculture and Fisheries Working Papers</w:t>
      </w:r>
      <w:r>
        <w:t xml:space="preserve">, No. 3. Paris: OECD Publishing, 2005. </w:t>
      </w:r>
      <w:hyperlink r:id="rId27" w:tgtFrame="_new" w:history="1">
        <w:r>
          <w:rPr>
            <w:rStyle w:val="Hyperlink"/>
            <w:rFonts w:eastAsiaTheme="majorEastAsia"/>
          </w:rPr>
          <w:t>https://www.oecd.org/agriculture/price-transmission-in-the-food-chain.htm</w:t>
        </w:r>
      </w:hyperlink>
    </w:p>
    <w:p w14:paraId="40F20643" w14:textId="77777777" w:rsidR="00D31BD1" w:rsidRDefault="00D31BD1" w:rsidP="00D31BD1">
      <w:pPr>
        <w:pStyle w:val="NormalWeb"/>
      </w:pPr>
      <w:r>
        <w:t xml:space="preserve">[15] Association of Milk Producers (AVM). “Trend of Increasing Raw Milk Prices in Ukraine.” Accessed February 25, 2026. </w:t>
      </w:r>
      <w:hyperlink r:id="rId28" w:tgtFrame="_new" w:history="1">
        <w:r>
          <w:rPr>
            <w:rStyle w:val="Hyperlink"/>
            <w:rFonts w:eastAsiaTheme="majorEastAsia"/>
          </w:rPr>
          <w:t>https://avm-ua.org/uk/post/trend-na-zrostanna-cin-na-moloko-sirovinu-v-ukraini</w:t>
        </w:r>
      </w:hyperlink>
    </w:p>
    <w:p w14:paraId="1FE70EE2" w14:textId="77777777" w:rsidR="00D31BD1" w:rsidRDefault="00D31BD1" w:rsidP="00D31BD1">
      <w:pPr>
        <w:pStyle w:val="NormalWeb"/>
      </w:pPr>
      <w:r>
        <w:t xml:space="preserve">[16] Moloko Equipment. “Dairy Prices (Ukraine).” Accessed February 25, 2026. </w:t>
      </w:r>
      <w:hyperlink r:id="rId29" w:tgtFrame="_new" w:history="1">
        <w:r>
          <w:rPr>
            <w:rStyle w:val="Hyperlink"/>
            <w:rFonts w:eastAsiaTheme="majorEastAsia"/>
          </w:rPr>
          <w:t>https://www.moloko.equipment/dairy-prices</w:t>
        </w:r>
      </w:hyperlink>
    </w:p>
    <w:p w14:paraId="7E32C612" w14:textId="77777777" w:rsidR="00D31BD1" w:rsidRDefault="00D31BD1" w:rsidP="00D31BD1">
      <w:pPr>
        <w:pStyle w:val="NormalWeb"/>
      </w:pPr>
      <w:r>
        <w:t xml:space="preserve">[17] AgroPortal. “Milk Prices – Ukraine.” Accessed February 25, 2026. </w:t>
      </w:r>
      <w:hyperlink r:id="rId30" w:tgtFrame="_new" w:history="1">
        <w:r>
          <w:rPr>
            <w:rStyle w:val="Hyperlink"/>
            <w:rFonts w:eastAsiaTheme="majorEastAsia"/>
          </w:rPr>
          <w:t>https://agroportal.ua/</w:t>
        </w:r>
      </w:hyperlink>
    </w:p>
    <w:p w14:paraId="7CE595CC" w14:textId="77777777" w:rsidR="00D31BD1" w:rsidRDefault="00D31BD1" w:rsidP="00D31BD1">
      <w:pPr>
        <w:pStyle w:val="NormalWeb"/>
      </w:pPr>
      <w:r>
        <w:t xml:space="preserve">[18] AgroReview. “Purchasing Prices for Milk in Ukraine.” Accessed February 25, 2026. </w:t>
      </w:r>
      <w:hyperlink r:id="rId31" w:tgtFrame="_new" w:history="1">
        <w:r>
          <w:rPr>
            <w:rStyle w:val="Hyperlink"/>
            <w:rFonts w:eastAsiaTheme="majorEastAsia"/>
          </w:rPr>
          <w:t>https://agroreview.com/en/newsen/livestock/purchasing-prices-for-milk-ukraine-2/</w:t>
        </w:r>
      </w:hyperlink>
    </w:p>
    <w:p w14:paraId="0EB0BDA8" w14:textId="77777777" w:rsidR="00D31BD1" w:rsidRDefault="00D31BD1" w:rsidP="00D31BD1">
      <w:pPr>
        <w:pStyle w:val="NormalWeb"/>
      </w:pPr>
      <w:r>
        <w:t xml:space="preserve">[19] Association of Milk Producers of Ukraine (AVM). “Milk Price Monitoring / Market Updates.” Accessed February 25, 2026. </w:t>
      </w:r>
      <w:hyperlink r:id="rId32" w:tgtFrame="_new" w:history="1">
        <w:r>
          <w:rPr>
            <w:rStyle w:val="Hyperlink"/>
            <w:rFonts w:eastAsiaTheme="majorEastAsia"/>
          </w:rPr>
          <w:t>https://avm-ua.org/en/</w:t>
        </w:r>
      </w:hyperlink>
    </w:p>
    <w:p w14:paraId="2D6883F7" w14:textId="77777777" w:rsidR="00D31BD1" w:rsidRDefault="00D31BD1" w:rsidP="00D31BD1">
      <w:pPr>
        <w:pStyle w:val="NormalWeb"/>
      </w:pPr>
      <w:r>
        <w:t xml:space="preserve">[20] CLAL – Centro Lattiero Caseario. “EU-27: Weighted Average Farm-Gate Milk Prices (MMO-based).” Accessed February 25, 2026. </w:t>
      </w:r>
      <w:hyperlink r:id="rId33" w:tgtFrame="_new" w:history="1">
        <w:r>
          <w:rPr>
            <w:rStyle w:val="Hyperlink"/>
            <w:rFonts w:eastAsiaTheme="majorEastAsia"/>
          </w:rPr>
          <w:t>https://www.clal.it/en/?section=latte_europa_mmo</w:t>
        </w:r>
      </w:hyperlink>
    </w:p>
    <w:p w14:paraId="1D9B5B79" w14:textId="77777777" w:rsidR="00D31BD1" w:rsidRDefault="00D31BD1" w:rsidP="00D31BD1">
      <w:pPr>
        <w:pStyle w:val="NormalWeb"/>
      </w:pPr>
      <w:r>
        <w:t xml:space="preserve">[21] DairyNews.Today. “Milk Prices in Ukraine – Daily Updates.” Accessed February 25, 2026. </w:t>
      </w:r>
      <w:hyperlink r:id="rId34" w:tgtFrame="_new" w:history="1">
        <w:r>
          <w:rPr>
            <w:rStyle w:val="Hyperlink"/>
            <w:rFonts w:eastAsiaTheme="majorEastAsia"/>
          </w:rPr>
          <w:t>https://dairynews.today/</w:t>
        </w:r>
      </w:hyperlink>
    </w:p>
    <w:p w14:paraId="6C10E208" w14:textId="77777777" w:rsidR="00D31BD1" w:rsidRDefault="00D31BD1" w:rsidP="00D31BD1">
      <w:pPr>
        <w:pStyle w:val="NormalWeb"/>
      </w:pPr>
      <w:r>
        <w:t xml:space="preserve">[22] European Commission, DG Agriculture and Rural Development. “Milk and Dairy Products – Price Monitoring.” Accessed February 25, 2026. </w:t>
      </w:r>
      <w:hyperlink r:id="rId35" w:tgtFrame="_new" w:history="1">
        <w:r>
          <w:rPr>
            <w:rStyle w:val="Hyperlink"/>
            <w:rFonts w:eastAsiaTheme="majorEastAsia"/>
          </w:rPr>
          <w:t>https://agriculture.ec.europa.eu/data-and-analysis/markets/price-data/price-monitoring-sector/milk-and-dairy-products_en</w:t>
        </w:r>
      </w:hyperlink>
    </w:p>
    <w:p w14:paraId="5EBC4C22" w14:textId="77777777" w:rsidR="00D31BD1" w:rsidRDefault="00D31BD1" w:rsidP="00D31BD1">
      <w:pPr>
        <w:pStyle w:val="NormalWeb"/>
      </w:pPr>
      <w:r>
        <w:t xml:space="preserve">[23] European Commission. “Milk Market Observatory.” Accessed February 25, 2026. </w:t>
      </w:r>
      <w:hyperlink r:id="rId36" w:tgtFrame="_new" w:history="1">
        <w:r>
          <w:rPr>
            <w:rStyle w:val="Hyperlink"/>
            <w:rFonts w:eastAsiaTheme="majorEastAsia"/>
          </w:rPr>
          <w:t>https://agriculture.ec.europa.eu/data-and-analysis/markets/overviews/market-observatories/milk_en</w:t>
        </w:r>
      </w:hyperlink>
    </w:p>
    <w:p w14:paraId="78C19E86" w14:textId="77777777" w:rsidR="00D31BD1" w:rsidRDefault="00D31BD1" w:rsidP="00D31BD1">
      <w:pPr>
        <w:pStyle w:val="NormalWeb"/>
      </w:pPr>
      <w:r>
        <w:t xml:space="preserve">[24] Tridge. “Global Milk Price Data and Market News.” Accessed February 25, 2026. </w:t>
      </w:r>
      <w:hyperlink r:id="rId37" w:tgtFrame="_new" w:history="1">
        <w:r>
          <w:rPr>
            <w:rStyle w:val="Hyperlink"/>
            <w:rFonts w:eastAsiaTheme="majorEastAsia"/>
          </w:rPr>
          <w:t>https://www.tridge.com/</w:t>
        </w:r>
      </w:hyperlink>
    </w:p>
    <w:p w14:paraId="36EB6348" w14:textId="77777777" w:rsidR="00D31BD1" w:rsidRDefault="00D31BD1" w:rsidP="00D31BD1">
      <w:pPr>
        <w:pStyle w:val="NormalWeb"/>
      </w:pPr>
      <w:r>
        <w:t xml:space="preserve">[25] UkrAgroConsult. “Dairy Market Analysis – Ukraine.” Accessed February 25, 2026. </w:t>
      </w:r>
      <w:hyperlink r:id="rId38" w:tgtFrame="_new" w:history="1">
        <w:r>
          <w:rPr>
            <w:rStyle w:val="Hyperlink"/>
            <w:rFonts w:eastAsiaTheme="majorEastAsia"/>
          </w:rPr>
          <w:t>https://ukragroconsult.com/en/</w:t>
        </w:r>
      </w:hyperlink>
    </w:p>
    <w:p w14:paraId="7F4C8A82" w14:textId="77777777" w:rsidR="00D31BD1" w:rsidRDefault="00D31BD1" w:rsidP="00D31BD1">
      <w:pPr>
        <w:pStyle w:val="NormalWeb"/>
      </w:pPr>
      <w:r>
        <w:t xml:space="preserve">[26] Ukraine, Ministry of Agrarian Policy and Food; via MilkUA.info. “Ukr Milk Prices Database / Market Updates.” Accessed February 25, 2026. </w:t>
      </w:r>
      <w:hyperlink r:id="rId39" w:tgtFrame="_new" w:history="1">
        <w:r>
          <w:rPr>
            <w:rStyle w:val="Hyperlink"/>
            <w:rFonts w:eastAsiaTheme="majorEastAsia"/>
          </w:rPr>
          <w:t>https://milkua.info/en/</w:t>
        </w:r>
      </w:hyperlink>
    </w:p>
    <w:p w14:paraId="366A96C3" w14:textId="77777777" w:rsidR="00D31BD1" w:rsidRDefault="00D31BD1" w:rsidP="00D31BD1">
      <w:pPr>
        <w:pStyle w:val="NormalWeb"/>
      </w:pPr>
      <w:r>
        <w:lastRenderedPageBreak/>
        <w:t>NEW (RWII→RWIII updates + other research materials used/needed for the Introduction and subsequent thesis sections)</w:t>
      </w:r>
    </w:p>
    <w:p w14:paraId="32268225" w14:textId="77777777" w:rsidR="00D31BD1" w:rsidRDefault="00D31BD1" w:rsidP="00D31BD1">
      <w:pPr>
        <w:pStyle w:val="NormalWeb"/>
      </w:pPr>
      <w:r>
        <w:t xml:space="preserve">[27] Brümmer, Bernhard, Stephan von Cramon-Taubadel, and Sergiy Zorya. “The Impact of Market and Policy Instability on Price Transmission between Wheat and Flour in Ukraine.” </w:t>
      </w:r>
      <w:r>
        <w:rPr>
          <w:rStyle w:val="Emphasis"/>
          <w:rFonts w:eastAsiaTheme="majorEastAsia"/>
        </w:rPr>
        <w:t>European Review of Agricultural Economics</w:t>
      </w:r>
      <w:r>
        <w:t xml:space="preserve"> 36, no. 2 (2009): 203–230. https://doi.org/10.1093/erae/jbp021</w:t>
      </w:r>
    </w:p>
    <w:p w14:paraId="0A5B8DFA" w14:textId="77777777" w:rsidR="00D31BD1" w:rsidRDefault="00D31BD1" w:rsidP="00D31BD1">
      <w:pPr>
        <w:pStyle w:val="NormalWeb"/>
      </w:pPr>
      <w:r>
        <w:t xml:space="preserve">[28] Chow, Gregory C., and An-loh Lin. “Best Linear Unbiased Interpolation, Distribution, and Extrapolation of Time Series by Related Series.” </w:t>
      </w:r>
      <w:r>
        <w:rPr>
          <w:rStyle w:val="Emphasis"/>
          <w:rFonts w:eastAsiaTheme="majorEastAsia"/>
        </w:rPr>
        <w:t>Review of Economics and Statistics</w:t>
      </w:r>
      <w:r>
        <w:t xml:space="preserve"> 53, no. 4 (1971): 372–375.</w:t>
      </w:r>
    </w:p>
    <w:p w14:paraId="75625CB3" w14:textId="77777777" w:rsidR="00D31BD1" w:rsidRDefault="00D31BD1" w:rsidP="00D31BD1">
      <w:pPr>
        <w:pStyle w:val="NormalWeb"/>
      </w:pPr>
      <w:r>
        <w:t xml:space="preserve">[29] Denton, Frank T. “Adjustment of Monthly or Quarterly Series to Annual Totals: An Approach Based on Quadratic Minimization.” </w:t>
      </w:r>
      <w:r>
        <w:rPr>
          <w:rStyle w:val="Emphasis"/>
          <w:rFonts w:eastAsiaTheme="majorEastAsia"/>
        </w:rPr>
        <w:t>Journal of the American Statistical Association</w:t>
      </w:r>
      <w:r>
        <w:t xml:space="preserve"> 66, no. 333 (1971): 99–102.</w:t>
      </w:r>
    </w:p>
    <w:p w14:paraId="598B37A9" w14:textId="77777777" w:rsidR="00D31BD1" w:rsidRDefault="00D31BD1" w:rsidP="00D31BD1">
      <w:pPr>
        <w:pStyle w:val="NormalWeb"/>
      </w:pPr>
      <w:r>
        <w:t xml:space="preserve">[30] Enders, Walter, and Pierre L. Siklos. “Cointegration and Threshold Adjustment.” </w:t>
      </w:r>
      <w:r>
        <w:rPr>
          <w:rStyle w:val="Emphasis"/>
          <w:rFonts w:eastAsiaTheme="majorEastAsia"/>
        </w:rPr>
        <w:t>Journal of Business &amp; Economic Statistics</w:t>
      </w:r>
      <w:r>
        <w:t xml:space="preserve"> 19, no. 2 (2001): 166–176. </w:t>
      </w:r>
      <w:hyperlink r:id="rId40" w:tgtFrame="_new" w:history="1">
        <w:r>
          <w:rPr>
            <w:rStyle w:val="Hyperlink"/>
            <w:rFonts w:eastAsiaTheme="majorEastAsia"/>
          </w:rPr>
          <w:t>https://doi.org/10.1198/073500101316970395</w:t>
        </w:r>
      </w:hyperlink>
    </w:p>
    <w:p w14:paraId="4CE3392B" w14:textId="77777777" w:rsidR="00D31BD1" w:rsidRDefault="00D31BD1" w:rsidP="00D31BD1">
      <w:pPr>
        <w:pStyle w:val="NormalWeb"/>
      </w:pPr>
      <w:r>
        <w:t xml:space="preserve">[31] Cholette, Pierre A., and Estela Bee Dagum. “Benchmarking, Temporal Distribution, and Reconciliation Methods for Time Series.” In </w:t>
      </w:r>
      <w:r>
        <w:rPr>
          <w:rStyle w:val="Emphasis"/>
          <w:rFonts w:eastAsiaTheme="majorEastAsia"/>
        </w:rPr>
        <w:t>Handbook of Statistics</w:t>
      </w:r>
      <w:r>
        <w:t>, Vol. 25, edited by S. B. Rao, 47–83. Elsevier, 2006.</w:t>
      </w:r>
    </w:p>
    <w:p w14:paraId="4414FA3E" w14:textId="77777777" w:rsidR="00D31BD1" w:rsidRDefault="00D31BD1" w:rsidP="00D31BD1">
      <w:pPr>
        <w:pStyle w:val="NormalWeb"/>
      </w:pPr>
      <w:r>
        <w:t xml:space="preserve">[32] Nakamura, Emi, and Jón Steinsson. “Five Facts about Prices: A Reevaluation of Menu Cost Models.” </w:t>
      </w:r>
      <w:r>
        <w:rPr>
          <w:rStyle w:val="Emphasis"/>
          <w:rFonts w:eastAsiaTheme="majorEastAsia"/>
        </w:rPr>
        <w:t>Quarterly Journal of Economics</w:t>
      </w:r>
      <w:r>
        <w:t xml:space="preserve"> 123, no. 4 (2008): 1415–1464. </w:t>
      </w:r>
      <w:hyperlink r:id="rId41" w:tgtFrame="_new" w:history="1">
        <w:r>
          <w:rPr>
            <w:rStyle w:val="Hyperlink"/>
            <w:rFonts w:eastAsiaTheme="majorEastAsia"/>
          </w:rPr>
          <w:t>https://doi.org/10.1162/qjec.2008.123.4.1415</w:t>
        </w:r>
      </w:hyperlink>
    </w:p>
    <w:p w14:paraId="73D0EB45" w14:textId="77777777" w:rsidR="00D31BD1" w:rsidRDefault="00D31BD1" w:rsidP="00D31BD1">
      <w:pPr>
        <w:pStyle w:val="NormalWeb"/>
      </w:pPr>
      <w:r>
        <w:t xml:space="preserve">[33] Chevalier, Judith A., Anil K. Kashyap, and Peter E. Rossi. “Why Don’t Prices Rise during Periods of Peak Demand? Evidence from Scanner Data.” </w:t>
      </w:r>
      <w:r>
        <w:rPr>
          <w:rStyle w:val="Emphasis"/>
          <w:rFonts w:eastAsiaTheme="majorEastAsia"/>
        </w:rPr>
        <w:t>American Economic Review</w:t>
      </w:r>
      <w:r>
        <w:t xml:space="preserve"> 93, no. 1 (2003): 15–37.</w:t>
      </w:r>
    </w:p>
    <w:p w14:paraId="30DEB299" w14:textId="77777777" w:rsidR="00D31BD1" w:rsidRDefault="00D31BD1" w:rsidP="00D31BD1">
      <w:pPr>
        <w:pStyle w:val="NormalWeb"/>
      </w:pPr>
      <w:r>
        <w:t xml:space="preserve">[34] Pesaran, M. Hashem, Yongcheol Shin, and Richard J. Smith. “Bounds Testing Approaches to the Analysis of Level Relationships.” </w:t>
      </w:r>
      <w:r>
        <w:rPr>
          <w:rStyle w:val="Emphasis"/>
          <w:rFonts w:eastAsiaTheme="majorEastAsia"/>
        </w:rPr>
        <w:t>Journal of Applied Econometrics</w:t>
      </w:r>
      <w:r>
        <w:t xml:space="preserve"> 16, no. 3 (2001): 289–326. </w:t>
      </w:r>
      <w:hyperlink r:id="rId42" w:tgtFrame="_new" w:history="1">
        <w:r>
          <w:rPr>
            <w:rStyle w:val="Hyperlink"/>
            <w:rFonts w:eastAsiaTheme="majorEastAsia"/>
          </w:rPr>
          <w:t>https://doi.org/10.1002/jae.616</w:t>
        </w:r>
      </w:hyperlink>
    </w:p>
    <w:p w14:paraId="6A766D13" w14:textId="77777777" w:rsidR="00D31BD1" w:rsidRDefault="00D31BD1" w:rsidP="00D31BD1">
      <w:pPr>
        <w:pStyle w:val="NormalWeb"/>
      </w:pPr>
      <w:r>
        <w:t xml:space="preserve">[35] Johansen, Søren. “Statistical Analysis of Cointegration Vectors.” </w:t>
      </w:r>
      <w:r>
        <w:rPr>
          <w:rStyle w:val="Emphasis"/>
          <w:rFonts w:eastAsiaTheme="majorEastAsia"/>
        </w:rPr>
        <w:t>Journal of Economic Dynamics and Control</w:t>
      </w:r>
      <w:r>
        <w:t xml:space="preserve"> 12 (1988): 231–254. </w:t>
      </w:r>
      <w:hyperlink r:id="rId43" w:tgtFrame="_new" w:history="1">
        <w:r>
          <w:rPr>
            <w:rStyle w:val="Hyperlink"/>
            <w:rFonts w:eastAsiaTheme="majorEastAsia"/>
          </w:rPr>
          <w:t>https://doi.org/10.1016/0165-1889(88)90041-3</w:t>
        </w:r>
      </w:hyperlink>
    </w:p>
    <w:p w14:paraId="5C435568" w14:textId="77777777" w:rsidR="00D31BD1" w:rsidRDefault="00D31BD1" w:rsidP="00D31BD1">
      <w:pPr>
        <w:pStyle w:val="NormalWeb"/>
      </w:pPr>
      <w:r>
        <w:t xml:space="preserve">[36] Engle, Robert F., and Clive W. J. Granger. “Co-integration and Error Correction: Representation, Estimation, and Testing.” </w:t>
      </w:r>
      <w:r>
        <w:rPr>
          <w:rStyle w:val="Emphasis"/>
          <w:rFonts w:eastAsiaTheme="majorEastAsia"/>
        </w:rPr>
        <w:t>Econometrica</w:t>
      </w:r>
      <w:r>
        <w:t xml:space="preserve"> 55, no. 2 (1987): 251–276. </w:t>
      </w:r>
      <w:hyperlink r:id="rId44" w:tgtFrame="_new" w:history="1">
        <w:r>
          <w:rPr>
            <w:rStyle w:val="Hyperlink"/>
            <w:rFonts w:eastAsiaTheme="majorEastAsia"/>
          </w:rPr>
          <w:t>https://doi.org/10.2307/1913236</w:t>
        </w:r>
      </w:hyperlink>
    </w:p>
    <w:p w14:paraId="1E305904" w14:textId="77777777" w:rsidR="00D31BD1" w:rsidRDefault="00D31BD1" w:rsidP="00D31BD1">
      <w:pPr>
        <w:pStyle w:val="NormalWeb"/>
      </w:pPr>
      <w:r>
        <w:t xml:space="preserve">[37] Newey, Whitney K., and Kenneth D. West. “A Simple, Positive Semi-Definite, HAC Covariance Matrix.” </w:t>
      </w:r>
      <w:r>
        <w:rPr>
          <w:rStyle w:val="Emphasis"/>
          <w:rFonts w:eastAsiaTheme="majorEastAsia"/>
        </w:rPr>
        <w:t>Econometrica</w:t>
      </w:r>
      <w:r>
        <w:t xml:space="preserve"> 55, no. 3 (1987): 703–708. </w:t>
      </w:r>
      <w:hyperlink r:id="rId45" w:tgtFrame="_new" w:history="1">
        <w:r>
          <w:rPr>
            <w:rStyle w:val="Hyperlink"/>
            <w:rFonts w:eastAsiaTheme="majorEastAsia"/>
          </w:rPr>
          <w:t>https://doi.org/10.2307/1913610</w:t>
        </w:r>
      </w:hyperlink>
    </w:p>
    <w:p w14:paraId="3FD3A6F3" w14:textId="77777777" w:rsidR="00D31BD1" w:rsidRDefault="00D31BD1" w:rsidP="00D31BD1">
      <w:pPr>
        <w:pStyle w:val="NormalWeb"/>
      </w:pPr>
      <w:r>
        <w:lastRenderedPageBreak/>
        <w:t xml:space="preserve">[38] Shin, Yongcheol, Byungchul Yu, and Matthew Greenwood-Nimmo. “Modelling Asymmetric Cointegration and Dynamic Multipliers in a Nonlinear ARDL Framework.” In </w:t>
      </w:r>
      <w:r>
        <w:rPr>
          <w:rStyle w:val="Emphasis"/>
          <w:rFonts w:eastAsiaTheme="majorEastAsia"/>
        </w:rPr>
        <w:t>Festschrift in Honor of Peter Schmidt: Econometric Methods and Applications</w:t>
      </w:r>
      <w:r>
        <w:t>, edited by W. C. Horrace and R. C. Sickles, 281–314. New York: Springer, 2014.</w:t>
      </w:r>
    </w:p>
    <w:p w14:paraId="35B89078" w14:textId="77777777" w:rsidR="00D31BD1" w:rsidRDefault="00D31BD1" w:rsidP="00D31BD1">
      <w:pPr>
        <w:pStyle w:val="NormalWeb"/>
      </w:pPr>
      <w:r>
        <w:t xml:space="preserve">[39] Grau, Aaron, and Heinrich Hockmann. “Market Power in the German Dairy Value Chain.” </w:t>
      </w:r>
      <w:r>
        <w:rPr>
          <w:rStyle w:val="Emphasis"/>
          <w:rFonts w:eastAsiaTheme="majorEastAsia"/>
        </w:rPr>
        <w:t>Agribusiness</w:t>
      </w:r>
      <w:r>
        <w:t xml:space="preserve"> (2017). </w:t>
      </w:r>
      <w:hyperlink r:id="rId46" w:tgtFrame="_new" w:history="1">
        <w:r>
          <w:rPr>
            <w:rStyle w:val="Hyperlink"/>
            <w:rFonts w:eastAsiaTheme="majorEastAsia"/>
          </w:rPr>
          <w:t>https://doi.org/10.1002/agr.21529</w:t>
        </w:r>
      </w:hyperlink>
    </w:p>
    <w:p w14:paraId="048B1D6B" w14:textId="77777777" w:rsidR="00D31BD1" w:rsidRDefault="00D31BD1" w:rsidP="00D31BD1">
      <w:pPr>
        <w:pStyle w:val="NormalWeb"/>
      </w:pPr>
      <w:r>
        <w:t xml:space="preserve">[40] Loy, Jens-Peter, Christoph R. Weiss, and Thomas Glauben. “Asymmetric Cost Pass-Through? Empirical Evidence on the Role of Market Power, Search and Menu Costs.” </w:t>
      </w:r>
      <w:r>
        <w:rPr>
          <w:rStyle w:val="Emphasis"/>
          <w:rFonts w:eastAsiaTheme="majorEastAsia"/>
        </w:rPr>
        <w:t>Journal of Economic Behavior &amp; Organization</w:t>
      </w:r>
      <w:r>
        <w:t xml:space="preserve"> 123 (2016): 184–192. </w:t>
      </w:r>
      <w:hyperlink r:id="rId47" w:tgtFrame="_new" w:history="1">
        <w:r>
          <w:rPr>
            <w:rStyle w:val="Hyperlink"/>
            <w:rFonts w:eastAsiaTheme="majorEastAsia"/>
          </w:rPr>
          <w:t>https://doi.org/10.1016/j.jebo.2016.01.007</w:t>
        </w:r>
      </w:hyperlink>
    </w:p>
    <w:p w14:paraId="67F452D5" w14:textId="77777777" w:rsidR="00D31BD1" w:rsidRDefault="00D31BD1" w:rsidP="00D31BD1">
      <w:pPr>
        <w:pStyle w:val="NormalWeb"/>
      </w:pPr>
      <w:r>
        <w:t xml:space="preserve">[41] Novus. “Online Supermarket.” Accessed February 25, 2026. </w:t>
      </w:r>
      <w:hyperlink r:id="rId48" w:tgtFrame="_new" w:history="1">
        <w:r>
          <w:rPr>
            <w:rStyle w:val="Hyperlink"/>
            <w:rFonts w:eastAsiaTheme="majorEastAsia"/>
          </w:rPr>
          <w:t>https://novus.online/</w:t>
        </w:r>
      </w:hyperlink>
      <w:r>
        <w:t xml:space="preserve"> (If this domain redirects, cite the retailer’s official e-commerce domain actually used in your scraping logs.)</w:t>
      </w:r>
    </w:p>
    <w:p w14:paraId="231AA1BA" w14:textId="77777777" w:rsidR="00D31BD1" w:rsidRDefault="00D31BD1" w:rsidP="00D31BD1">
      <w:pPr>
        <w:pStyle w:val="NormalWeb"/>
      </w:pPr>
      <w:r>
        <w:t xml:space="preserve">[42] Litvinov, Valentyn. </w:t>
      </w:r>
      <w:r>
        <w:rPr>
          <w:rStyle w:val="Emphasis"/>
          <w:rFonts w:eastAsiaTheme="majorEastAsia"/>
        </w:rPr>
        <w:t>Eurointegration 2.0: The Ukrainian Dairy Sector.</w:t>
      </w:r>
      <w:r>
        <w:t xml:space="preserve"> Kyiv: Kyiv School of Economics, Center for Food and Land Use Research, 2025. </w:t>
      </w:r>
      <w:hyperlink r:id="rId49" w:tgtFrame="_new" w:history="1">
        <w:r>
          <w:rPr>
            <w:rStyle w:val="Hyperlink"/>
            <w:rFonts w:eastAsiaTheme="majorEastAsia"/>
          </w:rPr>
          <w:t>https://kse.ua/wp-content/uploads/2025/10/Eurointegration-2.0.-The-Ukrainian-Dairy-Sector.pdf</w:t>
        </w:r>
      </w:hyperlink>
    </w:p>
    <w:p w14:paraId="4FBB2912" w14:textId="77777777" w:rsidR="00D31BD1" w:rsidRDefault="00D31BD1" w:rsidP="00D31BD1">
      <w:pPr>
        <w:pStyle w:val="NormalWeb"/>
      </w:pPr>
      <w:r>
        <w:t xml:space="preserve">[43] Fedets, Iryna, and Veronika Movchan. </w:t>
      </w:r>
      <w:r>
        <w:rPr>
          <w:rStyle w:val="Emphasis"/>
          <w:rFonts w:eastAsiaTheme="majorEastAsia"/>
        </w:rPr>
        <w:t>Dairy Processing: In-Depth Review of Strategic Trade Sectors in Ukraine.</w:t>
      </w:r>
      <w:r>
        <w:t xml:space="preserve"> USAID Competitive Economy Program in Ukraine (USAID CEP), September 2020. (PDF in project materials.)</w:t>
      </w:r>
    </w:p>
    <w:p w14:paraId="5A2382D6" w14:textId="77777777" w:rsidR="00D31BD1" w:rsidRDefault="00D31BD1" w:rsidP="00D31BD1">
      <w:pPr>
        <w:pStyle w:val="NormalWeb"/>
      </w:pPr>
      <w:r>
        <w:t xml:space="preserve">[44] European Parliament and Council of the European Union. “Directive (EU) 2019/633 on Unfair Trading Practices in Business-to-Business Relationships in the Agricultural and Food Supply Chain.” </w:t>
      </w:r>
      <w:r>
        <w:rPr>
          <w:rStyle w:val="Emphasis"/>
          <w:rFonts w:eastAsiaTheme="majorEastAsia"/>
        </w:rPr>
        <w:t>Official Journal of the European Union</w:t>
      </w:r>
      <w:r>
        <w:t xml:space="preserve"> (2019). </w:t>
      </w:r>
      <w:hyperlink r:id="rId50" w:tgtFrame="_new" w:history="1">
        <w:r>
          <w:rPr>
            <w:rStyle w:val="Hyperlink"/>
            <w:rFonts w:eastAsiaTheme="majorEastAsia"/>
          </w:rPr>
          <w:t>https://eur-lex.europa.eu/eli/dir/2019/633/oj</w:t>
        </w:r>
      </w:hyperlink>
    </w:p>
    <w:p w14:paraId="1F5F29C8" w14:textId="77777777" w:rsidR="00D31BD1" w:rsidRDefault="00D31BD1" w:rsidP="00D31BD1">
      <w:pPr>
        <w:pStyle w:val="NormalWeb"/>
      </w:pPr>
      <w:r>
        <w:t>[45] European Commission, DG Agriculture and Rural Development. “Unfair Trading Practices in the Food Supply Chain (context and implementation).” Accessed February 25, 2026. https://agriculture.ec.europa.eu/sustainability/fairer-and-healthier-food-supply-chain/unfair-trading-practices_en</w:t>
      </w:r>
    </w:p>
    <w:p w14:paraId="20D28F90" w14:textId="77777777" w:rsidR="00D31BD1" w:rsidRDefault="00D31BD1" w:rsidP="00D31BD1">
      <w:pPr>
        <w:pStyle w:val="NormalWeb"/>
      </w:pPr>
      <w:r>
        <w:t xml:space="preserve">[46] Opendatabot. “Retail Index 2025.” Accessed February 25, 2026. </w:t>
      </w:r>
      <w:hyperlink r:id="rId51" w:tgtFrame="_new" w:history="1">
        <w:r>
          <w:rPr>
            <w:rStyle w:val="Hyperlink"/>
            <w:rFonts w:eastAsiaTheme="majorEastAsia"/>
          </w:rPr>
          <w:t>https://opendatabot.ua/en/analytics/index-retail-2025</w:t>
        </w:r>
      </w:hyperlink>
    </w:p>
    <w:p w14:paraId="48DA39BD" w14:textId="77777777" w:rsidR="00D31BD1" w:rsidRDefault="00D31BD1" w:rsidP="00D31BD1">
      <w:pPr>
        <w:pStyle w:val="NormalWeb"/>
      </w:pPr>
      <w:r>
        <w:t xml:space="preserve">[47] Retail Association of Ukraine (RAU). “Top-10 Ukrainian Grocery Chains by Number of Stores and Openings in 2024.” Accessed February 25, 2026. </w:t>
      </w:r>
      <w:hyperlink r:id="rId52" w:tgtFrame="_new" w:history="1">
        <w:r>
          <w:rPr>
            <w:rStyle w:val="Hyperlink"/>
            <w:rFonts w:eastAsiaTheme="majorEastAsia"/>
          </w:rPr>
          <w:t>https://rau.ua/news/top-10-merezh-magaziniv-2024/</w:t>
        </w:r>
      </w:hyperlink>
    </w:p>
    <w:p w14:paraId="76E5EADD" w14:textId="77777777" w:rsidR="00D31BD1" w:rsidRDefault="00D31BD1" w:rsidP="00D31BD1">
      <w:pPr>
        <w:pStyle w:val="NormalWeb"/>
      </w:pPr>
      <w:r>
        <w:t xml:space="preserve">[48] Association of Milk Producers (AVM). “Milk from Industrial Dairy Farms Has the Largest Share in Processing.” October 2025. </w:t>
      </w:r>
      <w:hyperlink r:id="rId53" w:tgtFrame="_new" w:history="1">
        <w:r>
          <w:rPr>
            <w:rStyle w:val="Hyperlink"/>
            <w:rFonts w:eastAsiaTheme="majorEastAsia"/>
          </w:rPr>
          <w:t>https://avm-ua.org/en/post/milk-from-industrial-dairy-farms-has-the-largest-share-in-processing</w:t>
        </w:r>
      </w:hyperlink>
    </w:p>
    <w:p w14:paraId="6D700D01" w14:textId="77777777" w:rsidR="00D31BD1" w:rsidRDefault="00D31BD1" w:rsidP="00D31BD1">
      <w:pPr>
        <w:pStyle w:val="NormalWeb"/>
      </w:pPr>
      <w:r>
        <w:lastRenderedPageBreak/>
        <w:t xml:space="preserve">[49] Association of Milk Producers (AVM). “Dairy Prices Remain High.” Accessed February 25, 2026. </w:t>
      </w:r>
      <w:hyperlink r:id="rId54" w:tgtFrame="_new" w:history="1">
        <w:r>
          <w:rPr>
            <w:rStyle w:val="Hyperlink"/>
            <w:rFonts w:eastAsiaTheme="majorEastAsia"/>
          </w:rPr>
          <w:t>https://avm-ua.org/en/post/dairy-prices-remain-high</w:t>
        </w:r>
      </w:hyperlink>
    </w:p>
    <w:p w14:paraId="7EAFCEC7" w14:textId="77777777" w:rsidR="00D31BD1" w:rsidRDefault="00D31BD1" w:rsidP="00D31BD1">
      <w:pPr>
        <w:pStyle w:val="NormalWeb"/>
      </w:pPr>
      <w:r>
        <w:t xml:space="preserve">[50] MilkUA.info. “Milk Prices under Pressure from Weak Demand, Blackouts and Frost.” Accessed February 25, 2026. </w:t>
      </w:r>
      <w:hyperlink r:id="rId55" w:tgtFrame="_new" w:history="1">
        <w:r>
          <w:rPr>
            <w:rStyle w:val="Hyperlink"/>
            <w:rFonts w:eastAsiaTheme="majorEastAsia"/>
          </w:rPr>
          <w:t>https://milkua.info/en/post/milk-prices-under-pressure-from-weak-demand-blackouts-and-frost</w:t>
        </w:r>
      </w:hyperlink>
    </w:p>
    <w:p w14:paraId="399CAC64" w14:textId="77777777" w:rsidR="00D31BD1" w:rsidRDefault="00D31BD1" w:rsidP="00D31BD1">
      <w:pPr>
        <w:pStyle w:val="NormalWeb"/>
      </w:pPr>
      <w:r>
        <w:t xml:space="preserve">[51] Food and Agriculture Organization of the United Nations (FAO). “FAO Food Price Index (includes Dairy Price Index).” Accessed February 25, 2026. </w:t>
      </w:r>
      <w:hyperlink r:id="rId56" w:tgtFrame="_new" w:history="1">
        <w:r>
          <w:rPr>
            <w:rStyle w:val="Hyperlink"/>
            <w:rFonts w:eastAsiaTheme="majorEastAsia"/>
          </w:rPr>
          <w:t>https://www.fao.org/worldfoodsituation/foodpricesindex/en/</w:t>
        </w:r>
      </w:hyperlink>
    </w:p>
    <w:p w14:paraId="4A8E5B29" w14:textId="77777777" w:rsidR="00D31BD1" w:rsidRDefault="00D31BD1" w:rsidP="00D31BD1">
      <w:pPr>
        <w:pStyle w:val="NormalWeb"/>
      </w:pPr>
      <w:r>
        <w:t xml:space="preserve">[52] European Central Bank. “Food Price Inflation: Drivers and Margins.” </w:t>
      </w:r>
      <w:r>
        <w:rPr>
          <w:rStyle w:val="Emphasis"/>
          <w:rFonts w:eastAsiaTheme="majorEastAsia"/>
        </w:rPr>
        <w:t>Economic Bulletin</w:t>
      </w:r>
      <w:r>
        <w:t xml:space="preserve"> (article), 2025. </w:t>
      </w:r>
      <w:hyperlink r:id="rId57" w:tgtFrame="_new" w:history="1">
        <w:r>
          <w:rPr>
            <w:rStyle w:val="Hyperlink"/>
            <w:rFonts w:eastAsiaTheme="majorEastAsia"/>
          </w:rPr>
          <w:t>https://www.ecb.europa.eu/pub/economic-bulletin/articles/2025/html/ecb.ebart202405_01~food-price-inflation.en.html</w:t>
        </w:r>
      </w:hyperlink>
    </w:p>
    <w:p w14:paraId="524BFDC6" w14:textId="77777777" w:rsidR="00D31BD1" w:rsidRDefault="00D31BD1" w:rsidP="00D31BD1">
      <w:pPr>
        <w:pStyle w:val="NormalWeb"/>
      </w:pPr>
      <w:r>
        <w:t xml:space="preserve">[53] European Commission. “Food Price Monitoring (Farm-to-Fork Spreads).” Accessed February 25, 2026. </w:t>
      </w:r>
      <w:hyperlink r:id="rId58" w:tgtFrame="_new" w:history="1">
        <w:r>
          <w:rPr>
            <w:rStyle w:val="Hyperlink"/>
            <w:rFonts w:eastAsiaTheme="majorEastAsia"/>
          </w:rPr>
          <w:t>https://food.ec.europa.eu/horizontal-topics/farm-fork-strategy/food-price-monitoring_en</w:t>
        </w:r>
      </w:hyperlink>
    </w:p>
    <w:p w14:paraId="48537284" w14:textId="77777777" w:rsidR="00D31BD1" w:rsidRDefault="00D31BD1" w:rsidP="00D31BD1">
      <w:pPr>
        <w:pStyle w:val="NormalWeb"/>
      </w:pPr>
      <w:r>
        <w:t xml:space="preserve">[54] World Bank. </w:t>
      </w:r>
      <w:r>
        <w:rPr>
          <w:rStyle w:val="Emphasis"/>
          <w:rFonts w:eastAsiaTheme="majorEastAsia"/>
        </w:rPr>
        <w:t>Commodity Markets Outlook / Pink Sheet (February 2026).</w:t>
      </w:r>
      <w:r>
        <w:t xml:space="preserve"> </w:t>
      </w:r>
      <w:hyperlink r:id="rId59" w:tgtFrame="_new" w:history="1">
        <w:r>
          <w:rPr>
            <w:rStyle w:val="Hyperlink"/>
            <w:rFonts w:eastAsiaTheme="majorEastAsia"/>
          </w:rPr>
          <w:t>https://thedocs.worldbank.org/en/doc/74e8be41ceb20fa0da750cda2f6b9e4e-0050012026/related/CMO-Pink-Sheet-February-2026.pdf</w:t>
        </w:r>
      </w:hyperlink>
    </w:p>
    <w:p w14:paraId="445D06C6" w14:textId="77777777" w:rsidR="00D31BD1" w:rsidRDefault="00D31BD1" w:rsidP="00D31BD1">
      <w:pPr>
        <w:pStyle w:val="NormalWeb"/>
      </w:pPr>
      <w:r>
        <w:t xml:space="preserve">[55] European Commission, DG AGRI, Milk Market Observatory. “EU Prices of Cow’s Raw Milk in EUR/100 kg (series sheet).” </w:t>
      </w:r>
      <w:hyperlink r:id="rId60" w:tgtFrame="_new" w:history="1">
        <w:r>
          <w:rPr>
            <w:rStyle w:val="Hyperlink"/>
            <w:rFonts w:eastAsiaTheme="majorEastAsia"/>
          </w:rPr>
          <w:t>https://agriculture.ec.europa.eu/system/files/2024-01/eu-raw-milk-prices_en.pdf</w:t>
        </w:r>
      </w:hyperlink>
    </w:p>
    <w:p w14:paraId="3FD9A515" w14:textId="77777777" w:rsidR="00D31BD1" w:rsidRDefault="00D31BD1" w:rsidP="00D31BD1">
      <w:pPr>
        <w:pStyle w:val="NormalWeb"/>
      </w:pPr>
      <w:r>
        <w:t xml:space="preserve">[56] European Commission, DG AGRI, Milk Market Observatory. “World Raw Milk Prices (EU vs US/NZ; series sheet).” </w:t>
      </w:r>
      <w:hyperlink r:id="rId61" w:tgtFrame="_new" w:history="1">
        <w:r>
          <w:rPr>
            <w:rStyle w:val="Hyperlink"/>
            <w:rFonts w:eastAsiaTheme="majorEastAsia"/>
          </w:rPr>
          <w:t>https://agriculture.ec.europa.eu/system/files/2024-01/world-raw-milk-prices_en.pdf</w:t>
        </w:r>
      </w:hyperlink>
    </w:p>
    <w:p w14:paraId="1B9EF797" w14:textId="77777777" w:rsidR="00D31BD1" w:rsidRDefault="00D31BD1" w:rsidP="00D31BD1">
      <w:pPr>
        <w:pStyle w:val="NormalWeb"/>
      </w:pPr>
      <w:r>
        <w:t xml:space="preserve">[57] Reuters. “World Food Prices Ease Further in January, United Nations’ FAO Says.” February 6, 2026. </w:t>
      </w:r>
      <w:hyperlink r:id="rId62" w:tgtFrame="_new" w:history="1">
        <w:r>
          <w:rPr>
            <w:rStyle w:val="Hyperlink"/>
            <w:rFonts w:eastAsiaTheme="majorEastAsia"/>
          </w:rPr>
          <w:t>https://www.reuters.com/markets/europe/world-food-prices-ease-further-january-united-nations-fao-says-2026-02-06/</w:t>
        </w:r>
      </w:hyperlink>
    </w:p>
    <w:p w14:paraId="3C8D10FB" w14:textId="77777777" w:rsidR="00D31BD1" w:rsidRDefault="00D31BD1" w:rsidP="00D31BD1">
      <w:pPr>
        <w:pStyle w:val="NormalWeb"/>
      </w:pPr>
      <w:r>
        <w:t xml:space="preserve">[58] Reuters. “World Food Prices Dip in December but Still Up in 2025, UN’s FAO Says.” January 9, 2026. </w:t>
      </w:r>
      <w:hyperlink r:id="rId63" w:tgtFrame="_new" w:history="1">
        <w:r>
          <w:rPr>
            <w:rStyle w:val="Hyperlink"/>
            <w:rFonts w:eastAsiaTheme="majorEastAsia"/>
          </w:rPr>
          <w:t>https://www.reuters.com/business/world-food-prices-dip-december-still-up-2025-uns-fao-says-2026-01-09/</w:t>
        </w:r>
      </w:hyperlink>
    </w:p>
    <w:p w14:paraId="0AD13EB6" w14:textId="77777777" w:rsidR="00D31BD1" w:rsidRDefault="00D31BD1" w:rsidP="00D31BD1">
      <w:pPr>
        <w:pStyle w:val="NormalWeb"/>
      </w:pPr>
      <w:r>
        <w:t xml:space="preserve">[59] FAO. “FAO Food Price Index Dips in December Despite Higher World Cereal Quotations.” January 2026. </w:t>
      </w:r>
      <w:hyperlink r:id="rId64" w:tgtFrame="_new" w:history="1">
        <w:r>
          <w:rPr>
            <w:rStyle w:val="Hyperlink"/>
            <w:rFonts w:eastAsiaTheme="majorEastAsia"/>
          </w:rPr>
          <w:t>https://www.fao.org/newsroom/detail/fao-food-price-index-dips-in-december-despite-higher-world-cereal-quotations/en</w:t>
        </w:r>
      </w:hyperlink>
    </w:p>
    <w:p w14:paraId="185F7136" w14:textId="77777777" w:rsidR="00D31BD1" w:rsidRDefault="00D31BD1" w:rsidP="00D31BD1">
      <w:pPr>
        <w:pStyle w:val="NormalWeb"/>
      </w:pPr>
      <w:r>
        <w:t xml:space="preserve">[60] VoxUkraine. “Important Draft Laws. Issue 45: Preparing for National Resistance, Simplifying Oversight of Declarations and Changes to Lobbying Rules.” June 2025. </w:t>
      </w:r>
      <w:hyperlink r:id="rId65" w:tgtFrame="_new" w:history="1">
        <w:r>
          <w:rPr>
            <w:rStyle w:val="Hyperlink"/>
            <w:rFonts w:eastAsiaTheme="majorEastAsia"/>
          </w:rPr>
          <w:t>https://voxukraine.org/en/important-draft-laws-issue-45-preparing-for-national-resistance-simplifying-oversight-of-declarations-and-changes-to-lobbying-rules</w:t>
        </w:r>
      </w:hyperlink>
    </w:p>
    <w:p w14:paraId="2086D4B9" w14:textId="77777777" w:rsidR="00D31BD1" w:rsidRDefault="00D31BD1" w:rsidP="00D31BD1">
      <w:pPr>
        <w:pStyle w:val="NormalWeb"/>
      </w:pPr>
      <w:r>
        <w:t>[61] RWII_updated_methodology_discounts (internal working note; updated RWII→RWIII methodology on discounts/asymmetry/synthetic products). 2026. (DOCX in project materials.)</w:t>
      </w:r>
    </w:p>
    <w:p w14:paraId="6F9B8835" w14:textId="77777777" w:rsidR="00D31BD1" w:rsidRDefault="00D31BD1" w:rsidP="00D31BD1">
      <w:pPr>
        <w:pStyle w:val="NormalWeb"/>
      </w:pPr>
      <w:r>
        <w:t>[62] Methodology_Daily_Synthetic_Product clasify_UA_Prices_EXTENDED (internal methodology note; synthetic product classification and daily-to-monthly construction). 2026. (DOCX in project materials.)</w:t>
      </w:r>
    </w:p>
    <w:p w14:paraId="3CC552A3" w14:textId="77777777" w:rsidR="00D31BD1" w:rsidRDefault="00D31BD1" w:rsidP="00D31BD1">
      <w:pPr>
        <w:pStyle w:val="NormalWeb"/>
      </w:pPr>
      <w:r>
        <w:t xml:space="preserve">[63] </w:t>
      </w:r>
      <w:r>
        <w:rPr>
          <w:rStyle w:val="Emphasis"/>
          <w:rFonts w:eastAsiaTheme="majorEastAsia"/>
        </w:rPr>
        <w:t>European Dairy Market and Related Agriculture in Europe.</w:t>
      </w:r>
      <w:r>
        <w:t xml:space="preserve"> Internal analytical report, January 2026. (PDF in project materials.)</w:t>
      </w:r>
    </w:p>
    <w:p w14:paraId="79001AF1" w14:textId="77777777" w:rsidR="00D31BD1" w:rsidRDefault="00D31BD1" w:rsidP="00D31BD1">
      <w:pPr>
        <w:pStyle w:val="NormalWeb"/>
      </w:pPr>
      <w:r>
        <w:t xml:space="preserve">[64] </w:t>
      </w:r>
      <w:r>
        <w:rPr>
          <w:rStyle w:val="Emphasis"/>
          <w:rFonts w:eastAsiaTheme="majorEastAsia"/>
        </w:rPr>
        <w:t>Comprehensive Dairy Supply Chain Report (EU–Ukraine–Global): Full Year 2025 Overview + Detailed Period Oct 2025–Jan 2026.</w:t>
      </w:r>
      <w:r>
        <w:t xml:space="preserve"> Internal analytical report, 2026. (DOCX in project materials.)</w:t>
      </w:r>
    </w:p>
    <w:p w14:paraId="141686B1" w14:textId="77777777" w:rsidR="00D31BD1" w:rsidRDefault="00D31BD1" w:rsidP="00D31BD1">
      <w:pPr>
        <w:pStyle w:val="NormalWeb"/>
      </w:pPr>
      <w:r>
        <w:t xml:space="preserve">[65] </w:t>
      </w:r>
      <w:r>
        <w:rPr>
          <w:rStyle w:val="Emphasis"/>
          <w:rFonts w:eastAsiaTheme="majorEastAsia"/>
        </w:rPr>
        <w:t>Ukrainian Dairy Market Deep Research.</w:t>
      </w:r>
      <w:r>
        <w:t xml:space="preserve"> Internal analytical report, 2026. (PDF in project materials.)</w:t>
      </w:r>
    </w:p>
    <w:p w14:paraId="3F39E06F" w14:textId="77777777" w:rsidR="00D31BD1" w:rsidRDefault="00D31BD1" w:rsidP="00D31BD1">
      <w:pPr>
        <w:pStyle w:val="NormalWeb"/>
      </w:pPr>
      <w:r>
        <w:t xml:space="preserve">[66] ProZorro. “Public Procurement System (data portal).” Accessed February 25, 2026. </w:t>
      </w:r>
      <w:hyperlink r:id="rId66" w:tgtFrame="_new" w:history="1">
        <w:r>
          <w:rPr>
            <w:rStyle w:val="Hyperlink"/>
            <w:rFonts w:eastAsiaTheme="majorEastAsia"/>
          </w:rPr>
          <w:t>https://prozorro.gov.ua/</w:t>
        </w:r>
      </w:hyperlink>
      <w:r>
        <w:t xml:space="preserve"> (If you use an API endpoint in the thesis, cite the exact API documentation URL used in your pipeline logs.)</w:t>
      </w:r>
    </w:p>
    <w:p w14:paraId="44093F51" w14:textId="7D5317DF" w:rsidR="005A24A5" w:rsidRPr="00D31BD1" w:rsidRDefault="005A24A5" w:rsidP="00D31BD1">
      <w:pPr>
        <w:spacing w:line="360" w:lineRule="auto"/>
        <w:jc w:val="both"/>
        <w:rPr>
          <w:spacing w:val="0"/>
          <w:szCs w:val="24"/>
          <w:lang w:val="en-UA" w:eastAsia="en-GB"/>
        </w:rPr>
      </w:pPr>
    </w:p>
    <w:sectPr w:rsidR="005A24A5" w:rsidRPr="00D31BD1" w:rsidSect="00370AD1">
      <w:headerReference w:type="default" r:id="rId6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9B5F" w14:textId="77777777" w:rsidR="00263178" w:rsidRDefault="00263178" w:rsidP="005A24A5">
      <w:r>
        <w:separator/>
      </w:r>
    </w:p>
  </w:endnote>
  <w:endnote w:type="continuationSeparator" w:id="0">
    <w:p w14:paraId="673624AB" w14:textId="77777777" w:rsidR="00263178" w:rsidRDefault="00263178" w:rsidP="005A2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3907122"/>
      <w:docPartObj>
        <w:docPartGallery w:val="Page Numbers (Bottom of Page)"/>
        <w:docPartUnique/>
      </w:docPartObj>
    </w:sdtPr>
    <w:sdtContent>
      <w:p w14:paraId="29C5253E" w14:textId="2C9379BD" w:rsidR="00CB5746" w:rsidRDefault="00CB5746" w:rsidP="004755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49253627"/>
      <w:docPartObj>
        <w:docPartGallery w:val="Page Numbers (Bottom of Page)"/>
        <w:docPartUnique/>
      </w:docPartObj>
    </w:sdtPr>
    <w:sdtContent>
      <w:p w14:paraId="6B3EF9F2" w14:textId="42A9646D" w:rsidR="005A24A5" w:rsidRDefault="005A24A5" w:rsidP="004755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779A34" w14:textId="77777777" w:rsidR="005A24A5" w:rsidRDefault="005A24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1997128"/>
      <w:docPartObj>
        <w:docPartGallery w:val="Page Numbers (Bottom of Page)"/>
        <w:docPartUnique/>
      </w:docPartObj>
    </w:sdtPr>
    <w:sdtContent>
      <w:p w14:paraId="07C13C35" w14:textId="1DB3B584" w:rsidR="00CB5746" w:rsidRDefault="00CB5746" w:rsidP="004755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sdtContent>
  </w:sdt>
  <w:p w14:paraId="78F9885B" w14:textId="77777777" w:rsidR="005A24A5" w:rsidRDefault="005A24A5" w:rsidP="00CB574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4746854"/>
      <w:docPartObj>
        <w:docPartGallery w:val="Page Numbers (Bottom of Page)"/>
        <w:docPartUnique/>
      </w:docPartObj>
    </w:sdtPr>
    <w:sdtContent>
      <w:p w14:paraId="59766D75" w14:textId="77777777" w:rsidR="00370AD1" w:rsidRDefault="00370AD1" w:rsidP="004755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sdtContent>
  </w:sdt>
  <w:p w14:paraId="2F520CF4" w14:textId="77777777" w:rsidR="00370AD1" w:rsidRDefault="00370AD1" w:rsidP="00CB574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0699837"/>
      <w:docPartObj>
        <w:docPartGallery w:val="Page Numbers (Bottom of Page)"/>
        <w:docPartUnique/>
      </w:docPartObj>
    </w:sdtPr>
    <w:sdtContent>
      <w:p w14:paraId="24B414CD" w14:textId="77777777" w:rsidR="0016261E" w:rsidRDefault="0016261E" w:rsidP="004755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sdtContent>
  </w:sdt>
  <w:p w14:paraId="2B8EC18F" w14:textId="77777777" w:rsidR="0016261E" w:rsidRDefault="0016261E" w:rsidP="00CB57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07C1" w14:textId="77777777" w:rsidR="00263178" w:rsidRDefault="00263178" w:rsidP="005A24A5">
      <w:r>
        <w:separator/>
      </w:r>
    </w:p>
  </w:footnote>
  <w:footnote w:type="continuationSeparator" w:id="0">
    <w:p w14:paraId="1998ECAE" w14:textId="77777777" w:rsidR="00263178" w:rsidRDefault="00263178" w:rsidP="005A2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353E" w14:textId="19C32300" w:rsidR="0016261E" w:rsidRPr="00CB5746" w:rsidRDefault="0016261E" w:rsidP="0016261E">
    <w:pPr>
      <w:pStyle w:val="Header"/>
      <w:jc w:val="center"/>
      <w:rPr>
        <w:rFonts w:ascii="Apple Chancery" w:hAnsi="Apple Chancery" w:cs="Apple Chancery"/>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71DC" w14:textId="289DADB8" w:rsidR="0016261E" w:rsidRPr="00CB5746" w:rsidRDefault="0016261E" w:rsidP="0016261E">
    <w:pPr>
      <w:pStyle w:val="Header"/>
      <w:jc w:val="center"/>
      <w:rPr>
        <w:rFonts w:ascii="Apple Chancery" w:hAnsi="Apple Chancery" w:cs="Apple Chancery"/>
      </w:rPr>
    </w:pPr>
    <w:r>
      <w:rPr>
        <w:rFonts w:ascii="Apple Chancery" w:hAnsi="Apple Chancery" w:cs="Apple Chancery"/>
      </w:rPr>
      <w:t>Chapter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76FA" w14:textId="34D84B0F" w:rsidR="009E6092" w:rsidRPr="00CB5746" w:rsidRDefault="0016261E" w:rsidP="009E6092">
    <w:pPr>
      <w:pStyle w:val="Header"/>
      <w:jc w:val="center"/>
      <w:rPr>
        <w:rFonts w:ascii="Apple Chancery" w:hAnsi="Apple Chancery" w:cs="Apple Chancery"/>
      </w:rPr>
    </w:pPr>
    <w:r>
      <w:rPr>
        <w:rFonts w:ascii="Apple Chancery" w:hAnsi="Apple Chancery" w:cs="Apple Chancery"/>
      </w:rPr>
      <w:t xml:space="preserve">Chapter </w:t>
    </w:r>
    <w:r w:rsidR="009E6092">
      <w:rPr>
        <w:rFonts w:ascii="Apple Chancery" w:hAnsi="Apple Chancery" w:cs="Apple Chancery"/>
      </w:rPr>
      <w:t>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7007" w14:textId="378BB21B" w:rsidR="009E6092" w:rsidRPr="00CB5746" w:rsidRDefault="009E6092" w:rsidP="009E6092">
    <w:pPr>
      <w:pStyle w:val="Header"/>
      <w:jc w:val="center"/>
      <w:rPr>
        <w:rFonts w:ascii="Apple Chancery" w:hAnsi="Apple Chancery" w:cs="Apple Chancery"/>
      </w:rPr>
    </w:pPr>
    <w:r>
      <w:rPr>
        <w:rFonts w:ascii="Apple Chancery" w:hAnsi="Apple Chancery" w:cs="Apple Chancery"/>
      </w:rPr>
      <w:t>Chapter 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DF21" w14:textId="133BE2FC" w:rsidR="0016261E" w:rsidRPr="00CB5746" w:rsidRDefault="0016261E" w:rsidP="0016261E">
    <w:pPr>
      <w:pStyle w:val="Header"/>
      <w:jc w:val="center"/>
      <w:rPr>
        <w:rFonts w:ascii="Apple Chancery" w:hAnsi="Apple Chancery" w:cs="Apple Chancer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multilevel"/>
    <w:tmpl w:val="229628CC"/>
    <w:lvl w:ilvl="0">
      <w:start w:val="1"/>
      <w:numFmt w:val="decimal"/>
      <w:lvlText w:val="%1)"/>
      <w:lvlJc w:val="left"/>
      <w:pPr>
        <w:ind w:left="72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C4A3559"/>
    <w:multiLevelType w:val="multilevel"/>
    <w:tmpl w:val="962A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225E8"/>
    <w:multiLevelType w:val="hybridMultilevel"/>
    <w:tmpl w:val="D3389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A73645"/>
    <w:multiLevelType w:val="hybridMultilevel"/>
    <w:tmpl w:val="84C03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9D0774"/>
    <w:multiLevelType w:val="hybridMultilevel"/>
    <w:tmpl w:val="3924A8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4C0206"/>
    <w:multiLevelType w:val="hybridMultilevel"/>
    <w:tmpl w:val="BECAD2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25765E"/>
    <w:multiLevelType w:val="multilevel"/>
    <w:tmpl w:val="7F6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B421B"/>
    <w:multiLevelType w:val="hybridMultilevel"/>
    <w:tmpl w:val="95D6D0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0C71DD8"/>
    <w:multiLevelType w:val="hybridMultilevel"/>
    <w:tmpl w:val="5D9C7E7C"/>
    <w:lvl w:ilvl="0" w:tplc="4E28A852">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F12760"/>
    <w:multiLevelType w:val="hybridMultilevel"/>
    <w:tmpl w:val="1DAA4CA4"/>
    <w:lvl w:ilvl="0" w:tplc="C2A82DC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0E7672"/>
    <w:multiLevelType w:val="hybridMultilevel"/>
    <w:tmpl w:val="9862951A"/>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5" w15:restartNumberingAfterBreak="0">
    <w:nsid w:val="320706A8"/>
    <w:multiLevelType w:val="hybridMultilevel"/>
    <w:tmpl w:val="11B82D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334E0"/>
    <w:multiLevelType w:val="hybridMultilevel"/>
    <w:tmpl w:val="417E1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A9252C"/>
    <w:multiLevelType w:val="multilevel"/>
    <w:tmpl w:val="B09AA4AA"/>
    <w:styleLink w:val="CurrentList1"/>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90749E"/>
    <w:multiLevelType w:val="multilevel"/>
    <w:tmpl w:val="261A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3C7811"/>
    <w:multiLevelType w:val="hybridMultilevel"/>
    <w:tmpl w:val="72C46A50"/>
    <w:lvl w:ilvl="0" w:tplc="74929F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E540014"/>
    <w:multiLevelType w:val="hybridMultilevel"/>
    <w:tmpl w:val="39C0C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133CC2"/>
    <w:multiLevelType w:val="multilevel"/>
    <w:tmpl w:val="592A388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2A341F8"/>
    <w:multiLevelType w:val="multilevel"/>
    <w:tmpl w:val="229628CC"/>
    <w:lvl w:ilvl="0">
      <w:start w:val="1"/>
      <w:numFmt w:val="decimal"/>
      <w:lvlText w:val="%1)"/>
      <w:lvlJc w:val="left"/>
      <w:pPr>
        <w:ind w:left="72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4502A8B"/>
    <w:multiLevelType w:val="hybridMultilevel"/>
    <w:tmpl w:val="12D6149E"/>
    <w:lvl w:ilvl="0" w:tplc="0809000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5C63986"/>
    <w:multiLevelType w:val="multilevel"/>
    <w:tmpl w:val="130E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E6344"/>
    <w:multiLevelType w:val="multilevel"/>
    <w:tmpl w:val="067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50F7A"/>
    <w:multiLevelType w:val="multilevel"/>
    <w:tmpl w:val="F19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16420">
    <w:abstractNumId w:val="18"/>
  </w:num>
  <w:num w:numId="2" w16cid:durableId="843590119">
    <w:abstractNumId w:val="15"/>
  </w:num>
  <w:num w:numId="3" w16cid:durableId="655426010">
    <w:abstractNumId w:val="5"/>
  </w:num>
  <w:num w:numId="4" w16cid:durableId="888299827">
    <w:abstractNumId w:val="11"/>
  </w:num>
  <w:num w:numId="5" w16cid:durableId="1945264267">
    <w:abstractNumId w:val="24"/>
  </w:num>
  <w:num w:numId="6" w16cid:durableId="416827457">
    <w:abstractNumId w:val="26"/>
  </w:num>
  <w:num w:numId="7" w16cid:durableId="1183933527">
    <w:abstractNumId w:val="25"/>
  </w:num>
  <w:num w:numId="8" w16cid:durableId="1637486693">
    <w:abstractNumId w:val="16"/>
  </w:num>
  <w:num w:numId="9" w16cid:durableId="1873106476">
    <w:abstractNumId w:val="6"/>
  </w:num>
  <w:num w:numId="10" w16cid:durableId="1580210109">
    <w:abstractNumId w:val="10"/>
  </w:num>
  <w:num w:numId="11" w16cid:durableId="889221731">
    <w:abstractNumId w:val="8"/>
  </w:num>
  <w:num w:numId="12" w16cid:durableId="777067142">
    <w:abstractNumId w:val="19"/>
  </w:num>
  <w:num w:numId="13" w16cid:durableId="920674091">
    <w:abstractNumId w:val="21"/>
  </w:num>
  <w:num w:numId="14" w16cid:durableId="1905797911">
    <w:abstractNumId w:val="0"/>
  </w:num>
  <w:num w:numId="15" w16cid:durableId="1052996257">
    <w:abstractNumId w:val="1"/>
  </w:num>
  <w:num w:numId="16" w16cid:durableId="1464931271">
    <w:abstractNumId w:val="2"/>
  </w:num>
  <w:num w:numId="17" w16cid:durableId="1821579679">
    <w:abstractNumId w:val="3"/>
  </w:num>
  <w:num w:numId="18" w16cid:durableId="531695895">
    <w:abstractNumId w:val="4"/>
  </w:num>
  <w:num w:numId="19" w16cid:durableId="341972313">
    <w:abstractNumId w:val="22"/>
  </w:num>
  <w:num w:numId="20" w16cid:durableId="1716419229">
    <w:abstractNumId w:val="14"/>
  </w:num>
  <w:num w:numId="21" w16cid:durableId="688602232">
    <w:abstractNumId w:val="7"/>
  </w:num>
  <w:num w:numId="22" w16cid:durableId="812600055">
    <w:abstractNumId w:val="9"/>
  </w:num>
  <w:num w:numId="23" w16cid:durableId="1010451727">
    <w:abstractNumId w:val="13"/>
  </w:num>
  <w:num w:numId="24" w16cid:durableId="2123525310">
    <w:abstractNumId w:val="13"/>
    <w:lvlOverride w:ilvl="0">
      <w:startOverride w:val="1"/>
    </w:lvlOverride>
  </w:num>
  <w:num w:numId="25" w16cid:durableId="826358886">
    <w:abstractNumId w:val="17"/>
  </w:num>
  <w:num w:numId="26" w16cid:durableId="1235705466">
    <w:abstractNumId w:val="13"/>
    <w:lvlOverride w:ilvl="0">
      <w:startOverride w:val="1"/>
    </w:lvlOverride>
  </w:num>
  <w:num w:numId="27" w16cid:durableId="635188631">
    <w:abstractNumId w:val="12"/>
  </w:num>
  <w:num w:numId="28" w16cid:durableId="1378048516">
    <w:abstractNumId w:val="23"/>
  </w:num>
  <w:num w:numId="29" w16cid:durableId="1896810884">
    <w:abstractNumId w:val="23"/>
    <w:lvlOverride w:ilvl="0">
      <w:startOverride w:val="1"/>
    </w:lvlOverride>
  </w:num>
  <w:num w:numId="30" w16cid:durableId="5451399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B2"/>
    <w:rsid w:val="00007A29"/>
    <w:rsid w:val="00053940"/>
    <w:rsid w:val="000F27B5"/>
    <w:rsid w:val="0016261E"/>
    <w:rsid w:val="00222C3F"/>
    <w:rsid w:val="00263178"/>
    <w:rsid w:val="00330159"/>
    <w:rsid w:val="0033435D"/>
    <w:rsid w:val="00366CA8"/>
    <w:rsid w:val="00370AD1"/>
    <w:rsid w:val="003A1369"/>
    <w:rsid w:val="003E3CB2"/>
    <w:rsid w:val="003F5B25"/>
    <w:rsid w:val="00406BA3"/>
    <w:rsid w:val="0043402A"/>
    <w:rsid w:val="004A7920"/>
    <w:rsid w:val="004C60A4"/>
    <w:rsid w:val="004C6C66"/>
    <w:rsid w:val="00565AAA"/>
    <w:rsid w:val="00580DC9"/>
    <w:rsid w:val="005851F8"/>
    <w:rsid w:val="005A0B15"/>
    <w:rsid w:val="005A24A5"/>
    <w:rsid w:val="006208D1"/>
    <w:rsid w:val="006249FB"/>
    <w:rsid w:val="0064459C"/>
    <w:rsid w:val="006647E5"/>
    <w:rsid w:val="00667A6E"/>
    <w:rsid w:val="00693FDF"/>
    <w:rsid w:val="006D73FA"/>
    <w:rsid w:val="006F6375"/>
    <w:rsid w:val="0071132E"/>
    <w:rsid w:val="00773437"/>
    <w:rsid w:val="007E4B3D"/>
    <w:rsid w:val="00824E1C"/>
    <w:rsid w:val="00842410"/>
    <w:rsid w:val="00950E67"/>
    <w:rsid w:val="009E6092"/>
    <w:rsid w:val="00A940CE"/>
    <w:rsid w:val="00B52F9F"/>
    <w:rsid w:val="00CB5746"/>
    <w:rsid w:val="00CD4FE5"/>
    <w:rsid w:val="00D31BD1"/>
    <w:rsid w:val="00D34660"/>
    <w:rsid w:val="00D43449"/>
    <w:rsid w:val="00D43F7E"/>
    <w:rsid w:val="00DA35A2"/>
    <w:rsid w:val="00DB2152"/>
    <w:rsid w:val="00DD78D3"/>
    <w:rsid w:val="00E16FA9"/>
    <w:rsid w:val="00F22DC2"/>
    <w:rsid w:val="00F61F74"/>
    <w:rsid w:val="00FB79D1"/>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F0CD"/>
  <w15:chartTrackingRefBased/>
  <w15:docId w15:val="{768ADBCD-089E-4A4D-9AA6-954B5845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CB2"/>
    <w:pPr>
      <w:spacing w:after="0" w:line="240" w:lineRule="auto"/>
    </w:pPr>
    <w:rPr>
      <w:rFonts w:ascii="Garamond" w:eastAsia="Times New Roman" w:hAnsi="Garamond" w:cs="Times New Roman"/>
      <w:spacing w:val="-2"/>
      <w:kern w:val="0"/>
      <w:szCs w:val="20"/>
      <w:lang w:val="en-US" w:eastAsia="uk-UA"/>
      <w14:ligatures w14:val="none"/>
    </w:rPr>
  </w:style>
  <w:style w:type="paragraph" w:styleId="Heading1">
    <w:name w:val="heading 1"/>
    <w:basedOn w:val="Normal"/>
    <w:next w:val="Normal"/>
    <w:link w:val="Heading1Char"/>
    <w:uiPriority w:val="9"/>
    <w:qFormat/>
    <w:rsid w:val="0016261E"/>
    <w:pPr>
      <w:keepNext/>
      <w:keepLines/>
      <w:spacing w:before="360" w:after="80" w:line="360" w:lineRule="auto"/>
      <w:jc w:val="center"/>
      <w:outlineLvl w:val="0"/>
    </w:pPr>
    <w:rPr>
      <w:rFonts w:eastAsiaTheme="majorEastAsia" w:cstheme="majorBidi"/>
      <w:b/>
      <w:color w:val="000000" w:themeColor="text1"/>
      <w:szCs w:val="24"/>
    </w:rPr>
  </w:style>
  <w:style w:type="paragraph" w:styleId="Heading2">
    <w:name w:val="heading 2"/>
    <w:basedOn w:val="Heading1"/>
    <w:next w:val="Normal"/>
    <w:link w:val="Heading2Char"/>
    <w:uiPriority w:val="9"/>
    <w:unhideWhenUsed/>
    <w:qFormat/>
    <w:rsid w:val="00FB79D1"/>
    <w:pPr>
      <w:jc w:val="left"/>
      <w:outlineLvl w:val="1"/>
    </w:pPr>
    <w:rPr>
      <w:b w:val="0"/>
      <w:bCs/>
    </w:rPr>
  </w:style>
  <w:style w:type="paragraph" w:styleId="Heading3">
    <w:name w:val="heading 3"/>
    <w:basedOn w:val="Normal"/>
    <w:next w:val="Normal"/>
    <w:link w:val="Heading3Char"/>
    <w:uiPriority w:val="9"/>
    <w:semiHidden/>
    <w:unhideWhenUsed/>
    <w:qFormat/>
    <w:rsid w:val="003E3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1E"/>
    <w:rPr>
      <w:rFonts w:ascii="Garamond" w:eastAsiaTheme="majorEastAsia" w:hAnsi="Garamond" w:cstheme="majorBidi"/>
      <w:b/>
      <w:color w:val="000000" w:themeColor="text1"/>
      <w:spacing w:val="-2"/>
      <w:kern w:val="0"/>
      <w:lang w:val="en-US" w:eastAsia="uk-UA"/>
      <w14:ligatures w14:val="none"/>
    </w:rPr>
  </w:style>
  <w:style w:type="character" w:customStyle="1" w:styleId="Heading2Char">
    <w:name w:val="Heading 2 Char"/>
    <w:basedOn w:val="DefaultParagraphFont"/>
    <w:link w:val="Heading2"/>
    <w:uiPriority w:val="9"/>
    <w:rsid w:val="00FB79D1"/>
    <w:rPr>
      <w:rFonts w:ascii="Garamond" w:eastAsiaTheme="majorEastAsia" w:hAnsi="Garamond" w:cstheme="majorBidi"/>
      <w:bCs/>
      <w:color w:val="000000" w:themeColor="text1"/>
      <w:spacing w:val="-2"/>
      <w:kern w:val="0"/>
      <w:lang w:val="en-US" w:eastAsia="uk-UA"/>
      <w14:ligatures w14:val="none"/>
    </w:rPr>
  </w:style>
  <w:style w:type="character" w:customStyle="1" w:styleId="Heading3Char">
    <w:name w:val="Heading 3 Char"/>
    <w:basedOn w:val="DefaultParagraphFont"/>
    <w:link w:val="Heading3"/>
    <w:uiPriority w:val="9"/>
    <w:semiHidden/>
    <w:rsid w:val="003E3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CB2"/>
    <w:rPr>
      <w:rFonts w:eastAsiaTheme="majorEastAsia" w:cstheme="majorBidi"/>
      <w:color w:val="272727" w:themeColor="text1" w:themeTint="D8"/>
    </w:rPr>
  </w:style>
  <w:style w:type="paragraph" w:styleId="Title">
    <w:name w:val="Title"/>
    <w:basedOn w:val="Normal"/>
    <w:next w:val="Normal"/>
    <w:link w:val="TitleChar"/>
    <w:uiPriority w:val="10"/>
    <w:qFormat/>
    <w:rsid w:val="003E3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CB2"/>
    <w:pPr>
      <w:spacing w:before="160"/>
      <w:jc w:val="center"/>
    </w:pPr>
    <w:rPr>
      <w:i/>
      <w:iCs/>
      <w:color w:val="404040" w:themeColor="text1" w:themeTint="BF"/>
    </w:rPr>
  </w:style>
  <w:style w:type="character" w:customStyle="1" w:styleId="QuoteChar">
    <w:name w:val="Quote Char"/>
    <w:basedOn w:val="DefaultParagraphFont"/>
    <w:link w:val="Quote"/>
    <w:uiPriority w:val="29"/>
    <w:rsid w:val="003E3CB2"/>
    <w:rPr>
      <w:i/>
      <w:iCs/>
      <w:color w:val="404040" w:themeColor="text1" w:themeTint="BF"/>
    </w:rPr>
  </w:style>
  <w:style w:type="paragraph" w:styleId="ListParagraph">
    <w:name w:val="List Paragraph"/>
    <w:basedOn w:val="Normal"/>
    <w:uiPriority w:val="34"/>
    <w:qFormat/>
    <w:rsid w:val="003E3CB2"/>
    <w:pPr>
      <w:ind w:left="720"/>
      <w:contextualSpacing/>
    </w:pPr>
  </w:style>
  <w:style w:type="character" w:styleId="IntenseEmphasis">
    <w:name w:val="Intense Emphasis"/>
    <w:basedOn w:val="DefaultParagraphFont"/>
    <w:uiPriority w:val="21"/>
    <w:qFormat/>
    <w:rsid w:val="003E3CB2"/>
    <w:rPr>
      <w:i/>
      <w:iCs/>
      <w:color w:val="0F4761" w:themeColor="accent1" w:themeShade="BF"/>
    </w:rPr>
  </w:style>
  <w:style w:type="paragraph" w:styleId="IntenseQuote">
    <w:name w:val="Intense Quote"/>
    <w:basedOn w:val="Normal"/>
    <w:next w:val="Normal"/>
    <w:link w:val="IntenseQuoteChar"/>
    <w:uiPriority w:val="30"/>
    <w:qFormat/>
    <w:rsid w:val="003E3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CB2"/>
    <w:rPr>
      <w:i/>
      <w:iCs/>
      <w:color w:val="0F4761" w:themeColor="accent1" w:themeShade="BF"/>
    </w:rPr>
  </w:style>
  <w:style w:type="character" w:styleId="IntenseReference">
    <w:name w:val="Intense Reference"/>
    <w:basedOn w:val="DefaultParagraphFont"/>
    <w:uiPriority w:val="32"/>
    <w:qFormat/>
    <w:rsid w:val="003E3CB2"/>
    <w:rPr>
      <w:b/>
      <w:bCs/>
      <w:smallCaps/>
      <w:color w:val="0F4761" w:themeColor="accent1" w:themeShade="BF"/>
      <w:spacing w:val="5"/>
    </w:rPr>
  </w:style>
  <w:style w:type="paragraph" w:styleId="BodyText">
    <w:name w:val="Body Text"/>
    <w:basedOn w:val="Normal"/>
    <w:link w:val="BodyTextChar"/>
    <w:rsid w:val="003E3CB2"/>
    <w:pPr>
      <w:spacing w:after="280" w:line="360" w:lineRule="auto"/>
    </w:pPr>
  </w:style>
  <w:style w:type="character" w:customStyle="1" w:styleId="BodyTextChar">
    <w:name w:val="Body Text Char"/>
    <w:basedOn w:val="DefaultParagraphFont"/>
    <w:link w:val="BodyText"/>
    <w:rsid w:val="003E3CB2"/>
    <w:rPr>
      <w:rFonts w:ascii="Garamond" w:eastAsia="Times New Roman" w:hAnsi="Garamond" w:cs="Times New Roman"/>
      <w:spacing w:val="-2"/>
      <w:kern w:val="0"/>
      <w:szCs w:val="20"/>
      <w:lang w:val="en-US" w:eastAsia="uk-UA"/>
      <w14:ligatures w14:val="none"/>
    </w:rPr>
  </w:style>
  <w:style w:type="paragraph" w:customStyle="1" w:styleId="Author">
    <w:name w:val="Author"/>
    <w:basedOn w:val="BodyText"/>
    <w:rsid w:val="003E3CB2"/>
    <w:pPr>
      <w:spacing w:after="0" w:line="480" w:lineRule="auto"/>
      <w:jc w:val="center"/>
    </w:pPr>
  </w:style>
  <w:style w:type="paragraph" w:styleId="Date">
    <w:name w:val="Date"/>
    <w:basedOn w:val="BodyText"/>
    <w:link w:val="DateChar"/>
    <w:rsid w:val="003E3CB2"/>
    <w:pPr>
      <w:spacing w:after="560"/>
      <w:jc w:val="center"/>
    </w:pPr>
  </w:style>
  <w:style w:type="character" w:customStyle="1" w:styleId="DateChar">
    <w:name w:val="Date Char"/>
    <w:basedOn w:val="DefaultParagraphFont"/>
    <w:link w:val="Date"/>
    <w:rsid w:val="003E3CB2"/>
    <w:rPr>
      <w:rFonts w:ascii="Garamond" w:eastAsia="Times New Roman" w:hAnsi="Garamond" w:cs="Times New Roman"/>
      <w:spacing w:val="-2"/>
      <w:kern w:val="0"/>
      <w:szCs w:val="20"/>
      <w:lang w:val="en-US" w:eastAsia="uk-UA"/>
      <w14:ligatures w14:val="none"/>
    </w:rPr>
  </w:style>
  <w:style w:type="paragraph" w:customStyle="1" w:styleId="SubtitleCover">
    <w:name w:val="Subtitle Cover"/>
    <w:basedOn w:val="Normal"/>
    <w:next w:val="BodyText"/>
    <w:rsid w:val="003E3CB2"/>
    <w:pPr>
      <w:keepNext/>
      <w:spacing w:after="560"/>
      <w:ind w:left="1800" w:right="1800"/>
      <w:jc w:val="center"/>
    </w:pPr>
  </w:style>
  <w:style w:type="paragraph" w:customStyle="1" w:styleId="TitleCover">
    <w:name w:val="Title Cover"/>
    <w:basedOn w:val="Normal"/>
    <w:next w:val="SubtitleCover"/>
    <w:rsid w:val="003E3CB2"/>
    <w:pPr>
      <w:keepNext/>
      <w:keepLines/>
      <w:spacing w:before="780" w:after="420"/>
      <w:ind w:left="1920" w:right="1920"/>
      <w:jc w:val="center"/>
    </w:pPr>
    <w:rPr>
      <w:caps/>
      <w:spacing w:val="5"/>
      <w:kern w:val="28"/>
    </w:rPr>
  </w:style>
  <w:style w:type="paragraph" w:customStyle="1" w:styleId="p1">
    <w:name w:val="p1"/>
    <w:basedOn w:val="Normal"/>
    <w:rsid w:val="004A7920"/>
    <w:pPr>
      <w:spacing w:before="100" w:beforeAutospacing="1" w:after="100" w:afterAutospacing="1"/>
    </w:pPr>
    <w:rPr>
      <w:rFonts w:ascii="Times New Roman" w:hAnsi="Times New Roman"/>
      <w:spacing w:val="0"/>
      <w:szCs w:val="24"/>
      <w:lang w:val="en-UA" w:eastAsia="en-GB"/>
    </w:rPr>
  </w:style>
  <w:style w:type="paragraph" w:customStyle="1" w:styleId="p2">
    <w:name w:val="p2"/>
    <w:basedOn w:val="Normal"/>
    <w:rsid w:val="004A7920"/>
    <w:pPr>
      <w:spacing w:before="100" w:beforeAutospacing="1" w:after="100" w:afterAutospacing="1"/>
    </w:pPr>
    <w:rPr>
      <w:rFonts w:ascii="Times New Roman" w:hAnsi="Times New Roman"/>
      <w:spacing w:val="0"/>
      <w:szCs w:val="24"/>
      <w:lang w:val="en-UA" w:eastAsia="en-GB"/>
    </w:rPr>
  </w:style>
  <w:style w:type="paragraph" w:customStyle="1" w:styleId="p3">
    <w:name w:val="p3"/>
    <w:basedOn w:val="Normal"/>
    <w:rsid w:val="00F61F74"/>
    <w:pPr>
      <w:spacing w:before="100" w:beforeAutospacing="1" w:after="100" w:afterAutospacing="1"/>
    </w:pPr>
    <w:rPr>
      <w:rFonts w:ascii="Times New Roman" w:hAnsi="Times New Roman"/>
      <w:spacing w:val="0"/>
      <w:szCs w:val="24"/>
      <w:lang w:val="en-UA" w:eastAsia="en-GB"/>
    </w:rPr>
  </w:style>
  <w:style w:type="character" w:customStyle="1" w:styleId="s1">
    <w:name w:val="s1"/>
    <w:basedOn w:val="DefaultParagraphFont"/>
    <w:rsid w:val="00F61F74"/>
  </w:style>
  <w:style w:type="paragraph" w:customStyle="1" w:styleId="p4">
    <w:name w:val="p4"/>
    <w:basedOn w:val="Normal"/>
    <w:rsid w:val="00F61F74"/>
    <w:pPr>
      <w:spacing w:before="100" w:beforeAutospacing="1" w:after="100" w:afterAutospacing="1"/>
    </w:pPr>
    <w:rPr>
      <w:rFonts w:ascii="Times New Roman" w:hAnsi="Times New Roman"/>
      <w:spacing w:val="0"/>
      <w:szCs w:val="24"/>
      <w:lang w:val="en-UA" w:eastAsia="en-GB"/>
    </w:rPr>
  </w:style>
  <w:style w:type="character" w:customStyle="1" w:styleId="apple-converted-space">
    <w:name w:val="apple-converted-space"/>
    <w:basedOn w:val="DefaultParagraphFont"/>
    <w:rsid w:val="00406BA3"/>
  </w:style>
  <w:style w:type="character" w:styleId="Hyperlink">
    <w:name w:val="Hyperlink"/>
    <w:basedOn w:val="DefaultParagraphFont"/>
    <w:uiPriority w:val="99"/>
    <w:unhideWhenUsed/>
    <w:rsid w:val="00A940CE"/>
    <w:rPr>
      <w:color w:val="467886" w:themeColor="hyperlink"/>
      <w:u w:val="single"/>
    </w:rPr>
  </w:style>
  <w:style w:type="character" w:styleId="UnresolvedMention">
    <w:name w:val="Unresolved Mention"/>
    <w:basedOn w:val="DefaultParagraphFont"/>
    <w:uiPriority w:val="99"/>
    <w:semiHidden/>
    <w:unhideWhenUsed/>
    <w:rsid w:val="00A940CE"/>
    <w:rPr>
      <w:color w:val="605E5C"/>
      <w:shd w:val="clear" w:color="auto" w:fill="E1DFDD"/>
    </w:rPr>
  </w:style>
  <w:style w:type="paragraph" w:styleId="NormalWeb">
    <w:name w:val="Normal (Web)"/>
    <w:basedOn w:val="Normal"/>
    <w:uiPriority w:val="99"/>
    <w:unhideWhenUsed/>
    <w:rsid w:val="00CD4FE5"/>
    <w:pPr>
      <w:spacing w:before="100" w:beforeAutospacing="1" w:after="100" w:afterAutospacing="1"/>
    </w:pPr>
    <w:rPr>
      <w:rFonts w:ascii="Times New Roman" w:hAnsi="Times New Roman"/>
      <w:spacing w:val="0"/>
      <w:szCs w:val="24"/>
      <w:lang w:val="en-UA" w:eastAsia="en-GB"/>
    </w:rPr>
  </w:style>
  <w:style w:type="character" w:styleId="Strong">
    <w:name w:val="Strong"/>
    <w:basedOn w:val="DefaultParagraphFont"/>
    <w:uiPriority w:val="22"/>
    <w:qFormat/>
    <w:rsid w:val="00CD4FE5"/>
    <w:rPr>
      <w:b/>
      <w:bCs/>
    </w:rPr>
  </w:style>
  <w:style w:type="paragraph" w:styleId="Header">
    <w:name w:val="header"/>
    <w:basedOn w:val="Normal"/>
    <w:link w:val="HeaderChar"/>
    <w:uiPriority w:val="99"/>
    <w:unhideWhenUsed/>
    <w:rsid w:val="005A24A5"/>
    <w:pPr>
      <w:tabs>
        <w:tab w:val="center" w:pos="4680"/>
        <w:tab w:val="right" w:pos="9360"/>
      </w:tabs>
    </w:pPr>
  </w:style>
  <w:style w:type="character" w:customStyle="1" w:styleId="HeaderChar">
    <w:name w:val="Header Char"/>
    <w:basedOn w:val="DefaultParagraphFont"/>
    <w:link w:val="Header"/>
    <w:uiPriority w:val="99"/>
    <w:rsid w:val="005A24A5"/>
    <w:rPr>
      <w:rFonts w:ascii="Garamond" w:eastAsia="Times New Roman" w:hAnsi="Garamond" w:cs="Times New Roman"/>
      <w:spacing w:val="-2"/>
      <w:kern w:val="0"/>
      <w:szCs w:val="20"/>
      <w:lang w:val="en-US" w:eastAsia="uk-UA"/>
      <w14:ligatures w14:val="none"/>
    </w:rPr>
  </w:style>
  <w:style w:type="paragraph" w:styleId="Footer">
    <w:name w:val="footer"/>
    <w:basedOn w:val="Normal"/>
    <w:link w:val="FooterChar"/>
    <w:uiPriority w:val="99"/>
    <w:unhideWhenUsed/>
    <w:rsid w:val="005A24A5"/>
    <w:pPr>
      <w:tabs>
        <w:tab w:val="center" w:pos="4680"/>
        <w:tab w:val="right" w:pos="9360"/>
      </w:tabs>
    </w:pPr>
  </w:style>
  <w:style w:type="character" w:customStyle="1" w:styleId="FooterChar">
    <w:name w:val="Footer Char"/>
    <w:basedOn w:val="DefaultParagraphFont"/>
    <w:link w:val="Footer"/>
    <w:uiPriority w:val="99"/>
    <w:rsid w:val="005A24A5"/>
    <w:rPr>
      <w:rFonts w:ascii="Garamond" w:eastAsia="Times New Roman" w:hAnsi="Garamond" w:cs="Times New Roman"/>
      <w:spacing w:val="-2"/>
      <w:kern w:val="0"/>
      <w:szCs w:val="20"/>
      <w:lang w:val="en-US" w:eastAsia="uk-UA"/>
      <w14:ligatures w14:val="none"/>
    </w:rPr>
  </w:style>
  <w:style w:type="character" w:styleId="PageNumber">
    <w:name w:val="page number"/>
    <w:basedOn w:val="DefaultParagraphFont"/>
    <w:uiPriority w:val="99"/>
    <w:semiHidden/>
    <w:unhideWhenUsed/>
    <w:rsid w:val="005A24A5"/>
  </w:style>
  <w:style w:type="paragraph" w:styleId="TOCHeading">
    <w:name w:val="TOC Heading"/>
    <w:basedOn w:val="Heading1"/>
    <w:next w:val="Normal"/>
    <w:uiPriority w:val="39"/>
    <w:unhideWhenUsed/>
    <w:qFormat/>
    <w:rsid w:val="0016261E"/>
    <w:pPr>
      <w:spacing w:before="480" w:after="0" w:line="276" w:lineRule="auto"/>
      <w:jc w:val="left"/>
      <w:outlineLvl w:val="9"/>
    </w:pPr>
    <w:rPr>
      <w:rFonts w:asciiTheme="majorHAnsi" w:hAnsiTheme="majorHAnsi"/>
      <w:bCs/>
      <w:color w:val="0F4761" w:themeColor="accent1" w:themeShade="BF"/>
      <w:spacing w:val="0"/>
      <w:sz w:val="28"/>
      <w:szCs w:val="28"/>
      <w:lang w:eastAsia="en-US"/>
    </w:rPr>
  </w:style>
  <w:style w:type="paragraph" w:styleId="TOC1">
    <w:name w:val="toc 1"/>
    <w:basedOn w:val="Normal"/>
    <w:next w:val="Normal"/>
    <w:autoRedefine/>
    <w:uiPriority w:val="39"/>
    <w:unhideWhenUsed/>
    <w:rsid w:val="0016261E"/>
    <w:pPr>
      <w:spacing w:before="360"/>
    </w:pPr>
    <w:rPr>
      <w:rFonts w:asciiTheme="majorHAnsi" w:hAnsiTheme="majorHAnsi"/>
      <w:b/>
      <w:bCs/>
      <w:caps/>
      <w:szCs w:val="24"/>
    </w:rPr>
  </w:style>
  <w:style w:type="paragraph" w:styleId="TOC2">
    <w:name w:val="toc 2"/>
    <w:basedOn w:val="Normal"/>
    <w:next w:val="Normal"/>
    <w:autoRedefine/>
    <w:uiPriority w:val="39"/>
    <w:unhideWhenUsed/>
    <w:rsid w:val="0016261E"/>
    <w:pPr>
      <w:spacing w:before="240"/>
    </w:pPr>
    <w:rPr>
      <w:rFonts w:asciiTheme="minorHAnsi" w:hAnsiTheme="minorHAnsi"/>
      <w:b/>
      <w:bCs/>
      <w:sz w:val="20"/>
    </w:rPr>
  </w:style>
  <w:style w:type="paragraph" w:styleId="TOC3">
    <w:name w:val="toc 3"/>
    <w:basedOn w:val="Normal"/>
    <w:next w:val="Normal"/>
    <w:autoRedefine/>
    <w:uiPriority w:val="39"/>
    <w:unhideWhenUsed/>
    <w:rsid w:val="0016261E"/>
    <w:pPr>
      <w:ind w:left="240"/>
    </w:pPr>
    <w:rPr>
      <w:rFonts w:asciiTheme="minorHAnsi" w:hAnsiTheme="minorHAnsi"/>
      <w:sz w:val="20"/>
    </w:rPr>
  </w:style>
  <w:style w:type="paragraph" w:styleId="TOC4">
    <w:name w:val="toc 4"/>
    <w:basedOn w:val="Normal"/>
    <w:next w:val="Normal"/>
    <w:autoRedefine/>
    <w:uiPriority w:val="39"/>
    <w:unhideWhenUsed/>
    <w:rsid w:val="0016261E"/>
    <w:pPr>
      <w:ind w:left="480"/>
    </w:pPr>
    <w:rPr>
      <w:rFonts w:asciiTheme="minorHAnsi" w:hAnsiTheme="minorHAnsi"/>
      <w:sz w:val="20"/>
    </w:rPr>
  </w:style>
  <w:style w:type="paragraph" w:styleId="TOC5">
    <w:name w:val="toc 5"/>
    <w:basedOn w:val="Normal"/>
    <w:next w:val="Normal"/>
    <w:autoRedefine/>
    <w:uiPriority w:val="39"/>
    <w:unhideWhenUsed/>
    <w:rsid w:val="0016261E"/>
    <w:pPr>
      <w:ind w:left="720"/>
    </w:pPr>
    <w:rPr>
      <w:rFonts w:asciiTheme="minorHAnsi" w:hAnsiTheme="minorHAnsi"/>
      <w:sz w:val="20"/>
    </w:rPr>
  </w:style>
  <w:style w:type="paragraph" w:styleId="TOC6">
    <w:name w:val="toc 6"/>
    <w:basedOn w:val="Normal"/>
    <w:next w:val="Normal"/>
    <w:autoRedefine/>
    <w:uiPriority w:val="39"/>
    <w:unhideWhenUsed/>
    <w:rsid w:val="0016261E"/>
    <w:pPr>
      <w:ind w:left="960"/>
    </w:pPr>
    <w:rPr>
      <w:rFonts w:asciiTheme="minorHAnsi" w:hAnsiTheme="minorHAnsi"/>
      <w:sz w:val="20"/>
    </w:rPr>
  </w:style>
  <w:style w:type="paragraph" w:styleId="TOC7">
    <w:name w:val="toc 7"/>
    <w:basedOn w:val="Normal"/>
    <w:next w:val="Normal"/>
    <w:autoRedefine/>
    <w:uiPriority w:val="39"/>
    <w:unhideWhenUsed/>
    <w:rsid w:val="0016261E"/>
    <w:pPr>
      <w:ind w:left="1200"/>
    </w:pPr>
    <w:rPr>
      <w:rFonts w:asciiTheme="minorHAnsi" w:hAnsiTheme="minorHAnsi"/>
      <w:sz w:val="20"/>
    </w:rPr>
  </w:style>
  <w:style w:type="paragraph" w:styleId="TOC8">
    <w:name w:val="toc 8"/>
    <w:basedOn w:val="Normal"/>
    <w:next w:val="Normal"/>
    <w:autoRedefine/>
    <w:uiPriority w:val="39"/>
    <w:unhideWhenUsed/>
    <w:rsid w:val="0016261E"/>
    <w:pPr>
      <w:ind w:left="1440"/>
    </w:pPr>
    <w:rPr>
      <w:rFonts w:asciiTheme="minorHAnsi" w:hAnsiTheme="minorHAnsi"/>
      <w:sz w:val="20"/>
    </w:rPr>
  </w:style>
  <w:style w:type="paragraph" w:styleId="TOC9">
    <w:name w:val="toc 9"/>
    <w:basedOn w:val="Normal"/>
    <w:next w:val="Normal"/>
    <w:autoRedefine/>
    <w:uiPriority w:val="39"/>
    <w:unhideWhenUsed/>
    <w:rsid w:val="0016261E"/>
    <w:pPr>
      <w:ind w:left="1680"/>
    </w:pPr>
    <w:rPr>
      <w:rFonts w:asciiTheme="minorHAnsi" w:hAnsiTheme="minorHAnsi"/>
      <w:sz w:val="20"/>
    </w:rPr>
  </w:style>
  <w:style w:type="character" w:customStyle="1" w:styleId="mord">
    <w:name w:val="mord"/>
    <w:basedOn w:val="DefaultParagraphFont"/>
    <w:rsid w:val="003A1369"/>
  </w:style>
  <w:style w:type="character" w:customStyle="1" w:styleId="mop">
    <w:name w:val="mop"/>
    <w:basedOn w:val="DefaultParagraphFont"/>
    <w:rsid w:val="003A1369"/>
  </w:style>
  <w:style w:type="character" w:customStyle="1" w:styleId="delimsizing">
    <w:name w:val="delimsizing"/>
    <w:basedOn w:val="DefaultParagraphFont"/>
    <w:rsid w:val="003A1369"/>
  </w:style>
  <w:style w:type="character" w:customStyle="1" w:styleId="vlist-s">
    <w:name w:val="vlist-s"/>
    <w:basedOn w:val="DefaultParagraphFont"/>
    <w:rsid w:val="003A1369"/>
  </w:style>
  <w:style w:type="character" w:customStyle="1" w:styleId="mrel">
    <w:name w:val="mrel"/>
    <w:basedOn w:val="DefaultParagraphFont"/>
    <w:rsid w:val="003A1369"/>
  </w:style>
  <w:style w:type="character" w:customStyle="1" w:styleId="mbin">
    <w:name w:val="mbin"/>
    <w:basedOn w:val="DefaultParagraphFont"/>
    <w:rsid w:val="003A1369"/>
  </w:style>
  <w:style w:type="character" w:styleId="PlaceholderText">
    <w:name w:val="Placeholder Text"/>
    <w:basedOn w:val="DefaultParagraphFont"/>
    <w:uiPriority w:val="99"/>
    <w:semiHidden/>
    <w:rsid w:val="00E16FA9"/>
    <w:rPr>
      <w:color w:val="666666"/>
    </w:rPr>
  </w:style>
  <w:style w:type="character" w:customStyle="1" w:styleId="mopen">
    <w:name w:val="mopen"/>
    <w:basedOn w:val="DefaultParagraphFont"/>
    <w:rsid w:val="006F6375"/>
  </w:style>
  <w:style w:type="character" w:customStyle="1" w:styleId="mclose">
    <w:name w:val="mclose"/>
    <w:basedOn w:val="DefaultParagraphFont"/>
    <w:rsid w:val="006F6375"/>
  </w:style>
  <w:style w:type="character" w:customStyle="1" w:styleId="mpunct">
    <w:name w:val="mpunct"/>
    <w:basedOn w:val="DefaultParagraphFont"/>
    <w:rsid w:val="006F6375"/>
  </w:style>
  <w:style w:type="character" w:styleId="Emphasis">
    <w:name w:val="Emphasis"/>
    <w:basedOn w:val="DefaultParagraphFont"/>
    <w:uiPriority w:val="20"/>
    <w:qFormat/>
    <w:rsid w:val="00D31BD1"/>
    <w:rPr>
      <w:i/>
      <w:iCs/>
    </w:rPr>
  </w:style>
  <w:style w:type="numbering" w:customStyle="1" w:styleId="CurrentList1">
    <w:name w:val="Current List1"/>
    <w:uiPriority w:val="99"/>
    <w:rsid w:val="00FB79D1"/>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t.gov.ua/en/datasets/delivery-milk-processing-enterprises" TargetMode="External"/><Relationship Id="rId21" Type="http://schemas.openxmlformats.org/officeDocument/2006/relationships/hyperlink" Target="https://doi.org/10.1111/agec.12194" TargetMode="External"/><Relationship Id="rId42" Type="http://schemas.openxmlformats.org/officeDocument/2006/relationships/hyperlink" Target="https://doi.org/10.1002/jae.616" TargetMode="External"/><Relationship Id="rId47" Type="http://schemas.openxmlformats.org/officeDocument/2006/relationships/hyperlink" Target="https://doi.org/10.1016/j.jebo.2016.01.007" TargetMode="External"/><Relationship Id="rId63" Type="http://schemas.openxmlformats.org/officeDocument/2006/relationships/hyperlink" Target="https://www.reuters.com/business/world-food-prices-dip-december-still-up-2025-uns-fao-says-2026-01-09/?utm_source=chatgpt.com"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science/article/pii/S0264837718307786" TargetMode="External"/><Relationship Id="rId29" Type="http://schemas.openxmlformats.org/officeDocument/2006/relationships/hyperlink" Target="https://www.moloko.equipment/dairy-prices" TargetMode="External"/><Relationship Id="rId11" Type="http://schemas.openxmlformats.org/officeDocument/2006/relationships/header" Target="header2.xml"/><Relationship Id="rId24" Type="http://schemas.openxmlformats.org/officeDocument/2006/relationships/hyperlink" Target="https://doi.org/10.1093/ajae/aas102" TargetMode="External"/><Relationship Id="rId32" Type="http://schemas.openxmlformats.org/officeDocument/2006/relationships/hyperlink" Target="https://avm-ua.org/en/" TargetMode="External"/><Relationship Id="rId37" Type="http://schemas.openxmlformats.org/officeDocument/2006/relationships/hyperlink" Target="https://www.tridge.com/" TargetMode="External"/><Relationship Id="rId40" Type="http://schemas.openxmlformats.org/officeDocument/2006/relationships/hyperlink" Target="https://doi.org/10.1198/073500101316970395" TargetMode="External"/><Relationship Id="rId45" Type="http://schemas.openxmlformats.org/officeDocument/2006/relationships/hyperlink" Target="https://doi.org/10.2307/1913610" TargetMode="External"/><Relationship Id="rId53" Type="http://schemas.openxmlformats.org/officeDocument/2006/relationships/hyperlink" Target="https://avm-ua.org/en/post/milk-from-industrial-dairy-farms-has-the-largest-share-in-processing?utm_source=chatgpt.com" TargetMode="External"/><Relationship Id="rId58" Type="http://schemas.openxmlformats.org/officeDocument/2006/relationships/hyperlink" Target="https://food.ec.europa.eu/horizontal-topics/farm-fork-strategy/food-price-monitoring_en" TargetMode="External"/><Relationship Id="rId66" Type="http://schemas.openxmlformats.org/officeDocument/2006/relationships/hyperlink" Target="https://prozorro.gov.ua/" TargetMode="External"/><Relationship Id="rId5" Type="http://schemas.openxmlformats.org/officeDocument/2006/relationships/webSettings" Target="webSettings.xml"/><Relationship Id="rId61" Type="http://schemas.openxmlformats.org/officeDocument/2006/relationships/hyperlink" Target="https://agriculture.ec.europa.eu/system/files/2024-01/world-raw-milk-prices_en.pdf?utm_source=chatgpt.com" TargetMode="External"/><Relationship Id="rId19" Type="http://schemas.openxmlformats.org/officeDocument/2006/relationships/hyperlink" Target="https://www.fao.org/4/i3446e/i3446e.pdf" TargetMode="External"/><Relationship Id="rId14" Type="http://schemas.openxmlformats.org/officeDocument/2006/relationships/footer" Target="footer4.xml"/><Relationship Id="rId22" Type="http://schemas.openxmlformats.org/officeDocument/2006/relationships/hyperlink" Target="https://www.ers.usda.gov/webdocs/publications/42151/16919_aer807_1_.pdf" TargetMode="External"/><Relationship Id="rId27" Type="http://schemas.openxmlformats.org/officeDocument/2006/relationships/hyperlink" Target="https://www.oecd.org/agriculture/price-transmission-in-the-food-chain.htm" TargetMode="External"/><Relationship Id="rId30" Type="http://schemas.openxmlformats.org/officeDocument/2006/relationships/hyperlink" Target="https://agroportal.ua/" TargetMode="External"/><Relationship Id="rId35" Type="http://schemas.openxmlformats.org/officeDocument/2006/relationships/hyperlink" Target="https://agriculture.ec.europa.eu/data-and-analysis/markets/price-data/price-monitoring-sector/milk-and-dairy-products_en?utm_source=chatgpt.com" TargetMode="External"/><Relationship Id="rId43" Type="http://schemas.openxmlformats.org/officeDocument/2006/relationships/hyperlink" Target="https://doi.org/10.1016/0165-1889(88)90041-3" TargetMode="External"/><Relationship Id="rId48" Type="http://schemas.openxmlformats.org/officeDocument/2006/relationships/hyperlink" Target="https://novus.online/" TargetMode="External"/><Relationship Id="rId56" Type="http://schemas.openxmlformats.org/officeDocument/2006/relationships/hyperlink" Target="https://www.fao.org/worldfoodsituation/foodpricesindex/en/?utm_source=chatgpt.com" TargetMode="External"/><Relationship Id="rId64" Type="http://schemas.openxmlformats.org/officeDocument/2006/relationships/hyperlink" Target="https://www.fao.org/newsroom/detail/fao-food-price-index-dips-in-december-despite-higher-world-cereal-quotations/en?utm_source=chatgpt.com"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opendatabot.ua/en/analytics/index-retail-2025?utm_source=chatgpt.com"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www.cmegroup.com/markets/agriculture/dairy/class-iii-milk.html" TargetMode="External"/><Relationship Id="rId25" Type="http://schemas.openxmlformats.org/officeDocument/2006/relationships/hyperlink" Target="https://silpo.ua/" TargetMode="External"/><Relationship Id="rId33" Type="http://schemas.openxmlformats.org/officeDocument/2006/relationships/hyperlink" Target="https://www.clal.it/en/?section=latte_europa_mmo" TargetMode="External"/><Relationship Id="rId38" Type="http://schemas.openxmlformats.org/officeDocument/2006/relationships/hyperlink" Target="https://ukragroconsult.com/en/" TargetMode="External"/><Relationship Id="rId46" Type="http://schemas.openxmlformats.org/officeDocument/2006/relationships/hyperlink" Target="https://doi.org/10.1002/agr.21529" TargetMode="External"/><Relationship Id="rId59" Type="http://schemas.openxmlformats.org/officeDocument/2006/relationships/hyperlink" Target="https://thedocs.worldbank.org/en/doc/74e8be41ceb20fa0da750cda2f6b9e4e-0050012026/related/CMO-Pink-Sheet-February-2026.pdf?utm_source=chatgpt.com" TargetMode="External"/><Relationship Id="rId67" Type="http://schemas.openxmlformats.org/officeDocument/2006/relationships/header" Target="header5.xml"/><Relationship Id="rId20" Type="http://schemas.openxmlformats.org/officeDocument/2006/relationships/hyperlink" Target="https://doi.org/10.2307/1242278" TargetMode="External"/><Relationship Id="rId41" Type="http://schemas.openxmlformats.org/officeDocument/2006/relationships/hyperlink" Target="https://doi.org/10.1162/qjec.2008.123.4.1415" TargetMode="External"/><Relationship Id="rId54" Type="http://schemas.openxmlformats.org/officeDocument/2006/relationships/hyperlink" Target="https://avm-ua.org/en/post/dairy-prices-remain-high?utm_source=chatgpt.com" TargetMode="External"/><Relationship Id="rId62" Type="http://schemas.openxmlformats.org/officeDocument/2006/relationships/hyperlink" Target="https://www.reuters.com/markets/europe/world-food-prices-ease-further-january-united-nations-fao-says-2026-02-06/?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ers.usda.gov/sites/default/files/_laserfiche/publications/79929/AER-753.pdf" TargetMode="External"/><Relationship Id="rId28" Type="http://schemas.openxmlformats.org/officeDocument/2006/relationships/hyperlink" Target="https://avm-ua.org/uk/post/trend-na-zrostanna-cin-na-moloko-sirovinu-v-ukraini?utm_source=chatgpt.com" TargetMode="External"/><Relationship Id="rId36" Type="http://schemas.openxmlformats.org/officeDocument/2006/relationships/hyperlink" Target="https://agriculture.ec.europa.eu/data-and-analysis/markets/overviews/market-observatories/milk_en?utm_source=chatgpt.com" TargetMode="External"/><Relationship Id="rId49" Type="http://schemas.openxmlformats.org/officeDocument/2006/relationships/hyperlink" Target="https://kse.ua/wp-content/uploads/2025/10/Eurointegration-2.0.-The-Ukrainian-Dairy-Sector.pdf?utm_source=chatgpt.com" TargetMode="External"/><Relationship Id="rId57" Type="http://schemas.openxmlformats.org/officeDocument/2006/relationships/hyperlink" Target="https://www.ecb.europa.eu/pub/economic-bulletin/articles/2025/html/ecb.ebart202405_01~food-price-inflation.en.html" TargetMode="External"/><Relationship Id="rId10" Type="http://schemas.openxmlformats.org/officeDocument/2006/relationships/footer" Target="footer2.xml"/><Relationship Id="rId31" Type="http://schemas.openxmlformats.org/officeDocument/2006/relationships/hyperlink" Target="https://agroreview.com/en/newsen/livestock/purchasing-prices-for-milk-ukraine-2/" TargetMode="External"/><Relationship Id="rId44" Type="http://schemas.openxmlformats.org/officeDocument/2006/relationships/hyperlink" Target="https://doi.org/10.2307/1913236" TargetMode="External"/><Relationship Id="rId52" Type="http://schemas.openxmlformats.org/officeDocument/2006/relationships/hyperlink" Target="https://rau.ua/news/top-10-merezh-magaziniv-2024/?utm_source=chatgpt.com" TargetMode="External"/><Relationship Id="rId60" Type="http://schemas.openxmlformats.org/officeDocument/2006/relationships/hyperlink" Target="https://agriculture.ec.europa.eu/system/files/2024-01/eu-raw-milk-prices_en.pdf?utm_source=chatgpt.com" TargetMode="External"/><Relationship Id="rId65" Type="http://schemas.openxmlformats.org/officeDocument/2006/relationships/hyperlink" Target="https://voxukraine.org/en/important-draft-laws-issue-45-preparing-for-national-resistance-simplifying-oversight-of-declarations-and-changes-to-lobbying-rules?utm_source=chatgpt.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jcea.agr.hr/en/issues/article/3524" TargetMode="External"/><Relationship Id="rId39" Type="http://schemas.openxmlformats.org/officeDocument/2006/relationships/hyperlink" Target="https://milkua.info/en/" TargetMode="External"/><Relationship Id="rId34" Type="http://schemas.openxmlformats.org/officeDocument/2006/relationships/hyperlink" Target="https://dairynews.today/" TargetMode="External"/><Relationship Id="rId50" Type="http://schemas.openxmlformats.org/officeDocument/2006/relationships/hyperlink" Target="https://eur-lex.europa.eu/eli/dir/2019/633/oj" TargetMode="External"/><Relationship Id="rId55" Type="http://schemas.openxmlformats.org/officeDocument/2006/relationships/hyperlink" Target="https://milkua.info/en/post/milk-prices-under-pressure-from-weak-demand-blackouts-and-fro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D0A84-19BE-CF41-8B4C-2A2D016BB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30</Pages>
  <Words>10420</Words>
  <Characters>59399</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GetApple</dc:creator>
  <cp:keywords/>
  <dc:description/>
  <cp:lastModifiedBy>GetApple</cp:lastModifiedBy>
  <cp:revision>15</cp:revision>
  <dcterms:created xsi:type="dcterms:W3CDTF">2025-10-17T12:11:00Z</dcterms:created>
  <dcterms:modified xsi:type="dcterms:W3CDTF">2026-02-26T10:21:00Z</dcterms:modified>
</cp:coreProperties>
</file>