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0B5BD" w14:textId="1C866220" w:rsidR="00EE1454" w:rsidRDefault="00000000">
      <w:pPr>
        <w:spacing w:after="240"/>
        <w:jc w:val="center"/>
      </w:pPr>
      <w:r>
        <w:rPr>
          <w:b/>
          <w:sz w:val="32"/>
        </w:rPr>
        <w:t>RWII</w:t>
      </w:r>
      <w:r w:rsidR="003803EB">
        <w:rPr>
          <w:b/>
          <w:sz w:val="32"/>
        </w:rPr>
        <w:t>I</w:t>
      </w:r>
      <w:r>
        <w:rPr>
          <w:b/>
          <w:sz w:val="32"/>
        </w:rPr>
        <w:t xml:space="preserve"> — Оновлення методології та даних після знаходження повного набору джерел (версія для інтеграції в Master Thesis)</w:t>
      </w:r>
    </w:p>
    <w:p w14:paraId="2908C8F0" w14:textId="77777777" w:rsidR="00EE1454" w:rsidRDefault="00000000">
      <w:pPr>
        <w:spacing w:after="360"/>
        <w:jc w:val="center"/>
      </w:pPr>
      <w:r>
        <w:rPr>
          <w:i/>
        </w:rPr>
        <w:t>Фокус: вертикальна передача цін у молочному ланцюгу України (producer → retail → consumer) з асиметрією, нестабільністю та моделями знижок (Silpo).</w:t>
      </w:r>
    </w:p>
    <w:p w14:paraId="51115848" w14:textId="77777777" w:rsidR="00EE1454" w:rsidRPr="003803EB" w:rsidRDefault="00000000">
      <w:pPr>
        <w:spacing w:after="80"/>
        <w:rPr>
          <w:lang w:val="ru-RU"/>
        </w:rPr>
      </w:pPr>
      <w:r w:rsidRPr="003803EB">
        <w:rPr>
          <w:b/>
          <w:lang w:val="ru-RU"/>
        </w:rPr>
        <w:t xml:space="preserve">Коротко про ключові зміни від </w:t>
      </w:r>
      <w:r>
        <w:rPr>
          <w:b/>
        </w:rPr>
        <w:t>RWII</w:t>
      </w:r>
      <w:r w:rsidRPr="003803EB">
        <w:rPr>
          <w:b/>
          <w:lang w:val="ru-RU"/>
        </w:rPr>
        <w:t>:</w:t>
      </w:r>
    </w:p>
    <w:p w14:paraId="2174ABBB" w14:textId="77777777" w:rsidR="00EE1454" w:rsidRPr="003803EB" w:rsidRDefault="00000000">
      <w:pPr>
        <w:pStyle w:val="ListBullet"/>
        <w:spacing w:after="40"/>
        <w:rPr>
          <w:lang w:val="ru-RU"/>
        </w:rPr>
      </w:pPr>
      <w:r w:rsidRPr="003803EB">
        <w:rPr>
          <w:lang w:val="ru-RU"/>
        </w:rPr>
        <w:t xml:space="preserve">Обмеження </w:t>
      </w:r>
      <w:r>
        <w:t>RWII</w:t>
      </w:r>
      <w:r w:rsidRPr="003803EB">
        <w:rPr>
          <w:lang w:val="ru-RU"/>
        </w:rPr>
        <w:t xml:space="preserve"> на «місячну» частоту більше не є жорстким: у </w:t>
      </w:r>
      <w:r>
        <w:t>full</w:t>
      </w:r>
      <w:r w:rsidRPr="003803EB">
        <w:rPr>
          <w:lang w:val="ru-RU"/>
        </w:rPr>
        <w:t>_</w:t>
      </w:r>
      <w:r>
        <w:t>uah</w:t>
      </w:r>
      <w:r w:rsidRPr="003803EB">
        <w:rPr>
          <w:lang w:val="ru-RU"/>
        </w:rPr>
        <w:t>.</w:t>
      </w:r>
      <w:r>
        <w:t>xlsx</w:t>
      </w:r>
      <w:r w:rsidRPr="003803EB">
        <w:rPr>
          <w:lang w:val="ru-RU"/>
        </w:rPr>
        <w:t xml:space="preserve"> вже сформовано денні синтетичні ряди для </w:t>
      </w:r>
      <w:r>
        <w:t>Producer</w:t>
      </w:r>
      <w:r w:rsidRPr="003803EB">
        <w:rPr>
          <w:lang w:val="ru-RU"/>
        </w:rPr>
        <w:t>_</w:t>
      </w:r>
      <w:r>
        <w:t>UA</w:t>
      </w:r>
      <w:r w:rsidRPr="003803EB">
        <w:rPr>
          <w:lang w:val="ru-RU"/>
        </w:rPr>
        <w:t xml:space="preserve"> та </w:t>
      </w:r>
      <w:r>
        <w:t>Consumer</w:t>
      </w:r>
      <w:r w:rsidRPr="003803EB">
        <w:rPr>
          <w:lang w:val="ru-RU"/>
        </w:rPr>
        <w:t>_</w:t>
      </w:r>
      <w:r>
        <w:t>UA</w:t>
      </w:r>
      <w:r w:rsidRPr="003803EB">
        <w:rPr>
          <w:lang w:val="ru-RU"/>
        </w:rPr>
        <w:t xml:space="preserve">, плюс денні </w:t>
      </w:r>
      <w:r>
        <w:t>EU</w:t>
      </w:r>
      <w:r w:rsidRPr="003803EB">
        <w:rPr>
          <w:lang w:val="ru-RU"/>
        </w:rPr>
        <w:t xml:space="preserve">-ціни в </w:t>
      </w:r>
      <w:r>
        <w:t>UAH</w:t>
      </w:r>
      <w:r w:rsidRPr="003803EB">
        <w:rPr>
          <w:lang w:val="ru-RU"/>
        </w:rPr>
        <w:t>/кг.</w:t>
      </w:r>
    </w:p>
    <w:p w14:paraId="13ECFC27" w14:textId="77777777" w:rsidR="00EE1454" w:rsidRPr="003803EB" w:rsidRDefault="00000000">
      <w:pPr>
        <w:pStyle w:val="ListBullet"/>
        <w:spacing w:after="40"/>
        <w:rPr>
          <w:lang w:val="ru-RU"/>
        </w:rPr>
      </w:pPr>
      <w:r w:rsidRPr="003803EB">
        <w:rPr>
          <w:lang w:val="ru-RU"/>
        </w:rPr>
        <w:t>Додається окремий блок «</w:t>
      </w:r>
      <w:r>
        <w:t>Retail</w:t>
      </w:r>
      <w:r w:rsidRPr="003803EB">
        <w:rPr>
          <w:lang w:val="ru-RU"/>
        </w:rPr>
        <w:t xml:space="preserve"> </w:t>
      </w:r>
      <w:r>
        <w:t>prices</w:t>
      </w:r>
      <w:r w:rsidRPr="003803EB">
        <w:rPr>
          <w:lang w:val="ru-RU"/>
        </w:rPr>
        <w:t xml:space="preserve"> &amp; </w:t>
      </w:r>
      <w:r>
        <w:t>discounts</w:t>
      </w:r>
      <w:r w:rsidRPr="003803EB">
        <w:rPr>
          <w:lang w:val="ru-RU"/>
        </w:rPr>
        <w:t xml:space="preserve">»: </w:t>
      </w:r>
      <w:r>
        <w:t>Silpo</w:t>
      </w:r>
      <w:r w:rsidRPr="003803EB">
        <w:rPr>
          <w:lang w:val="ru-RU"/>
        </w:rPr>
        <w:t>/</w:t>
      </w:r>
      <w:r>
        <w:t>Novus</w:t>
      </w:r>
      <w:r w:rsidRPr="003803EB">
        <w:rPr>
          <w:lang w:val="ru-RU"/>
        </w:rPr>
        <w:t xml:space="preserve"> — не лише як кінцева ціна, а як механізм промо (ймовірність/тип/глибина знижки).</w:t>
      </w:r>
    </w:p>
    <w:p w14:paraId="05922822" w14:textId="77777777" w:rsidR="00EE1454" w:rsidRPr="003803EB" w:rsidRDefault="00000000">
      <w:pPr>
        <w:pStyle w:val="ListBullet"/>
        <w:spacing w:after="40"/>
        <w:rPr>
          <w:lang w:val="ru-RU"/>
        </w:rPr>
      </w:pPr>
      <w:r w:rsidRPr="003803EB">
        <w:rPr>
          <w:lang w:val="ru-RU"/>
        </w:rPr>
        <w:t>Матчинг продуктів потрібно формалізувати як «багато-до-одного» (</w:t>
      </w:r>
      <w:r>
        <w:t>EU</w:t>
      </w:r>
      <w:r w:rsidRPr="003803EB">
        <w:rPr>
          <w:lang w:val="ru-RU"/>
        </w:rPr>
        <w:t xml:space="preserve"> </w:t>
      </w:r>
      <w:r>
        <w:t>cheese</w:t>
      </w:r>
      <w:r w:rsidRPr="003803EB">
        <w:rPr>
          <w:lang w:val="ru-RU"/>
        </w:rPr>
        <w:t xml:space="preserve"> </w:t>
      </w:r>
      <w:r>
        <w:t>codes</w:t>
      </w:r>
      <w:r w:rsidRPr="003803EB">
        <w:rPr>
          <w:lang w:val="ru-RU"/>
        </w:rPr>
        <w:t xml:space="preserve"> → одна категорія </w:t>
      </w:r>
      <w:r>
        <w:t>UA</w:t>
      </w:r>
      <w:r w:rsidRPr="003803EB">
        <w:rPr>
          <w:lang w:val="ru-RU"/>
        </w:rPr>
        <w:t xml:space="preserve">) та обов’язково валідувати на помилках класифікації (у </w:t>
      </w:r>
      <w:r>
        <w:t>Silpo</w:t>
      </w:r>
      <w:r w:rsidRPr="003803EB">
        <w:rPr>
          <w:lang w:val="ru-RU"/>
        </w:rPr>
        <w:t xml:space="preserve"> вже видно хибні присвоєння).</w:t>
      </w:r>
    </w:p>
    <w:p w14:paraId="531A4A29" w14:textId="77777777" w:rsidR="00EE1454" w:rsidRPr="003803EB" w:rsidRDefault="00000000">
      <w:pPr>
        <w:pStyle w:val="ListBullet"/>
        <w:spacing w:after="40"/>
        <w:rPr>
          <w:lang w:val="ru-RU"/>
        </w:rPr>
      </w:pPr>
      <w:r w:rsidRPr="003803EB">
        <w:rPr>
          <w:lang w:val="ru-RU"/>
        </w:rPr>
        <w:t>Методологія має бути побудована у дві сходинки: (1) базові моделі на «чистих» цінах; (2) розширення: асиметрія, структурні злами/режими, промо-стратегія.</w:t>
      </w:r>
    </w:p>
    <w:p w14:paraId="329BEE5F" w14:textId="77777777" w:rsidR="00EE1454" w:rsidRPr="003803EB" w:rsidRDefault="00EE1454">
      <w:pPr>
        <w:rPr>
          <w:lang w:val="ru-RU"/>
        </w:rPr>
      </w:pPr>
    </w:p>
    <w:p w14:paraId="2314866F" w14:textId="77777777" w:rsidR="00EE1454" w:rsidRPr="003803EB" w:rsidRDefault="00000000">
      <w:pPr>
        <w:spacing w:line="264" w:lineRule="auto"/>
        <w:rPr>
          <w:lang w:val="ru-RU"/>
        </w:rPr>
      </w:pPr>
      <w:r w:rsidRPr="003803EB">
        <w:rPr>
          <w:b/>
          <w:sz w:val="28"/>
          <w:lang w:val="ru-RU"/>
        </w:rPr>
        <w:t xml:space="preserve">1. Дані у </w:t>
      </w:r>
      <w:r>
        <w:rPr>
          <w:b/>
          <w:sz w:val="28"/>
        </w:rPr>
        <w:t>full</w:t>
      </w:r>
      <w:r w:rsidRPr="003803EB">
        <w:rPr>
          <w:b/>
          <w:sz w:val="28"/>
          <w:lang w:val="ru-RU"/>
        </w:rPr>
        <w:t>_</w:t>
      </w:r>
      <w:r>
        <w:rPr>
          <w:b/>
          <w:sz w:val="28"/>
        </w:rPr>
        <w:t>uah</w:t>
      </w:r>
      <w:r w:rsidRPr="003803EB">
        <w:rPr>
          <w:b/>
          <w:sz w:val="28"/>
          <w:lang w:val="ru-RU"/>
        </w:rPr>
        <w:t>.</w:t>
      </w:r>
      <w:r>
        <w:rPr>
          <w:b/>
          <w:sz w:val="28"/>
        </w:rPr>
        <w:t>xlsx</w:t>
      </w:r>
      <w:r w:rsidRPr="003803EB">
        <w:rPr>
          <w:b/>
          <w:sz w:val="28"/>
          <w:lang w:val="ru-RU"/>
        </w:rPr>
        <w:t>: структура, частота, одиниці та ролі у моделях</w:t>
      </w:r>
    </w:p>
    <w:p w14:paraId="65761495" w14:textId="77777777" w:rsidR="00EE1454" w:rsidRPr="003803EB" w:rsidRDefault="00000000">
      <w:pPr>
        <w:spacing w:after="160"/>
        <w:jc w:val="both"/>
        <w:rPr>
          <w:lang w:val="ru-RU"/>
        </w:rPr>
      </w:pPr>
      <w:r>
        <w:t xml:space="preserve">Файл full_uah.xlsx містить шість аркушів (Europe, Producer_UA, Consumer_UA, Silpo, Novus, Prozorro). </w:t>
      </w:r>
      <w:r w:rsidRPr="003803EB">
        <w:rPr>
          <w:lang w:val="ru-RU"/>
        </w:rPr>
        <w:t xml:space="preserve">Після попереднього </w:t>
      </w:r>
      <w:r>
        <w:t>RWII</w:t>
      </w:r>
      <w:r w:rsidRPr="003803EB">
        <w:rPr>
          <w:lang w:val="ru-RU"/>
        </w:rPr>
        <w:t xml:space="preserve"> це принципово змінює «простір можливостей»: тепер базова емпірика може бути денна (або агрегована до тижня/місяця для робастності), а синтетичні ряди формуються прозоро й відтворювано.</w:t>
      </w:r>
    </w:p>
    <w:tbl>
      <w:tblPr>
        <w:tblW w:w="0" w:type="auto"/>
        <w:tblLook w:val="04A0" w:firstRow="1" w:lastRow="0" w:firstColumn="1" w:lastColumn="0" w:noHBand="0" w:noVBand="1"/>
      </w:tblPr>
      <w:tblGrid>
        <w:gridCol w:w="1231"/>
        <w:gridCol w:w="2481"/>
        <w:gridCol w:w="1355"/>
        <w:gridCol w:w="1343"/>
        <w:gridCol w:w="2446"/>
      </w:tblGrid>
      <w:tr w:rsidR="00EE1454" w14:paraId="70ABD3F4" w14:textId="77777777">
        <w:tc>
          <w:tcPr>
            <w:tcW w:w="1728" w:type="dxa"/>
          </w:tcPr>
          <w:p w14:paraId="7E00842C" w14:textId="77777777" w:rsidR="00EE1454" w:rsidRDefault="00000000">
            <w:pPr>
              <w:spacing w:after="40"/>
              <w:jc w:val="center"/>
            </w:pPr>
            <w:r>
              <w:rPr>
                <w:b/>
                <w:sz w:val="20"/>
              </w:rPr>
              <w:t>Аркуш</w:t>
            </w:r>
          </w:p>
        </w:tc>
        <w:tc>
          <w:tcPr>
            <w:tcW w:w="1728" w:type="dxa"/>
          </w:tcPr>
          <w:p w14:paraId="74DB8956" w14:textId="77777777" w:rsidR="00EE1454" w:rsidRDefault="00000000">
            <w:pPr>
              <w:spacing w:after="40"/>
              <w:jc w:val="center"/>
            </w:pPr>
            <w:r>
              <w:rPr>
                <w:b/>
                <w:sz w:val="20"/>
              </w:rPr>
              <w:t>Ключові змінні</w:t>
            </w:r>
          </w:p>
        </w:tc>
        <w:tc>
          <w:tcPr>
            <w:tcW w:w="1728" w:type="dxa"/>
          </w:tcPr>
          <w:p w14:paraId="2530A41A" w14:textId="77777777" w:rsidR="00EE1454" w:rsidRDefault="00000000">
            <w:pPr>
              <w:spacing w:after="40"/>
              <w:jc w:val="center"/>
            </w:pPr>
            <w:r>
              <w:rPr>
                <w:b/>
                <w:sz w:val="20"/>
              </w:rPr>
              <w:t>Частота/період</w:t>
            </w:r>
          </w:p>
        </w:tc>
        <w:tc>
          <w:tcPr>
            <w:tcW w:w="1728" w:type="dxa"/>
          </w:tcPr>
          <w:p w14:paraId="561436A9" w14:textId="77777777" w:rsidR="00EE1454" w:rsidRDefault="00000000">
            <w:pPr>
              <w:spacing w:after="40"/>
              <w:jc w:val="center"/>
            </w:pPr>
            <w:r>
              <w:rPr>
                <w:b/>
                <w:sz w:val="20"/>
              </w:rPr>
              <w:t>Одиниці</w:t>
            </w:r>
          </w:p>
        </w:tc>
        <w:tc>
          <w:tcPr>
            <w:tcW w:w="1728" w:type="dxa"/>
          </w:tcPr>
          <w:p w14:paraId="6081DA98" w14:textId="77777777" w:rsidR="00EE1454" w:rsidRDefault="00000000">
            <w:pPr>
              <w:spacing w:after="40"/>
              <w:jc w:val="center"/>
            </w:pPr>
            <w:r>
              <w:rPr>
                <w:b/>
                <w:sz w:val="20"/>
              </w:rPr>
              <w:t>Основна роль у дослідженні</w:t>
            </w:r>
          </w:p>
        </w:tc>
      </w:tr>
      <w:tr w:rsidR="00EE1454" w14:paraId="27DAD691" w14:textId="77777777">
        <w:tc>
          <w:tcPr>
            <w:tcW w:w="1728" w:type="dxa"/>
          </w:tcPr>
          <w:p w14:paraId="0AEF3693" w14:textId="77777777" w:rsidR="00EE1454" w:rsidRDefault="00000000">
            <w:pPr>
              <w:spacing w:after="40"/>
            </w:pPr>
            <w:r>
              <w:rPr>
                <w:sz w:val="20"/>
              </w:rPr>
              <w:t>Europe</w:t>
            </w:r>
          </w:p>
        </w:tc>
        <w:tc>
          <w:tcPr>
            <w:tcW w:w="1728" w:type="dxa"/>
          </w:tcPr>
          <w:p w14:paraId="160D4D58" w14:textId="77777777" w:rsidR="00EE1454" w:rsidRDefault="00000000">
            <w:pPr>
              <w:spacing w:after="40"/>
            </w:pPr>
            <w:r>
              <w:rPr>
                <w:sz w:val="20"/>
              </w:rPr>
              <w:t>date, Country, Product, Price (UAH/1kg), Price (EUR/100kg), FX_EURUAH</w:t>
            </w:r>
          </w:p>
        </w:tc>
        <w:tc>
          <w:tcPr>
            <w:tcW w:w="1728" w:type="dxa"/>
          </w:tcPr>
          <w:p w14:paraId="175CD554" w14:textId="77777777" w:rsidR="00EE1454" w:rsidRDefault="00000000">
            <w:pPr>
              <w:spacing w:after="40"/>
            </w:pPr>
            <w:r>
              <w:rPr>
                <w:sz w:val="20"/>
              </w:rPr>
              <w:t>денна; 2021‑12‑30 → 2026‑01‑15</w:t>
            </w:r>
          </w:p>
        </w:tc>
        <w:tc>
          <w:tcPr>
            <w:tcW w:w="1728" w:type="dxa"/>
          </w:tcPr>
          <w:p w14:paraId="5F70BF5F" w14:textId="77777777" w:rsidR="00EE1454" w:rsidRDefault="00000000">
            <w:pPr>
              <w:spacing w:after="40"/>
            </w:pPr>
            <w:r>
              <w:rPr>
                <w:sz w:val="20"/>
              </w:rPr>
              <w:t>UAH/кг (та EUR/100кг)</w:t>
            </w:r>
          </w:p>
        </w:tc>
        <w:tc>
          <w:tcPr>
            <w:tcW w:w="1728" w:type="dxa"/>
          </w:tcPr>
          <w:p w14:paraId="036A80C6" w14:textId="77777777" w:rsidR="00EE1454" w:rsidRDefault="00000000">
            <w:pPr>
              <w:spacing w:after="40"/>
            </w:pPr>
            <w:r>
              <w:rPr>
                <w:sz w:val="20"/>
              </w:rPr>
              <w:t>Зовнішній «якір» (EU) для індикатора синтетизації та зовнішніх шоків/інфляції; побудова «EU-basket» по країнах.</w:t>
            </w:r>
          </w:p>
        </w:tc>
      </w:tr>
      <w:tr w:rsidR="00EE1454" w14:paraId="1B2EC72E" w14:textId="77777777">
        <w:tc>
          <w:tcPr>
            <w:tcW w:w="1728" w:type="dxa"/>
          </w:tcPr>
          <w:p w14:paraId="116639B7" w14:textId="77777777" w:rsidR="00EE1454" w:rsidRDefault="00000000">
            <w:pPr>
              <w:spacing w:after="40"/>
            </w:pPr>
            <w:r>
              <w:rPr>
                <w:sz w:val="20"/>
              </w:rPr>
              <w:t>Producer_UA</w:t>
            </w:r>
          </w:p>
        </w:tc>
        <w:tc>
          <w:tcPr>
            <w:tcW w:w="1728" w:type="dxa"/>
          </w:tcPr>
          <w:p w14:paraId="19C0EE6F" w14:textId="77777777" w:rsidR="00EE1454" w:rsidRDefault="00000000">
            <w:pPr>
              <w:spacing w:after="40"/>
            </w:pPr>
            <w:r>
              <w:rPr>
                <w:sz w:val="20"/>
              </w:rPr>
              <w:t>date, ua_product, price_daily, price_linear, price_pchip, price_monthly, method</w:t>
            </w:r>
          </w:p>
        </w:tc>
        <w:tc>
          <w:tcPr>
            <w:tcW w:w="1728" w:type="dxa"/>
          </w:tcPr>
          <w:p w14:paraId="1987E0B5" w14:textId="77777777" w:rsidR="00EE1454" w:rsidRPr="003803EB" w:rsidRDefault="00000000">
            <w:pPr>
              <w:spacing w:after="40"/>
              <w:rPr>
                <w:lang w:val="ru-RU"/>
              </w:rPr>
            </w:pPr>
            <w:r w:rsidRPr="003803EB">
              <w:rPr>
                <w:sz w:val="20"/>
                <w:lang w:val="ru-RU"/>
              </w:rPr>
              <w:t xml:space="preserve">денна синтетична (узгоджена з місячною базою); ~2021‑02‑01 </w:t>
            </w:r>
            <w:r w:rsidRPr="003803EB">
              <w:rPr>
                <w:sz w:val="20"/>
                <w:lang w:val="ru-RU"/>
              </w:rPr>
              <w:lastRenderedPageBreak/>
              <w:t>→ 2025‑12‑29</w:t>
            </w:r>
          </w:p>
        </w:tc>
        <w:tc>
          <w:tcPr>
            <w:tcW w:w="1728" w:type="dxa"/>
          </w:tcPr>
          <w:p w14:paraId="0CC44511" w14:textId="77777777" w:rsidR="00EE1454" w:rsidRDefault="00000000">
            <w:pPr>
              <w:spacing w:after="40"/>
            </w:pPr>
            <w:r>
              <w:rPr>
                <w:sz w:val="20"/>
              </w:rPr>
              <w:lastRenderedPageBreak/>
              <w:t>UAH/кг</w:t>
            </w:r>
          </w:p>
        </w:tc>
        <w:tc>
          <w:tcPr>
            <w:tcW w:w="1728" w:type="dxa"/>
          </w:tcPr>
          <w:p w14:paraId="609A5153" w14:textId="77777777" w:rsidR="00EE1454" w:rsidRDefault="00000000">
            <w:pPr>
              <w:spacing w:after="40"/>
            </w:pPr>
            <w:r>
              <w:rPr>
                <w:sz w:val="20"/>
              </w:rPr>
              <w:t>Вхідний рівень ланцюга; довгострокова компонента (cointegration) та короткострокова динаміка (ECM/VECM).</w:t>
            </w:r>
          </w:p>
        </w:tc>
      </w:tr>
      <w:tr w:rsidR="00EE1454" w14:paraId="1ED5B89E" w14:textId="77777777">
        <w:tc>
          <w:tcPr>
            <w:tcW w:w="1728" w:type="dxa"/>
          </w:tcPr>
          <w:p w14:paraId="6C9BE402" w14:textId="77777777" w:rsidR="00EE1454" w:rsidRDefault="00000000">
            <w:pPr>
              <w:spacing w:after="40"/>
            </w:pPr>
            <w:r>
              <w:rPr>
                <w:sz w:val="20"/>
              </w:rPr>
              <w:t>Consumer_UA</w:t>
            </w:r>
          </w:p>
        </w:tc>
        <w:tc>
          <w:tcPr>
            <w:tcW w:w="1728" w:type="dxa"/>
          </w:tcPr>
          <w:p w14:paraId="338718B0" w14:textId="77777777" w:rsidR="00EE1454" w:rsidRDefault="00000000">
            <w:pPr>
              <w:spacing w:after="40"/>
            </w:pPr>
            <w:r>
              <w:rPr>
                <w:sz w:val="20"/>
              </w:rPr>
              <w:t>date, ua_product, price_daily, price_linear, price_pchip, price_monthly, method</w:t>
            </w:r>
          </w:p>
        </w:tc>
        <w:tc>
          <w:tcPr>
            <w:tcW w:w="1728" w:type="dxa"/>
          </w:tcPr>
          <w:p w14:paraId="60CAEA6F" w14:textId="77777777" w:rsidR="00EE1454" w:rsidRDefault="00000000">
            <w:pPr>
              <w:spacing w:after="40"/>
            </w:pPr>
            <w:r>
              <w:rPr>
                <w:sz w:val="20"/>
              </w:rPr>
              <w:t>денна синтетична; ~2021‑01‑01 → 2025‑12‑01</w:t>
            </w:r>
          </w:p>
        </w:tc>
        <w:tc>
          <w:tcPr>
            <w:tcW w:w="1728" w:type="dxa"/>
          </w:tcPr>
          <w:p w14:paraId="63907DA3" w14:textId="77777777" w:rsidR="00EE1454" w:rsidRDefault="00000000">
            <w:pPr>
              <w:spacing w:after="40"/>
            </w:pPr>
            <w:r>
              <w:rPr>
                <w:sz w:val="20"/>
              </w:rPr>
              <w:t>UAH/кг</w:t>
            </w:r>
          </w:p>
        </w:tc>
        <w:tc>
          <w:tcPr>
            <w:tcW w:w="1728" w:type="dxa"/>
          </w:tcPr>
          <w:p w14:paraId="3930C3D6" w14:textId="77777777" w:rsidR="00EE1454" w:rsidRDefault="00000000">
            <w:pPr>
              <w:spacing w:after="40"/>
            </w:pPr>
            <w:r>
              <w:rPr>
                <w:sz w:val="20"/>
              </w:rPr>
              <w:t>Вихідний рівень ланцюга; перевірка передачі з producer/retail; асиметрія реакції на зростання/падіння.</w:t>
            </w:r>
          </w:p>
        </w:tc>
      </w:tr>
      <w:tr w:rsidR="00EE1454" w14:paraId="3E6D4454" w14:textId="77777777">
        <w:tc>
          <w:tcPr>
            <w:tcW w:w="1728" w:type="dxa"/>
          </w:tcPr>
          <w:p w14:paraId="08185101" w14:textId="77777777" w:rsidR="00EE1454" w:rsidRDefault="00000000">
            <w:pPr>
              <w:spacing w:after="40"/>
            </w:pPr>
            <w:r>
              <w:rPr>
                <w:sz w:val="20"/>
              </w:rPr>
              <w:t>Silpo</w:t>
            </w:r>
          </w:p>
        </w:tc>
        <w:tc>
          <w:tcPr>
            <w:tcW w:w="1728" w:type="dxa"/>
          </w:tcPr>
          <w:p w14:paraId="27E85168" w14:textId="77777777" w:rsidR="00EE1454" w:rsidRDefault="00000000">
            <w:pPr>
              <w:spacing w:after="40"/>
            </w:pPr>
            <w:r>
              <w:rPr>
                <w:sz w:val="20"/>
              </w:rPr>
              <w:t>date, product_title, qty_std, unit_price, discount_value, price_type_regular/discount/bulk, Product (класифікація)</w:t>
            </w:r>
          </w:p>
        </w:tc>
        <w:tc>
          <w:tcPr>
            <w:tcW w:w="1728" w:type="dxa"/>
          </w:tcPr>
          <w:p w14:paraId="1687C58C" w14:textId="77777777" w:rsidR="00EE1454" w:rsidRDefault="00000000">
            <w:pPr>
              <w:spacing w:after="40"/>
            </w:pPr>
            <w:r>
              <w:rPr>
                <w:sz w:val="20"/>
              </w:rPr>
              <w:t>денна (SKU‑рівень); ~2021‑12‑27 → 2025‑12‑31</w:t>
            </w:r>
          </w:p>
        </w:tc>
        <w:tc>
          <w:tcPr>
            <w:tcW w:w="1728" w:type="dxa"/>
          </w:tcPr>
          <w:p w14:paraId="71B23943" w14:textId="77777777" w:rsidR="00EE1454" w:rsidRDefault="00000000">
            <w:pPr>
              <w:spacing w:after="40"/>
            </w:pPr>
            <w:r>
              <w:rPr>
                <w:sz w:val="20"/>
              </w:rPr>
              <w:t>UAH/кг (unit_price)</w:t>
            </w:r>
          </w:p>
        </w:tc>
        <w:tc>
          <w:tcPr>
            <w:tcW w:w="1728" w:type="dxa"/>
          </w:tcPr>
          <w:p w14:paraId="5D4BC263" w14:textId="77777777" w:rsidR="00EE1454" w:rsidRDefault="00000000">
            <w:pPr>
              <w:spacing w:after="40"/>
            </w:pPr>
            <w:r>
              <w:rPr>
                <w:sz w:val="20"/>
              </w:rPr>
              <w:t>Retail‑канал: регулярні ціни та промо‑механіка; моделі прогнозу ймовірності/типу/глибини знижок.</w:t>
            </w:r>
          </w:p>
        </w:tc>
      </w:tr>
      <w:tr w:rsidR="00EE1454" w:rsidRPr="003803EB" w14:paraId="2863C943" w14:textId="77777777">
        <w:tc>
          <w:tcPr>
            <w:tcW w:w="1728" w:type="dxa"/>
          </w:tcPr>
          <w:p w14:paraId="00E327BB" w14:textId="77777777" w:rsidR="00EE1454" w:rsidRDefault="00000000">
            <w:pPr>
              <w:spacing w:after="40"/>
            </w:pPr>
            <w:r>
              <w:rPr>
                <w:sz w:val="20"/>
              </w:rPr>
              <w:t>Novus</w:t>
            </w:r>
          </w:p>
        </w:tc>
        <w:tc>
          <w:tcPr>
            <w:tcW w:w="1728" w:type="dxa"/>
          </w:tcPr>
          <w:p w14:paraId="2577E2EA" w14:textId="77777777" w:rsidR="00EE1454" w:rsidRDefault="00000000">
            <w:pPr>
              <w:spacing w:after="40"/>
            </w:pPr>
            <w:r>
              <w:rPr>
                <w:sz w:val="20"/>
              </w:rPr>
              <w:t>date, product_title, qty_std, unit_price, discount_value, price_type_* , product (класифікація)</w:t>
            </w:r>
          </w:p>
        </w:tc>
        <w:tc>
          <w:tcPr>
            <w:tcW w:w="1728" w:type="dxa"/>
          </w:tcPr>
          <w:p w14:paraId="0348E468" w14:textId="77777777" w:rsidR="00EE1454" w:rsidRDefault="00000000">
            <w:pPr>
              <w:spacing w:after="40"/>
            </w:pPr>
            <w:r>
              <w:rPr>
                <w:sz w:val="20"/>
              </w:rPr>
              <w:t>денна (SKU‑рівень); ~2021‑12‑27 → 2025‑12‑31</w:t>
            </w:r>
          </w:p>
        </w:tc>
        <w:tc>
          <w:tcPr>
            <w:tcW w:w="1728" w:type="dxa"/>
          </w:tcPr>
          <w:p w14:paraId="1E6F2E01" w14:textId="77777777" w:rsidR="00EE1454" w:rsidRDefault="00000000">
            <w:pPr>
              <w:spacing w:after="40"/>
            </w:pPr>
            <w:r>
              <w:rPr>
                <w:sz w:val="20"/>
              </w:rPr>
              <w:t>UAH/кг (unit_price)</w:t>
            </w:r>
          </w:p>
        </w:tc>
        <w:tc>
          <w:tcPr>
            <w:tcW w:w="1728" w:type="dxa"/>
          </w:tcPr>
          <w:p w14:paraId="2A44B1C0" w14:textId="77777777" w:rsidR="00EE1454" w:rsidRPr="003803EB" w:rsidRDefault="00000000">
            <w:pPr>
              <w:spacing w:after="40"/>
              <w:rPr>
                <w:lang w:val="ru-RU"/>
              </w:rPr>
            </w:pPr>
            <w:r w:rsidRPr="003803EB">
              <w:rPr>
                <w:sz w:val="20"/>
                <w:lang w:val="ru-RU"/>
              </w:rPr>
              <w:t xml:space="preserve">Другий </w:t>
            </w:r>
            <w:r>
              <w:rPr>
                <w:sz w:val="20"/>
              </w:rPr>
              <w:t>retail</w:t>
            </w:r>
            <w:r w:rsidRPr="003803EB">
              <w:rPr>
                <w:sz w:val="20"/>
                <w:lang w:val="ru-RU"/>
              </w:rPr>
              <w:t>‑канал для валідації, конкурентного індикатора та робастності (</w:t>
            </w:r>
            <w:r>
              <w:rPr>
                <w:sz w:val="20"/>
              </w:rPr>
              <w:t>Silpo</w:t>
            </w:r>
            <w:r w:rsidRPr="003803EB">
              <w:rPr>
                <w:sz w:val="20"/>
                <w:lang w:val="ru-RU"/>
              </w:rPr>
              <w:t xml:space="preserve"> </w:t>
            </w:r>
            <w:r>
              <w:rPr>
                <w:sz w:val="20"/>
              </w:rPr>
              <w:t>vs</w:t>
            </w:r>
            <w:r w:rsidRPr="003803EB">
              <w:rPr>
                <w:sz w:val="20"/>
                <w:lang w:val="ru-RU"/>
              </w:rPr>
              <w:t xml:space="preserve"> </w:t>
            </w:r>
            <w:r>
              <w:rPr>
                <w:sz w:val="20"/>
              </w:rPr>
              <w:t>Novus</w:t>
            </w:r>
            <w:r w:rsidRPr="003803EB">
              <w:rPr>
                <w:sz w:val="20"/>
                <w:lang w:val="ru-RU"/>
              </w:rPr>
              <w:t>).</w:t>
            </w:r>
          </w:p>
        </w:tc>
      </w:tr>
      <w:tr w:rsidR="00EE1454" w14:paraId="5B8C5A19" w14:textId="77777777">
        <w:tc>
          <w:tcPr>
            <w:tcW w:w="1728" w:type="dxa"/>
          </w:tcPr>
          <w:p w14:paraId="172CDB82" w14:textId="77777777" w:rsidR="00EE1454" w:rsidRDefault="00000000">
            <w:pPr>
              <w:spacing w:after="40"/>
            </w:pPr>
            <w:r>
              <w:rPr>
                <w:sz w:val="20"/>
              </w:rPr>
              <w:t>Prozorro</w:t>
            </w:r>
          </w:p>
        </w:tc>
        <w:tc>
          <w:tcPr>
            <w:tcW w:w="1728" w:type="dxa"/>
          </w:tcPr>
          <w:p w14:paraId="2EEDC2FC" w14:textId="77777777" w:rsidR="00EE1454" w:rsidRDefault="00000000">
            <w:pPr>
              <w:spacing w:after="40"/>
            </w:pPr>
            <w:r>
              <w:rPr>
                <w:sz w:val="20"/>
              </w:rPr>
              <w:t>Date, profile_product, unit_price_uah, quantity, unit, region, supplier</w:t>
            </w:r>
          </w:p>
        </w:tc>
        <w:tc>
          <w:tcPr>
            <w:tcW w:w="1728" w:type="dxa"/>
          </w:tcPr>
          <w:p w14:paraId="725E1AF1" w14:textId="77777777" w:rsidR="00EE1454" w:rsidRDefault="00000000">
            <w:pPr>
              <w:spacing w:after="40"/>
            </w:pPr>
            <w:r>
              <w:rPr>
                <w:sz w:val="20"/>
              </w:rPr>
              <w:t>транзакційна; 2016‑01‑05 → 2025‑12‑18</w:t>
            </w:r>
          </w:p>
        </w:tc>
        <w:tc>
          <w:tcPr>
            <w:tcW w:w="1728" w:type="dxa"/>
          </w:tcPr>
          <w:p w14:paraId="1F3C8C7F" w14:textId="77777777" w:rsidR="00EE1454" w:rsidRDefault="00000000">
            <w:pPr>
              <w:spacing w:after="40"/>
            </w:pPr>
            <w:r>
              <w:rPr>
                <w:sz w:val="20"/>
              </w:rPr>
              <w:t>UAH/одиницю (потрібна стандартизація)</w:t>
            </w:r>
          </w:p>
        </w:tc>
        <w:tc>
          <w:tcPr>
            <w:tcW w:w="1728" w:type="dxa"/>
          </w:tcPr>
          <w:p w14:paraId="70E6A672" w14:textId="77777777" w:rsidR="00EE1454" w:rsidRDefault="00000000">
            <w:pPr>
              <w:spacing w:after="40"/>
            </w:pPr>
            <w:r>
              <w:rPr>
                <w:sz w:val="20"/>
              </w:rPr>
              <w:t>Додатковий ринок (procurement): альтернативний «організаційний» рівень ціни; контроль/інструмент/перевірка екстремумів.</w:t>
            </w:r>
          </w:p>
        </w:tc>
      </w:tr>
    </w:tbl>
    <w:p w14:paraId="3269667F" w14:textId="77777777" w:rsidR="00EE1454" w:rsidRDefault="00EE1454"/>
    <w:p w14:paraId="108DE1D1" w14:textId="77777777" w:rsidR="00EE1454" w:rsidRPr="003803EB" w:rsidRDefault="00000000">
      <w:pPr>
        <w:spacing w:line="264" w:lineRule="auto"/>
        <w:rPr>
          <w:lang w:val="ru-RU"/>
        </w:rPr>
      </w:pPr>
      <w:r w:rsidRPr="003803EB">
        <w:rPr>
          <w:b/>
          <w:sz w:val="28"/>
          <w:lang w:val="ru-RU"/>
        </w:rPr>
        <w:t>2. Матчинг продуктів між джерелами: стандартизований «словник» та контроль помилок</w:t>
      </w:r>
    </w:p>
    <w:p w14:paraId="2E1CD3F0" w14:textId="77777777" w:rsidR="00EE1454" w:rsidRPr="003803EB" w:rsidRDefault="00000000">
      <w:pPr>
        <w:spacing w:after="160"/>
        <w:jc w:val="both"/>
        <w:rPr>
          <w:lang w:val="ru-RU"/>
        </w:rPr>
      </w:pPr>
      <w:r w:rsidRPr="003803EB">
        <w:rPr>
          <w:lang w:val="ru-RU"/>
        </w:rPr>
        <w:t>Щоб об’єднати різні джерела в одну модель, потрібен єдиний стандарт «</w:t>
      </w:r>
      <w:r>
        <w:t>product</w:t>
      </w:r>
      <w:r w:rsidRPr="003803EB">
        <w:rPr>
          <w:lang w:val="ru-RU"/>
        </w:rPr>
        <w:t>_</w:t>
      </w:r>
      <w:r>
        <w:t>id</w:t>
      </w:r>
      <w:r w:rsidRPr="003803EB">
        <w:rPr>
          <w:lang w:val="ru-RU"/>
        </w:rPr>
        <w:t xml:space="preserve">». Нижче — оновлений словник, який додає </w:t>
      </w:r>
      <w:r>
        <w:t>Silpo</w:t>
      </w:r>
      <w:r w:rsidRPr="003803EB">
        <w:rPr>
          <w:lang w:val="ru-RU"/>
        </w:rPr>
        <w:t xml:space="preserve"> та </w:t>
      </w:r>
      <w:r>
        <w:t>Novus</w:t>
      </w:r>
      <w:r w:rsidRPr="003803EB">
        <w:rPr>
          <w:lang w:val="ru-RU"/>
        </w:rPr>
        <w:t xml:space="preserve"> до попереднього мапінгу. Ключовий принцип: у кожному джерелі ми визначаємо «основну сутність продукту» (</w:t>
      </w:r>
      <w:r>
        <w:t>standardized</w:t>
      </w:r>
      <w:r w:rsidRPr="003803EB">
        <w:rPr>
          <w:lang w:val="ru-RU"/>
        </w:rPr>
        <w:t xml:space="preserve"> </w:t>
      </w:r>
      <w:r>
        <w:t>type</w:t>
      </w:r>
      <w:r w:rsidRPr="003803EB">
        <w:rPr>
          <w:lang w:val="ru-RU"/>
        </w:rPr>
        <w:t>), а далі прив’язуємо до неї конкретні коди/назви колонок/значень.</w:t>
      </w:r>
    </w:p>
    <w:tbl>
      <w:tblPr>
        <w:tblW w:w="0" w:type="auto"/>
        <w:tblLook w:val="04A0" w:firstRow="1" w:lastRow="0" w:firstColumn="1" w:lastColumn="0" w:noHBand="0" w:noVBand="1"/>
      </w:tblPr>
      <w:tblGrid>
        <w:gridCol w:w="935"/>
        <w:gridCol w:w="1123"/>
        <w:gridCol w:w="1614"/>
        <w:gridCol w:w="1671"/>
        <w:gridCol w:w="1397"/>
        <w:gridCol w:w="1058"/>
        <w:gridCol w:w="1058"/>
      </w:tblGrid>
      <w:tr w:rsidR="00EE1454" w14:paraId="05E0FBE6" w14:textId="77777777">
        <w:tc>
          <w:tcPr>
            <w:tcW w:w="1234" w:type="dxa"/>
          </w:tcPr>
          <w:p w14:paraId="22FB5CD4" w14:textId="77777777" w:rsidR="00EE1454" w:rsidRDefault="00000000">
            <w:pPr>
              <w:spacing w:after="20"/>
              <w:jc w:val="center"/>
            </w:pPr>
            <w:r>
              <w:rPr>
                <w:b/>
                <w:sz w:val="18"/>
              </w:rPr>
              <w:t>Standardized type</w:t>
            </w:r>
          </w:p>
        </w:tc>
        <w:tc>
          <w:tcPr>
            <w:tcW w:w="1234" w:type="dxa"/>
          </w:tcPr>
          <w:p w14:paraId="2025052A" w14:textId="77777777" w:rsidR="00EE1454" w:rsidRDefault="00000000">
            <w:pPr>
              <w:spacing w:after="20"/>
              <w:jc w:val="center"/>
            </w:pPr>
            <w:r>
              <w:rPr>
                <w:b/>
                <w:sz w:val="18"/>
              </w:rPr>
              <w:t>Europe.Product (codes)</w:t>
            </w:r>
          </w:p>
        </w:tc>
        <w:tc>
          <w:tcPr>
            <w:tcW w:w="1234" w:type="dxa"/>
          </w:tcPr>
          <w:p w14:paraId="4743CF0F" w14:textId="77777777" w:rsidR="00EE1454" w:rsidRDefault="00000000">
            <w:pPr>
              <w:spacing w:after="20"/>
              <w:jc w:val="center"/>
            </w:pPr>
            <w:r>
              <w:rPr>
                <w:b/>
                <w:sz w:val="18"/>
              </w:rPr>
              <w:t>Producer_UA.ua_product</w:t>
            </w:r>
          </w:p>
        </w:tc>
        <w:tc>
          <w:tcPr>
            <w:tcW w:w="1234" w:type="dxa"/>
          </w:tcPr>
          <w:p w14:paraId="0F6B5223" w14:textId="77777777" w:rsidR="00EE1454" w:rsidRDefault="00000000">
            <w:pPr>
              <w:spacing w:after="20"/>
              <w:jc w:val="center"/>
            </w:pPr>
            <w:r>
              <w:rPr>
                <w:b/>
                <w:sz w:val="18"/>
              </w:rPr>
              <w:t>Consumer_UA.ua_product</w:t>
            </w:r>
          </w:p>
        </w:tc>
        <w:tc>
          <w:tcPr>
            <w:tcW w:w="1234" w:type="dxa"/>
          </w:tcPr>
          <w:p w14:paraId="233ABA78" w14:textId="77777777" w:rsidR="00EE1454" w:rsidRDefault="00000000">
            <w:pPr>
              <w:spacing w:after="20"/>
              <w:jc w:val="center"/>
            </w:pPr>
            <w:r>
              <w:rPr>
                <w:b/>
                <w:sz w:val="18"/>
              </w:rPr>
              <w:t>Prozorro profile</w:t>
            </w:r>
          </w:p>
        </w:tc>
        <w:tc>
          <w:tcPr>
            <w:tcW w:w="1234" w:type="dxa"/>
          </w:tcPr>
          <w:p w14:paraId="1F105873" w14:textId="77777777" w:rsidR="00EE1454" w:rsidRDefault="00000000">
            <w:pPr>
              <w:spacing w:after="20"/>
              <w:jc w:val="center"/>
            </w:pPr>
            <w:r>
              <w:rPr>
                <w:b/>
                <w:sz w:val="18"/>
              </w:rPr>
              <w:t>Silpo.Product</w:t>
            </w:r>
          </w:p>
        </w:tc>
        <w:tc>
          <w:tcPr>
            <w:tcW w:w="1234" w:type="dxa"/>
          </w:tcPr>
          <w:p w14:paraId="511DF8DC" w14:textId="77777777" w:rsidR="00EE1454" w:rsidRDefault="00000000">
            <w:pPr>
              <w:spacing w:after="20"/>
              <w:jc w:val="center"/>
            </w:pPr>
            <w:r>
              <w:rPr>
                <w:b/>
                <w:sz w:val="18"/>
              </w:rPr>
              <w:t>Novus.product</w:t>
            </w:r>
          </w:p>
        </w:tc>
      </w:tr>
      <w:tr w:rsidR="00EE1454" w14:paraId="4F568B23" w14:textId="77777777">
        <w:tc>
          <w:tcPr>
            <w:tcW w:w="1234" w:type="dxa"/>
          </w:tcPr>
          <w:p w14:paraId="232C5038" w14:textId="77777777" w:rsidR="00EE1454" w:rsidRDefault="00000000">
            <w:pPr>
              <w:spacing w:after="20"/>
            </w:pPr>
            <w:r>
              <w:rPr>
                <w:sz w:val="18"/>
              </w:rPr>
              <w:t>Milk (drinking / pasteurized)</w:t>
            </w:r>
          </w:p>
        </w:tc>
        <w:tc>
          <w:tcPr>
            <w:tcW w:w="1234" w:type="dxa"/>
          </w:tcPr>
          <w:p w14:paraId="760E2784" w14:textId="77777777" w:rsidR="00EE1454" w:rsidRDefault="00000000">
            <w:pPr>
              <w:spacing w:after="20"/>
            </w:pPr>
            <w:r>
              <w:rPr>
                <w:sz w:val="18"/>
              </w:rPr>
              <w:t>DRINKING MILK</w:t>
            </w:r>
          </w:p>
        </w:tc>
        <w:tc>
          <w:tcPr>
            <w:tcW w:w="1234" w:type="dxa"/>
          </w:tcPr>
          <w:p w14:paraId="180EF57B" w14:textId="77777777" w:rsidR="00EE1454" w:rsidRDefault="00000000">
            <w:pPr>
              <w:spacing w:after="20"/>
            </w:pPr>
            <w:r>
              <w:rPr>
                <w:sz w:val="18"/>
              </w:rPr>
              <w:t>Молоко рідке оброблене (…)</w:t>
            </w:r>
          </w:p>
        </w:tc>
        <w:tc>
          <w:tcPr>
            <w:tcW w:w="1234" w:type="dxa"/>
          </w:tcPr>
          <w:p w14:paraId="10EC3332" w14:textId="77777777" w:rsidR="00EE1454" w:rsidRPr="003803EB" w:rsidRDefault="00000000">
            <w:pPr>
              <w:spacing w:after="20"/>
              <w:rPr>
                <w:lang w:val="ru-RU"/>
              </w:rPr>
            </w:pPr>
            <w:r w:rsidRPr="003803EB">
              <w:rPr>
                <w:sz w:val="18"/>
                <w:lang w:val="ru-RU"/>
              </w:rPr>
              <w:t>Молоко пастеризоване жирністю до 2,6% включно</w:t>
            </w:r>
          </w:p>
        </w:tc>
        <w:tc>
          <w:tcPr>
            <w:tcW w:w="1234" w:type="dxa"/>
          </w:tcPr>
          <w:p w14:paraId="5074D1E4" w14:textId="77777777" w:rsidR="00EE1454" w:rsidRDefault="00000000">
            <w:pPr>
              <w:spacing w:after="20"/>
            </w:pPr>
            <w:r>
              <w:rPr>
                <w:sz w:val="18"/>
              </w:rPr>
              <w:t>Молоко питне</w:t>
            </w:r>
          </w:p>
        </w:tc>
        <w:tc>
          <w:tcPr>
            <w:tcW w:w="1234" w:type="dxa"/>
          </w:tcPr>
          <w:p w14:paraId="2CA4F1AB" w14:textId="77777777" w:rsidR="00EE1454" w:rsidRDefault="00000000">
            <w:pPr>
              <w:spacing w:after="20"/>
            </w:pPr>
            <w:r>
              <w:rPr>
                <w:sz w:val="18"/>
              </w:rPr>
              <w:t>Молоко питне</w:t>
            </w:r>
          </w:p>
        </w:tc>
        <w:tc>
          <w:tcPr>
            <w:tcW w:w="1234" w:type="dxa"/>
          </w:tcPr>
          <w:p w14:paraId="4ED7FECB" w14:textId="77777777" w:rsidR="00EE1454" w:rsidRDefault="00000000">
            <w:pPr>
              <w:spacing w:after="20"/>
            </w:pPr>
            <w:r>
              <w:rPr>
                <w:sz w:val="18"/>
              </w:rPr>
              <w:t>Молоко питне</w:t>
            </w:r>
          </w:p>
        </w:tc>
      </w:tr>
      <w:tr w:rsidR="00EE1454" w14:paraId="07C4A716" w14:textId="77777777">
        <w:tc>
          <w:tcPr>
            <w:tcW w:w="1234" w:type="dxa"/>
          </w:tcPr>
          <w:p w14:paraId="46248BF1" w14:textId="77777777" w:rsidR="00EE1454" w:rsidRDefault="00000000">
            <w:pPr>
              <w:spacing w:after="20"/>
            </w:pPr>
            <w:r>
              <w:rPr>
                <w:sz w:val="18"/>
              </w:rPr>
              <w:t>Cream</w:t>
            </w:r>
          </w:p>
        </w:tc>
        <w:tc>
          <w:tcPr>
            <w:tcW w:w="1234" w:type="dxa"/>
          </w:tcPr>
          <w:p w14:paraId="0319684F" w14:textId="77777777" w:rsidR="00EE1454" w:rsidRDefault="00000000">
            <w:pPr>
              <w:spacing w:after="20"/>
            </w:pPr>
            <w:r>
              <w:rPr>
                <w:sz w:val="18"/>
              </w:rPr>
              <w:t>CREAM</w:t>
            </w:r>
          </w:p>
        </w:tc>
        <w:tc>
          <w:tcPr>
            <w:tcW w:w="1234" w:type="dxa"/>
          </w:tcPr>
          <w:p w14:paraId="00C34451" w14:textId="77777777" w:rsidR="00EE1454" w:rsidRDefault="00000000">
            <w:pPr>
              <w:spacing w:after="20"/>
            </w:pPr>
            <w:r>
              <w:rPr>
                <w:sz w:val="18"/>
              </w:rPr>
              <w:t>—</w:t>
            </w:r>
          </w:p>
        </w:tc>
        <w:tc>
          <w:tcPr>
            <w:tcW w:w="1234" w:type="dxa"/>
          </w:tcPr>
          <w:p w14:paraId="5E2091F2" w14:textId="77777777" w:rsidR="00EE1454" w:rsidRDefault="00000000">
            <w:pPr>
              <w:spacing w:after="20"/>
            </w:pPr>
            <w:r>
              <w:rPr>
                <w:sz w:val="18"/>
              </w:rPr>
              <w:t>—</w:t>
            </w:r>
          </w:p>
        </w:tc>
        <w:tc>
          <w:tcPr>
            <w:tcW w:w="1234" w:type="dxa"/>
          </w:tcPr>
          <w:p w14:paraId="228BDC6F" w14:textId="77777777" w:rsidR="00EE1454" w:rsidRDefault="00000000">
            <w:pPr>
              <w:spacing w:after="20"/>
            </w:pPr>
            <w:r>
              <w:rPr>
                <w:sz w:val="18"/>
              </w:rPr>
              <w:t>Вершки</w:t>
            </w:r>
          </w:p>
        </w:tc>
        <w:tc>
          <w:tcPr>
            <w:tcW w:w="1234" w:type="dxa"/>
          </w:tcPr>
          <w:p w14:paraId="6A9447CB" w14:textId="77777777" w:rsidR="00EE1454" w:rsidRDefault="00000000">
            <w:pPr>
              <w:spacing w:after="20"/>
            </w:pPr>
            <w:r>
              <w:rPr>
                <w:sz w:val="18"/>
              </w:rPr>
              <w:t>Вершки</w:t>
            </w:r>
          </w:p>
        </w:tc>
        <w:tc>
          <w:tcPr>
            <w:tcW w:w="1234" w:type="dxa"/>
          </w:tcPr>
          <w:p w14:paraId="55931CCC" w14:textId="77777777" w:rsidR="00EE1454" w:rsidRDefault="00000000">
            <w:pPr>
              <w:spacing w:after="20"/>
            </w:pPr>
            <w:r>
              <w:rPr>
                <w:sz w:val="18"/>
              </w:rPr>
              <w:t>Вершки</w:t>
            </w:r>
          </w:p>
        </w:tc>
      </w:tr>
      <w:tr w:rsidR="00EE1454" w14:paraId="2AABAF69" w14:textId="77777777">
        <w:tc>
          <w:tcPr>
            <w:tcW w:w="1234" w:type="dxa"/>
          </w:tcPr>
          <w:p w14:paraId="1E4ABCD4" w14:textId="77777777" w:rsidR="00EE1454" w:rsidRDefault="00000000">
            <w:pPr>
              <w:spacing w:after="20"/>
            </w:pPr>
            <w:r>
              <w:rPr>
                <w:sz w:val="18"/>
              </w:rPr>
              <w:t>Sour cream</w:t>
            </w:r>
          </w:p>
        </w:tc>
        <w:tc>
          <w:tcPr>
            <w:tcW w:w="1234" w:type="dxa"/>
          </w:tcPr>
          <w:p w14:paraId="343ACF95" w14:textId="77777777" w:rsidR="00EE1454" w:rsidRDefault="00000000">
            <w:pPr>
              <w:spacing w:after="20"/>
            </w:pPr>
            <w:r>
              <w:rPr>
                <w:sz w:val="18"/>
              </w:rPr>
              <w:t>—</w:t>
            </w:r>
          </w:p>
        </w:tc>
        <w:tc>
          <w:tcPr>
            <w:tcW w:w="1234" w:type="dxa"/>
          </w:tcPr>
          <w:p w14:paraId="4F3A544E" w14:textId="77777777" w:rsidR="00EE1454" w:rsidRDefault="00000000">
            <w:pPr>
              <w:spacing w:after="20"/>
            </w:pPr>
            <w:r>
              <w:rPr>
                <w:sz w:val="18"/>
              </w:rPr>
              <w:t>Сметана</w:t>
            </w:r>
          </w:p>
        </w:tc>
        <w:tc>
          <w:tcPr>
            <w:tcW w:w="1234" w:type="dxa"/>
          </w:tcPr>
          <w:p w14:paraId="0BC111A0" w14:textId="77777777" w:rsidR="00EE1454" w:rsidRDefault="00000000">
            <w:pPr>
              <w:spacing w:after="20"/>
            </w:pPr>
            <w:r>
              <w:rPr>
                <w:sz w:val="18"/>
              </w:rPr>
              <w:t>Сметана жирністю до 15% включно</w:t>
            </w:r>
          </w:p>
        </w:tc>
        <w:tc>
          <w:tcPr>
            <w:tcW w:w="1234" w:type="dxa"/>
          </w:tcPr>
          <w:p w14:paraId="08CDE013" w14:textId="77777777" w:rsidR="00EE1454" w:rsidRDefault="00000000">
            <w:pPr>
              <w:spacing w:after="20"/>
            </w:pPr>
            <w:r>
              <w:rPr>
                <w:sz w:val="18"/>
              </w:rPr>
              <w:t>Сметана</w:t>
            </w:r>
          </w:p>
        </w:tc>
        <w:tc>
          <w:tcPr>
            <w:tcW w:w="1234" w:type="dxa"/>
          </w:tcPr>
          <w:p w14:paraId="5D19EE2D" w14:textId="77777777" w:rsidR="00EE1454" w:rsidRDefault="00000000">
            <w:pPr>
              <w:spacing w:after="20"/>
            </w:pPr>
            <w:r>
              <w:rPr>
                <w:sz w:val="18"/>
              </w:rPr>
              <w:t>Сметана</w:t>
            </w:r>
          </w:p>
        </w:tc>
        <w:tc>
          <w:tcPr>
            <w:tcW w:w="1234" w:type="dxa"/>
          </w:tcPr>
          <w:p w14:paraId="46D313CE" w14:textId="77777777" w:rsidR="00EE1454" w:rsidRDefault="00000000">
            <w:pPr>
              <w:spacing w:after="20"/>
            </w:pPr>
            <w:r>
              <w:rPr>
                <w:sz w:val="18"/>
              </w:rPr>
              <w:t>Сметана</w:t>
            </w:r>
          </w:p>
        </w:tc>
      </w:tr>
      <w:tr w:rsidR="00EE1454" w14:paraId="050DA9C6" w14:textId="77777777">
        <w:tc>
          <w:tcPr>
            <w:tcW w:w="1234" w:type="dxa"/>
          </w:tcPr>
          <w:p w14:paraId="1775265D" w14:textId="77777777" w:rsidR="00EE1454" w:rsidRDefault="00000000">
            <w:pPr>
              <w:spacing w:after="20"/>
            </w:pPr>
            <w:r>
              <w:rPr>
                <w:sz w:val="18"/>
              </w:rPr>
              <w:lastRenderedPageBreak/>
              <w:t>Butter</w:t>
            </w:r>
          </w:p>
        </w:tc>
        <w:tc>
          <w:tcPr>
            <w:tcW w:w="1234" w:type="dxa"/>
          </w:tcPr>
          <w:p w14:paraId="044D81C0" w14:textId="77777777" w:rsidR="00EE1454" w:rsidRDefault="00000000">
            <w:pPr>
              <w:spacing w:after="20"/>
            </w:pPr>
            <w:r>
              <w:rPr>
                <w:sz w:val="18"/>
              </w:rPr>
              <w:t>BUTTER</w:t>
            </w:r>
          </w:p>
        </w:tc>
        <w:tc>
          <w:tcPr>
            <w:tcW w:w="1234" w:type="dxa"/>
          </w:tcPr>
          <w:p w14:paraId="2C774C90" w14:textId="77777777" w:rsidR="00EE1454" w:rsidRPr="003803EB" w:rsidRDefault="00000000">
            <w:pPr>
              <w:spacing w:after="20"/>
              <w:rPr>
                <w:lang w:val="ru-RU"/>
              </w:rPr>
            </w:pPr>
            <w:r w:rsidRPr="003803EB">
              <w:rPr>
                <w:sz w:val="18"/>
                <w:lang w:val="ru-RU"/>
              </w:rPr>
              <w:t>Масло вершкове жирністю не більше 85%</w:t>
            </w:r>
          </w:p>
        </w:tc>
        <w:tc>
          <w:tcPr>
            <w:tcW w:w="1234" w:type="dxa"/>
          </w:tcPr>
          <w:p w14:paraId="77C0F16C" w14:textId="77777777" w:rsidR="00EE1454" w:rsidRDefault="00000000">
            <w:pPr>
              <w:spacing w:after="20"/>
            </w:pPr>
            <w:r>
              <w:rPr>
                <w:sz w:val="18"/>
              </w:rPr>
              <w:t>—</w:t>
            </w:r>
          </w:p>
        </w:tc>
        <w:tc>
          <w:tcPr>
            <w:tcW w:w="1234" w:type="dxa"/>
          </w:tcPr>
          <w:p w14:paraId="3FFAB685" w14:textId="77777777" w:rsidR="00EE1454" w:rsidRDefault="00000000">
            <w:pPr>
              <w:spacing w:after="20"/>
            </w:pPr>
            <w:r>
              <w:rPr>
                <w:sz w:val="18"/>
              </w:rPr>
              <w:t>Масло вершкове</w:t>
            </w:r>
          </w:p>
        </w:tc>
        <w:tc>
          <w:tcPr>
            <w:tcW w:w="1234" w:type="dxa"/>
          </w:tcPr>
          <w:p w14:paraId="1038D094" w14:textId="77777777" w:rsidR="00EE1454" w:rsidRDefault="00000000">
            <w:pPr>
              <w:spacing w:after="20"/>
            </w:pPr>
            <w:r>
              <w:rPr>
                <w:sz w:val="18"/>
              </w:rPr>
              <w:t>Масло вершкове</w:t>
            </w:r>
          </w:p>
        </w:tc>
        <w:tc>
          <w:tcPr>
            <w:tcW w:w="1234" w:type="dxa"/>
          </w:tcPr>
          <w:p w14:paraId="6EA68372" w14:textId="77777777" w:rsidR="00EE1454" w:rsidRDefault="00000000">
            <w:pPr>
              <w:spacing w:after="20"/>
            </w:pPr>
            <w:r>
              <w:rPr>
                <w:sz w:val="18"/>
              </w:rPr>
              <w:t>Масло вершкове</w:t>
            </w:r>
          </w:p>
        </w:tc>
      </w:tr>
      <w:tr w:rsidR="00EE1454" w:rsidRPr="003803EB" w14:paraId="65C39E49" w14:textId="77777777">
        <w:tc>
          <w:tcPr>
            <w:tcW w:w="1234" w:type="dxa"/>
          </w:tcPr>
          <w:p w14:paraId="7836C00E" w14:textId="77777777" w:rsidR="00EE1454" w:rsidRDefault="00000000">
            <w:pPr>
              <w:spacing w:after="20"/>
            </w:pPr>
            <w:r>
              <w:rPr>
                <w:sz w:val="18"/>
              </w:rPr>
              <w:t>Cheese (hard / semi-hard)</w:t>
            </w:r>
          </w:p>
        </w:tc>
        <w:tc>
          <w:tcPr>
            <w:tcW w:w="1234" w:type="dxa"/>
          </w:tcPr>
          <w:p w14:paraId="6772E2F4" w14:textId="77777777" w:rsidR="00EE1454" w:rsidRDefault="00000000">
            <w:pPr>
              <w:spacing w:after="20"/>
            </w:pPr>
            <w:r>
              <w:rPr>
                <w:sz w:val="18"/>
              </w:rPr>
              <w:t>CHEDDAR, EDAM, EMMENTAL, GOUDA</w:t>
            </w:r>
          </w:p>
        </w:tc>
        <w:tc>
          <w:tcPr>
            <w:tcW w:w="1234" w:type="dxa"/>
          </w:tcPr>
          <w:p w14:paraId="3D798CDF" w14:textId="77777777" w:rsidR="00EE1454" w:rsidRDefault="00000000">
            <w:pPr>
              <w:spacing w:after="20"/>
            </w:pPr>
            <w:r>
              <w:rPr>
                <w:sz w:val="18"/>
              </w:rPr>
              <w:t>Сир твердий</w:t>
            </w:r>
          </w:p>
        </w:tc>
        <w:tc>
          <w:tcPr>
            <w:tcW w:w="1234" w:type="dxa"/>
          </w:tcPr>
          <w:p w14:paraId="7B1E25DE" w14:textId="77777777" w:rsidR="00EE1454" w:rsidRDefault="00000000">
            <w:pPr>
              <w:spacing w:after="20"/>
            </w:pPr>
            <w:r>
              <w:rPr>
                <w:sz w:val="18"/>
              </w:rPr>
              <w:t>—</w:t>
            </w:r>
          </w:p>
        </w:tc>
        <w:tc>
          <w:tcPr>
            <w:tcW w:w="1234" w:type="dxa"/>
          </w:tcPr>
          <w:p w14:paraId="4E9FB434" w14:textId="77777777" w:rsidR="00EE1454" w:rsidRDefault="00000000">
            <w:pPr>
              <w:spacing w:after="20"/>
            </w:pPr>
            <w:r>
              <w:rPr>
                <w:sz w:val="18"/>
              </w:rPr>
              <w:t>Сир твердий/напівтвердий</w:t>
            </w:r>
          </w:p>
        </w:tc>
        <w:tc>
          <w:tcPr>
            <w:tcW w:w="1234" w:type="dxa"/>
          </w:tcPr>
          <w:p w14:paraId="5FD100C9" w14:textId="77777777" w:rsidR="00EE1454" w:rsidRPr="003803EB" w:rsidRDefault="00000000">
            <w:pPr>
              <w:spacing w:after="20"/>
              <w:rPr>
                <w:lang w:val="ru-RU"/>
              </w:rPr>
            </w:pPr>
            <w:r w:rsidRPr="003803EB">
              <w:rPr>
                <w:sz w:val="18"/>
                <w:lang w:val="ru-RU"/>
              </w:rPr>
              <w:t>(потрібно виділити з «Сир» за ключовими словами)</w:t>
            </w:r>
          </w:p>
        </w:tc>
        <w:tc>
          <w:tcPr>
            <w:tcW w:w="1234" w:type="dxa"/>
          </w:tcPr>
          <w:p w14:paraId="70180D50" w14:textId="77777777" w:rsidR="00EE1454" w:rsidRPr="003803EB" w:rsidRDefault="00000000">
            <w:pPr>
              <w:spacing w:after="20"/>
              <w:rPr>
                <w:lang w:val="ru-RU"/>
              </w:rPr>
            </w:pPr>
            <w:r w:rsidRPr="003803EB">
              <w:rPr>
                <w:sz w:val="18"/>
                <w:lang w:val="ru-RU"/>
              </w:rPr>
              <w:t>(потрібно виділити з «Сир» за ключовими словами)</w:t>
            </w:r>
          </w:p>
        </w:tc>
      </w:tr>
      <w:tr w:rsidR="00EE1454" w14:paraId="6EC77CA4" w14:textId="77777777">
        <w:tc>
          <w:tcPr>
            <w:tcW w:w="1234" w:type="dxa"/>
          </w:tcPr>
          <w:p w14:paraId="1C9C49D6" w14:textId="77777777" w:rsidR="00EE1454" w:rsidRDefault="00000000">
            <w:pPr>
              <w:spacing w:after="20"/>
            </w:pPr>
            <w:r>
              <w:rPr>
                <w:sz w:val="18"/>
              </w:rPr>
              <w:t>Cottage cheese (curd)</w:t>
            </w:r>
          </w:p>
        </w:tc>
        <w:tc>
          <w:tcPr>
            <w:tcW w:w="1234" w:type="dxa"/>
          </w:tcPr>
          <w:p w14:paraId="32C95F20" w14:textId="77777777" w:rsidR="00EE1454" w:rsidRDefault="00000000">
            <w:pPr>
              <w:spacing w:after="20"/>
            </w:pPr>
            <w:r>
              <w:rPr>
                <w:sz w:val="18"/>
              </w:rPr>
              <w:t>—</w:t>
            </w:r>
          </w:p>
        </w:tc>
        <w:tc>
          <w:tcPr>
            <w:tcW w:w="1234" w:type="dxa"/>
          </w:tcPr>
          <w:p w14:paraId="725313EE" w14:textId="77777777" w:rsidR="00EE1454" w:rsidRDefault="00000000">
            <w:pPr>
              <w:spacing w:after="20"/>
            </w:pPr>
            <w:r>
              <w:rPr>
                <w:sz w:val="18"/>
              </w:rPr>
              <w:t>—</w:t>
            </w:r>
          </w:p>
        </w:tc>
        <w:tc>
          <w:tcPr>
            <w:tcW w:w="1234" w:type="dxa"/>
          </w:tcPr>
          <w:p w14:paraId="78309256" w14:textId="77777777" w:rsidR="00EE1454" w:rsidRDefault="00000000">
            <w:pPr>
              <w:spacing w:after="20"/>
            </w:pPr>
            <w:r>
              <w:rPr>
                <w:sz w:val="18"/>
              </w:rPr>
              <w:t>—</w:t>
            </w:r>
          </w:p>
        </w:tc>
        <w:tc>
          <w:tcPr>
            <w:tcW w:w="1234" w:type="dxa"/>
          </w:tcPr>
          <w:p w14:paraId="7A6AD743" w14:textId="77777777" w:rsidR="00EE1454" w:rsidRDefault="00000000">
            <w:pPr>
              <w:spacing w:after="20"/>
            </w:pPr>
            <w:r>
              <w:rPr>
                <w:sz w:val="18"/>
              </w:rPr>
              <w:t>Сир кисломолочний</w:t>
            </w:r>
          </w:p>
        </w:tc>
        <w:tc>
          <w:tcPr>
            <w:tcW w:w="1234" w:type="dxa"/>
          </w:tcPr>
          <w:p w14:paraId="6FD12670" w14:textId="77777777" w:rsidR="00EE1454" w:rsidRDefault="00000000">
            <w:pPr>
              <w:spacing w:after="20"/>
            </w:pPr>
            <w:r>
              <w:rPr>
                <w:sz w:val="18"/>
              </w:rPr>
              <w:t>Сир кисломолочний</w:t>
            </w:r>
          </w:p>
        </w:tc>
        <w:tc>
          <w:tcPr>
            <w:tcW w:w="1234" w:type="dxa"/>
          </w:tcPr>
          <w:p w14:paraId="45BC95B1" w14:textId="77777777" w:rsidR="00EE1454" w:rsidRDefault="00000000">
            <w:pPr>
              <w:spacing w:after="20"/>
            </w:pPr>
            <w:r>
              <w:rPr>
                <w:sz w:val="18"/>
              </w:rPr>
              <w:t>Сир кисломолочний</w:t>
            </w:r>
          </w:p>
        </w:tc>
      </w:tr>
      <w:tr w:rsidR="00EE1454" w14:paraId="429DC31A" w14:textId="77777777">
        <w:tc>
          <w:tcPr>
            <w:tcW w:w="1234" w:type="dxa"/>
          </w:tcPr>
          <w:p w14:paraId="76059B82" w14:textId="77777777" w:rsidR="00EE1454" w:rsidRDefault="00000000">
            <w:pPr>
              <w:spacing w:after="20"/>
            </w:pPr>
            <w:r>
              <w:rPr>
                <w:sz w:val="18"/>
              </w:rPr>
              <w:t>Cheese (general retail, unspecified)</w:t>
            </w:r>
          </w:p>
        </w:tc>
        <w:tc>
          <w:tcPr>
            <w:tcW w:w="1234" w:type="dxa"/>
          </w:tcPr>
          <w:p w14:paraId="502BB4B3" w14:textId="77777777" w:rsidR="00EE1454" w:rsidRDefault="00000000">
            <w:pPr>
              <w:spacing w:after="20"/>
            </w:pPr>
            <w:r>
              <w:rPr>
                <w:sz w:val="18"/>
              </w:rPr>
              <w:t>—</w:t>
            </w:r>
          </w:p>
        </w:tc>
        <w:tc>
          <w:tcPr>
            <w:tcW w:w="1234" w:type="dxa"/>
          </w:tcPr>
          <w:p w14:paraId="37C01537" w14:textId="77777777" w:rsidR="00EE1454" w:rsidRDefault="00000000">
            <w:pPr>
              <w:spacing w:after="20"/>
            </w:pPr>
            <w:r>
              <w:rPr>
                <w:sz w:val="18"/>
              </w:rPr>
              <w:t>—</w:t>
            </w:r>
          </w:p>
        </w:tc>
        <w:tc>
          <w:tcPr>
            <w:tcW w:w="1234" w:type="dxa"/>
          </w:tcPr>
          <w:p w14:paraId="5EFA9ED1" w14:textId="77777777" w:rsidR="00EE1454" w:rsidRDefault="00000000">
            <w:pPr>
              <w:spacing w:after="20"/>
            </w:pPr>
            <w:r>
              <w:rPr>
                <w:sz w:val="18"/>
              </w:rPr>
              <w:t>Сири м’які жирні</w:t>
            </w:r>
          </w:p>
        </w:tc>
        <w:tc>
          <w:tcPr>
            <w:tcW w:w="1234" w:type="dxa"/>
          </w:tcPr>
          <w:p w14:paraId="4FABAED6" w14:textId="77777777" w:rsidR="00EE1454" w:rsidRDefault="00000000">
            <w:pPr>
              <w:spacing w:after="20"/>
            </w:pPr>
            <w:r>
              <w:rPr>
                <w:sz w:val="18"/>
              </w:rPr>
              <w:t>Сир</w:t>
            </w:r>
          </w:p>
        </w:tc>
        <w:tc>
          <w:tcPr>
            <w:tcW w:w="1234" w:type="dxa"/>
          </w:tcPr>
          <w:p w14:paraId="085F2BB3" w14:textId="77777777" w:rsidR="00EE1454" w:rsidRDefault="00000000">
            <w:pPr>
              <w:spacing w:after="20"/>
            </w:pPr>
            <w:r>
              <w:rPr>
                <w:sz w:val="18"/>
              </w:rPr>
              <w:t>Сир</w:t>
            </w:r>
          </w:p>
        </w:tc>
        <w:tc>
          <w:tcPr>
            <w:tcW w:w="1234" w:type="dxa"/>
          </w:tcPr>
          <w:p w14:paraId="461C3157" w14:textId="77777777" w:rsidR="00EE1454" w:rsidRDefault="00000000">
            <w:pPr>
              <w:spacing w:after="20"/>
            </w:pPr>
            <w:r>
              <w:rPr>
                <w:sz w:val="18"/>
              </w:rPr>
              <w:t>Сир</w:t>
            </w:r>
          </w:p>
        </w:tc>
      </w:tr>
      <w:tr w:rsidR="00EE1454" w14:paraId="38146FC8" w14:textId="77777777">
        <w:tc>
          <w:tcPr>
            <w:tcW w:w="1234" w:type="dxa"/>
          </w:tcPr>
          <w:p w14:paraId="395296E2" w14:textId="77777777" w:rsidR="00EE1454" w:rsidRDefault="00000000">
            <w:pPr>
              <w:spacing w:after="20"/>
            </w:pPr>
            <w:r>
              <w:rPr>
                <w:sz w:val="18"/>
              </w:rPr>
              <w:t>Milk powder (skim/whole)</w:t>
            </w:r>
          </w:p>
        </w:tc>
        <w:tc>
          <w:tcPr>
            <w:tcW w:w="1234" w:type="dxa"/>
          </w:tcPr>
          <w:p w14:paraId="30733F28" w14:textId="77777777" w:rsidR="00EE1454" w:rsidRDefault="00000000">
            <w:pPr>
              <w:spacing w:after="20"/>
            </w:pPr>
            <w:r>
              <w:rPr>
                <w:sz w:val="18"/>
              </w:rPr>
              <w:t>SMP, WMP</w:t>
            </w:r>
          </w:p>
        </w:tc>
        <w:tc>
          <w:tcPr>
            <w:tcW w:w="1234" w:type="dxa"/>
          </w:tcPr>
          <w:p w14:paraId="504AC051" w14:textId="77777777" w:rsidR="00EE1454" w:rsidRPr="003803EB" w:rsidRDefault="00000000">
            <w:pPr>
              <w:spacing w:after="20"/>
              <w:rPr>
                <w:lang w:val="ru-RU"/>
              </w:rPr>
            </w:pPr>
            <w:r w:rsidRPr="003803EB">
              <w:rPr>
                <w:sz w:val="18"/>
                <w:lang w:val="ru-RU"/>
              </w:rPr>
              <w:t>Молоко та вершки сухі знежирені</w:t>
            </w:r>
          </w:p>
        </w:tc>
        <w:tc>
          <w:tcPr>
            <w:tcW w:w="1234" w:type="dxa"/>
          </w:tcPr>
          <w:p w14:paraId="5EC0B4A6" w14:textId="77777777" w:rsidR="00EE1454" w:rsidRDefault="00000000">
            <w:pPr>
              <w:spacing w:after="20"/>
            </w:pPr>
            <w:r>
              <w:rPr>
                <w:sz w:val="18"/>
              </w:rPr>
              <w:t>—</w:t>
            </w:r>
          </w:p>
        </w:tc>
        <w:tc>
          <w:tcPr>
            <w:tcW w:w="1234" w:type="dxa"/>
          </w:tcPr>
          <w:p w14:paraId="21DF1A40" w14:textId="77777777" w:rsidR="00EE1454" w:rsidRDefault="00000000">
            <w:pPr>
              <w:spacing w:after="20"/>
            </w:pPr>
            <w:r>
              <w:rPr>
                <w:sz w:val="18"/>
              </w:rPr>
              <w:t>Молоко сухе</w:t>
            </w:r>
          </w:p>
        </w:tc>
        <w:tc>
          <w:tcPr>
            <w:tcW w:w="1234" w:type="dxa"/>
          </w:tcPr>
          <w:p w14:paraId="06FEC9D8" w14:textId="77777777" w:rsidR="00EE1454" w:rsidRDefault="00000000">
            <w:pPr>
              <w:spacing w:after="20"/>
            </w:pPr>
            <w:r>
              <w:rPr>
                <w:sz w:val="18"/>
              </w:rPr>
              <w:t>Молоко сухе</w:t>
            </w:r>
          </w:p>
        </w:tc>
        <w:tc>
          <w:tcPr>
            <w:tcW w:w="1234" w:type="dxa"/>
          </w:tcPr>
          <w:p w14:paraId="7792069B" w14:textId="77777777" w:rsidR="00EE1454" w:rsidRDefault="00000000">
            <w:pPr>
              <w:spacing w:after="20"/>
            </w:pPr>
            <w:r>
              <w:rPr>
                <w:sz w:val="18"/>
              </w:rPr>
              <w:t>Молоко сухе</w:t>
            </w:r>
          </w:p>
        </w:tc>
      </w:tr>
      <w:tr w:rsidR="00EE1454" w14:paraId="4BAF767C" w14:textId="77777777">
        <w:tc>
          <w:tcPr>
            <w:tcW w:w="1234" w:type="dxa"/>
          </w:tcPr>
          <w:p w14:paraId="03110EB9" w14:textId="77777777" w:rsidR="00EE1454" w:rsidRDefault="00000000">
            <w:pPr>
              <w:spacing w:after="20"/>
            </w:pPr>
            <w:r>
              <w:rPr>
                <w:sz w:val="18"/>
              </w:rPr>
              <w:t>Condensed milk</w:t>
            </w:r>
          </w:p>
        </w:tc>
        <w:tc>
          <w:tcPr>
            <w:tcW w:w="1234" w:type="dxa"/>
          </w:tcPr>
          <w:p w14:paraId="406E7220" w14:textId="77777777" w:rsidR="00EE1454" w:rsidRDefault="00000000">
            <w:pPr>
              <w:spacing w:after="20"/>
            </w:pPr>
            <w:r>
              <w:rPr>
                <w:sz w:val="18"/>
              </w:rPr>
              <w:t>—</w:t>
            </w:r>
          </w:p>
        </w:tc>
        <w:tc>
          <w:tcPr>
            <w:tcW w:w="1234" w:type="dxa"/>
          </w:tcPr>
          <w:p w14:paraId="681D01D4" w14:textId="77777777" w:rsidR="00EE1454" w:rsidRDefault="00000000">
            <w:pPr>
              <w:spacing w:after="20"/>
            </w:pPr>
            <w:r>
              <w:rPr>
                <w:sz w:val="18"/>
              </w:rPr>
              <w:t>—</w:t>
            </w:r>
          </w:p>
        </w:tc>
        <w:tc>
          <w:tcPr>
            <w:tcW w:w="1234" w:type="dxa"/>
          </w:tcPr>
          <w:p w14:paraId="3BDC0871" w14:textId="77777777" w:rsidR="00EE1454" w:rsidRDefault="00000000">
            <w:pPr>
              <w:spacing w:after="20"/>
            </w:pPr>
            <w:r>
              <w:rPr>
                <w:sz w:val="18"/>
              </w:rPr>
              <w:t>—</w:t>
            </w:r>
          </w:p>
        </w:tc>
        <w:tc>
          <w:tcPr>
            <w:tcW w:w="1234" w:type="dxa"/>
          </w:tcPr>
          <w:p w14:paraId="033CBC82" w14:textId="77777777" w:rsidR="00EE1454" w:rsidRDefault="00000000">
            <w:pPr>
              <w:spacing w:after="20"/>
            </w:pPr>
            <w:r>
              <w:rPr>
                <w:sz w:val="18"/>
              </w:rPr>
              <w:t>Молоко згущене</w:t>
            </w:r>
          </w:p>
        </w:tc>
        <w:tc>
          <w:tcPr>
            <w:tcW w:w="1234" w:type="dxa"/>
          </w:tcPr>
          <w:p w14:paraId="4C187874" w14:textId="77777777" w:rsidR="00EE1454" w:rsidRDefault="00000000">
            <w:pPr>
              <w:spacing w:after="20"/>
            </w:pPr>
            <w:r>
              <w:rPr>
                <w:sz w:val="18"/>
              </w:rPr>
              <w:t>Молоко згущене</w:t>
            </w:r>
          </w:p>
        </w:tc>
        <w:tc>
          <w:tcPr>
            <w:tcW w:w="1234" w:type="dxa"/>
          </w:tcPr>
          <w:p w14:paraId="61D1E0F1" w14:textId="77777777" w:rsidR="00EE1454" w:rsidRDefault="00000000">
            <w:pPr>
              <w:spacing w:after="20"/>
            </w:pPr>
            <w:r>
              <w:rPr>
                <w:sz w:val="18"/>
              </w:rPr>
              <w:t>Молоко згущене</w:t>
            </w:r>
          </w:p>
        </w:tc>
      </w:tr>
      <w:tr w:rsidR="00EE1454" w14:paraId="7569A069" w14:textId="77777777">
        <w:tc>
          <w:tcPr>
            <w:tcW w:w="1234" w:type="dxa"/>
          </w:tcPr>
          <w:p w14:paraId="25615355" w14:textId="77777777" w:rsidR="00EE1454" w:rsidRDefault="00000000">
            <w:pPr>
              <w:spacing w:after="20"/>
            </w:pPr>
            <w:r>
              <w:rPr>
                <w:sz w:val="18"/>
              </w:rPr>
              <w:t>Yogurt</w:t>
            </w:r>
          </w:p>
        </w:tc>
        <w:tc>
          <w:tcPr>
            <w:tcW w:w="1234" w:type="dxa"/>
          </w:tcPr>
          <w:p w14:paraId="21C6A704" w14:textId="77777777" w:rsidR="00EE1454" w:rsidRDefault="00000000">
            <w:pPr>
              <w:spacing w:after="20"/>
            </w:pPr>
            <w:r>
              <w:rPr>
                <w:sz w:val="18"/>
              </w:rPr>
              <w:t>—</w:t>
            </w:r>
          </w:p>
        </w:tc>
        <w:tc>
          <w:tcPr>
            <w:tcW w:w="1234" w:type="dxa"/>
          </w:tcPr>
          <w:p w14:paraId="5D0214B3" w14:textId="77777777" w:rsidR="00EE1454" w:rsidRPr="003803EB" w:rsidRDefault="00000000">
            <w:pPr>
              <w:spacing w:after="20"/>
              <w:rPr>
                <w:lang w:val="ru-RU"/>
              </w:rPr>
            </w:pPr>
            <w:r w:rsidRPr="003803EB">
              <w:rPr>
                <w:sz w:val="18"/>
                <w:lang w:val="ru-RU"/>
              </w:rPr>
              <w:t>Кефір (не збіг; див. «Інше»)</w:t>
            </w:r>
          </w:p>
        </w:tc>
        <w:tc>
          <w:tcPr>
            <w:tcW w:w="1234" w:type="dxa"/>
          </w:tcPr>
          <w:p w14:paraId="33E10579" w14:textId="77777777" w:rsidR="00EE1454" w:rsidRDefault="00000000">
            <w:pPr>
              <w:spacing w:after="20"/>
            </w:pPr>
            <w:r>
              <w:rPr>
                <w:sz w:val="18"/>
              </w:rPr>
              <w:t>—</w:t>
            </w:r>
          </w:p>
        </w:tc>
        <w:tc>
          <w:tcPr>
            <w:tcW w:w="1234" w:type="dxa"/>
          </w:tcPr>
          <w:p w14:paraId="5A9BC2C1" w14:textId="77777777" w:rsidR="00EE1454" w:rsidRDefault="00000000">
            <w:pPr>
              <w:spacing w:after="20"/>
            </w:pPr>
            <w:r>
              <w:rPr>
                <w:sz w:val="18"/>
              </w:rPr>
              <w:t>—</w:t>
            </w:r>
          </w:p>
        </w:tc>
        <w:tc>
          <w:tcPr>
            <w:tcW w:w="1234" w:type="dxa"/>
          </w:tcPr>
          <w:p w14:paraId="248B511D" w14:textId="77777777" w:rsidR="00EE1454" w:rsidRDefault="00000000">
            <w:pPr>
              <w:spacing w:after="20"/>
            </w:pPr>
            <w:r>
              <w:rPr>
                <w:sz w:val="18"/>
              </w:rPr>
              <w:t>Йогурт</w:t>
            </w:r>
          </w:p>
        </w:tc>
        <w:tc>
          <w:tcPr>
            <w:tcW w:w="1234" w:type="dxa"/>
          </w:tcPr>
          <w:p w14:paraId="0FB387B3" w14:textId="77777777" w:rsidR="00EE1454" w:rsidRDefault="00000000">
            <w:pPr>
              <w:spacing w:after="20"/>
            </w:pPr>
            <w:r>
              <w:rPr>
                <w:sz w:val="18"/>
              </w:rPr>
              <w:t>Йогурт</w:t>
            </w:r>
          </w:p>
        </w:tc>
      </w:tr>
      <w:tr w:rsidR="00EE1454" w14:paraId="40BEC362" w14:textId="77777777">
        <w:tc>
          <w:tcPr>
            <w:tcW w:w="1234" w:type="dxa"/>
          </w:tcPr>
          <w:p w14:paraId="703BD9CC" w14:textId="77777777" w:rsidR="00EE1454" w:rsidRDefault="00000000">
            <w:pPr>
              <w:spacing w:after="20"/>
            </w:pPr>
            <w:r>
              <w:rPr>
                <w:sz w:val="18"/>
              </w:rPr>
              <w:t>Eggs (non-dairy control)</w:t>
            </w:r>
          </w:p>
        </w:tc>
        <w:tc>
          <w:tcPr>
            <w:tcW w:w="1234" w:type="dxa"/>
          </w:tcPr>
          <w:p w14:paraId="431F587A" w14:textId="77777777" w:rsidR="00EE1454" w:rsidRDefault="00000000">
            <w:pPr>
              <w:spacing w:after="20"/>
            </w:pPr>
            <w:r>
              <w:rPr>
                <w:sz w:val="18"/>
              </w:rPr>
              <w:t>—</w:t>
            </w:r>
          </w:p>
        </w:tc>
        <w:tc>
          <w:tcPr>
            <w:tcW w:w="1234" w:type="dxa"/>
          </w:tcPr>
          <w:p w14:paraId="2492136B" w14:textId="77777777" w:rsidR="00EE1454" w:rsidRDefault="00000000">
            <w:pPr>
              <w:spacing w:after="20"/>
            </w:pPr>
            <w:r>
              <w:rPr>
                <w:sz w:val="18"/>
              </w:rPr>
              <w:t>—</w:t>
            </w:r>
          </w:p>
        </w:tc>
        <w:tc>
          <w:tcPr>
            <w:tcW w:w="1234" w:type="dxa"/>
          </w:tcPr>
          <w:p w14:paraId="12FFB435" w14:textId="77777777" w:rsidR="00EE1454" w:rsidRDefault="00000000">
            <w:pPr>
              <w:spacing w:after="20"/>
            </w:pPr>
            <w:r>
              <w:rPr>
                <w:sz w:val="18"/>
              </w:rPr>
              <w:t>—</w:t>
            </w:r>
          </w:p>
        </w:tc>
        <w:tc>
          <w:tcPr>
            <w:tcW w:w="1234" w:type="dxa"/>
          </w:tcPr>
          <w:p w14:paraId="76B121E7" w14:textId="77777777" w:rsidR="00EE1454" w:rsidRDefault="00000000">
            <w:pPr>
              <w:spacing w:after="20"/>
            </w:pPr>
            <w:r>
              <w:rPr>
                <w:sz w:val="18"/>
              </w:rPr>
              <w:t>Яйця курячі</w:t>
            </w:r>
          </w:p>
        </w:tc>
        <w:tc>
          <w:tcPr>
            <w:tcW w:w="1234" w:type="dxa"/>
          </w:tcPr>
          <w:p w14:paraId="046E9428" w14:textId="77777777" w:rsidR="00EE1454" w:rsidRDefault="00000000">
            <w:pPr>
              <w:spacing w:after="20"/>
            </w:pPr>
            <w:r>
              <w:rPr>
                <w:sz w:val="18"/>
              </w:rPr>
              <w:t>Яйця курячі</w:t>
            </w:r>
          </w:p>
        </w:tc>
        <w:tc>
          <w:tcPr>
            <w:tcW w:w="1234" w:type="dxa"/>
          </w:tcPr>
          <w:p w14:paraId="213671F7" w14:textId="77777777" w:rsidR="00EE1454" w:rsidRDefault="00000000">
            <w:pPr>
              <w:spacing w:after="20"/>
            </w:pPr>
            <w:r>
              <w:rPr>
                <w:sz w:val="18"/>
              </w:rPr>
              <w:t>Яйця курячі</w:t>
            </w:r>
          </w:p>
        </w:tc>
      </w:tr>
      <w:tr w:rsidR="00EE1454" w14:paraId="310001FB" w14:textId="77777777">
        <w:tc>
          <w:tcPr>
            <w:tcW w:w="1234" w:type="dxa"/>
          </w:tcPr>
          <w:p w14:paraId="715A5858" w14:textId="77777777" w:rsidR="00EE1454" w:rsidRDefault="00000000">
            <w:pPr>
              <w:spacing w:after="20"/>
            </w:pPr>
            <w:r>
              <w:rPr>
                <w:sz w:val="18"/>
              </w:rPr>
              <w:t>Інше / no matches</w:t>
            </w:r>
          </w:p>
        </w:tc>
        <w:tc>
          <w:tcPr>
            <w:tcW w:w="1234" w:type="dxa"/>
          </w:tcPr>
          <w:p w14:paraId="31FC2EB1" w14:textId="77777777" w:rsidR="00EE1454" w:rsidRDefault="00000000">
            <w:pPr>
              <w:spacing w:after="20"/>
            </w:pPr>
            <w:r>
              <w:rPr>
                <w:sz w:val="18"/>
              </w:rPr>
              <w:t>WHEYPOWDER</w:t>
            </w:r>
          </w:p>
        </w:tc>
        <w:tc>
          <w:tcPr>
            <w:tcW w:w="1234" w:type="dxa"/>
          </w:tcPr>
          <w:p w14:paraId="32980668" w14:textId="77777777" w:rsidR="00EE1454" w:rsidRDefault="00000000">
            <w:pPr>
              <w:spacing w:after="20"/>
            </w:pPr>
            <w:r>
              <w:rPr>
                <w:sz w:val="18"/>
              </w:rPr>
              <w:t>Кефір</w:t>
            </w:r>
          </w:p>
        </w:tc>
        <w:tc>
          <w:tcPr>
            <w:tcW w:w="1234" w:type="dxa"/>
          </w:tcPr>
          <w:p w14:paraId="0D3A8FE9" w14:textId="77777777" w:rsidR="00EE1454" w:rsidRDefault="00000000">
            <w:pPr>
              <w:spacing w:after="20"/>
            </w:pPr>
            <w:r>
              <w:rPr>
                <w:sz w:val="18"/>
              </w:rPr>
              <w:t>Сири м’які жирні</w:t>
            </w:r>
          </w:p>
        </w:tc>
        <w:tc>
          <w:tcPr>
            <w:tcW w:w="1234" w:type="dxa"/>
          </w:tcPr>
          <w:p w14:paraId="1AAFA61A" w14:textId="77777777" w:rsidR="00EE1454" w:rsidRDefault="00000000">
            <w:pPr>
              <w:spacing w:after="20"/>
            </w:pPr>
            <w:r>
              <w:rPr>
                <w:sz w:val="18"/>
              </w:rPr>
              <w:t>—</w:t>
            </w:r>
          </w:p>
        </w:tc>
        <w:tc>
          <w:tcPr>
            <w:tcW w:w="1234" w:type="dxa"/>
          </w:tcPr>
          <w:p w14:paraId="5F83FFB9" w14:textId="77777777" w:rsidR="00EE1454" w:rsidRDefault="00000000">
            <w:pPr>
              <w:spacing w:after="20"/>
            </w:pPr>
            <w:r>
              <w:rPr>
                <w:sz w:val="18"/>
              </w:rPr>
              <w:t>Інше</w:t>
            </w:r>
          </w:p>
        </w:tc>
        <w:tc>
          <w:tcPr>
            <w:tcW w:w="1234" w:type="dxa"/>
          </w:tcPr>
          <w:p w14:paraId="65F63299" w14:textId="77777777" w:rsidR="00EE1454" w:rsidRDefault="00000000">
            <w:pPr>
              <w:spacing w:after="20"/>
            </w:pPr>
            <w:r>
              <w:rPr>
                <w:sz w:val="18"/>
              </w:rPr>
              <w:t>Інше</w:t>
            </w:r>
          </w:p>
        </w:tc>
      </w:tr>
    </w:tbl>
    <w:p w14:paraId="6858D153" w14:textId="77777777" w:rsidR="00EE1454" w:rsidRDefault="00EE1454"/>
    <w:p w14:paraId="32634082" w14:textId="77777777" w:rsidR="00EE1454" w:rsidRPr="003803EB" w:rsidRDefault="00000000">
      <w:pPr>
        <w:spacing w:after="120"/>
        <w:rPr>
          <w:lang w:val="ru-RU"/>
        </w:rPr>
      </w:pPr>
      <w:r w:rsidRPr="003803EB">
        <w:rPr>
          <w:b/>
          <w:lang w:val="ru-RU"/>
        </w:rPr>
        <w:t xml:space="preserve">2.1. Критичний контроль якості мапінгу (важливо: у </w:t>
      </w:r>
      <w:r>
        <w:rPr>
          <w:b/>
        </w:rPr>
        <w:t>Silpo</w:t>
      </w:r>
      <w:r w:rsidRPr="003803EB">
        <w:rPr>
          <w:b/>
          <w:lang w:val="ru-RU"/>
        </w:rPr>
        <w:t>/</w:t>
      </w:r>
      <w:r>
        <w:rPr>
          <w:b/>
        </w:rPr>
        <w:t>Novus</w:t>
      </w:r>
      <w:r w:rsidRPr="003803EB">
        <w:rPr>
          <w:b/>
          <w:lang w:val="ru-RU"/>
        </w:rPr>
        <w:t xml:space="preserve"> уже видно помилки класифікації)</w:t>
      </w:r>
    </w:p>
    <w:p w14:paraId="24AE8F86" w14:textId="77777777" w:rsidR="00EE1454" w:rsidRPr="003803EB" w:rsidRDefault="00000000">
      <w:pPr>
        <w:spacing w:after="160"/>
        <w:jc w:val="both"/>
        <w:rPr>
          <w:lang w:val="ru-RU"/>
        </w:rPr>
      </w:pPr>
      <w:r w:rsidRPr="003803EB">
        <w:rPr>
          <w:lang w:val="ru-RU"/>
        </w:rPr>
        <w:t xml:space="preserve">У </w:t>
      </w:r>
      <w:r>
        <w:t>SKU</w:t>
      </w:r>
      <w:r w:rsidRPr="003803EB">
        <w:rPr>
          <w:lang w:val="ru-RU"/>
        </w:rPr>
        <w:t xml:space="preserve">‑даних </w:t>
      </w:r>
      <w:r>
        <w:t>Silpo</w:t>
      </w:r>
      <w:r w:rsidRPr="003803EB">
        <w:rPr>
          <w:lang w:val="ru-RU"/>
        </w:rPr>
        <w:t>/</w:t>
      </w:r>
      <w:r>
        <w:t>Novus</w:t>
      </w:r>
      <w:r w:rsidRPr="003803EB">
        <w:rPr>
          <w:lang w:val="ru-RU"/>
        </w:rPr>
        <w:t xml:space="preserve"> поле </w:t>
      </w:r>
      <w:r>
        <w:t>Product</w:t>
      </w:r>
      <w:r w:rsidRPr="003803EB">
        <w:rPr>
          <w:lang w:val="ru-RU"/>
        </w:rPr>
        <w:t xml:space="preserve">/ </w:t>
      </w:r>
      <w:r>
        <w:t>product</w:t>
      </w:r>
      <w:r w:rsidRPr="003803EB">
        <w:rPr>
          <w:lang w:val="ru-RU"/>
        </w:rPr>
        <w:t xml:space="preserve"> отримано автоматично (</w:t>
      </w:r>
      <w:r>
        <w:t>NLP</w:t>
      </w:r>
      <w:r w:rsidRPr="003803EB">
        <w:rPr>
          <w:lang w:val="ru-RU"/>
        </w:rPr>
        <w:t xml:space="preserve">‑правилами). У </w:t>
      </w:r>
      <w:r>
        <w:t>full</w:t>
      </w:r>
      <w:r w:rsidRPr="003803EB">
        <w:rPr>
          <w:lang w:val="ru-RU"/>
        </w:rPr>
        <w:t>_</w:t>
      </w:r>
      <w:r>
        <w:t>uah</w:t>
      </w:r>
      <w:r w:rsidRPr="003803EB">
        <w:rPr>
          <w:lang w:val="ru-RU"/>
        </w:rPr>
        <w:t>.</w:t>
      </w:r>
      <w:r>
        <w:t>xlsx</w:t>
      </w:r>
      <w:r w:rsidRPr="003803EB">
        <w:rPr>
          <w:lang w:val="ru-RU"/>
        </w:rPr>
        <w:t xml:space="preserve"> на перших же рядках видно типові помилки: напої типу «ряжанка» потрапляють у «Вершки», а «кефір» — у «Молоко питне». Це не косметика: такі помилки зламають оцінку передачі цін та моделі знижок, бо продукт‑ефект стане сумішшю різних ринків.</w:t>
      </w:r>
    </w:p>
    <w:p w14:paraId="57C4C86B" w14:textId="77777777" w:rsidR="00EE1454" w:rsidRPr="003803EB" w:rsidRDefault="00000000">
      <w:pPr>
        <w:pStyle w:val="ListBullet"/>
        <w:spacing w:after="40"/>
        <w:rPr>
          <w:lang w:val="ru-RU"/>
        </w:rPr>
      </w:pPr>
      <w:r w:rsidRPr="003803EB">
        <w:rPr>
          <w:lang w:val="ru-RU"/>
        </w:rPr>
        <w:t xml:space="preserve">Валідація 1 (лексична): частотна перевірка ключових токенів у </w:t>
      </w:r>
      <w:r>
        <w:t>product</w:t>
      </w:r>
      <w:r w:rsidRPr="003803EB">
        <w:rPr>
          <w:lang w:val="ru-RU"/>
        </w:rPr>
        <w:t>_</w:t>
      </w:r>
      <w:r>
        <w:t>title</w:t>
      </w:r>
      <w:r w:rsidRPr="003803EB">
        <w:rPr>
          <w:lang w:val="ru-RU"/>
        </w:rPr>
        <w:t xml:space="preserve"> проти присвоєного </w:t>
      </w:r>
      <w:r>
        <w:t>Product</w:t>
      </w:r>
      <w:r w:rsidRPr="003803EB">
        <w:rPr>
          <w:lang w:val="ru-RU"/>
        </w:rPr>
        <w:t xml:space="preserve"> (правило: «кефір» не може бути </w:t>
      </w:r>
      <w:r>
        <w:t>milk</w:t>
      </w:r>
      <w:r w:rsidRPr="003803EB">
        <w:rPr>
          <w:lang w:val="ru-RU"/>
        </w:rPr>
        <w:t>/</w:t>
      </w:r>
      <w:r>
        <w:t>cream</w:t>
      </w:r>
      <w:r w:rsidRPr="003803EB">
        <w:rPr>
          <w:lang w:val="ru-RU"/>
        </w:rPr>
        <w:t>).</w:t>
      </w:r>
    </w:p>
    <w:p w14:paraId="33498850" w14:textId="77777777" w:rsidR="00EE1454" w:rsidRPr="003803EB" w:rsidRDefault="00000000">
      <w:pPr>
        <w:pStyle w:val="ListBullet"/>
        <w:spacing w:after="40"/>
        <w:rPr>
          <w:lang w:val="ru-RU"/>
        </w:rPr>
      </w:pPr>
      <w:r w:rsidRPr="003803EB">
        <w:rPr>
          <w:lang w:val="ru-RU"/>
        </w:rPr>
        <w:t>Валідація 2 (ієрархія категорій): спочатку грубий клас (молочний напій / сир / масло), потім підклас (кефір/йогурт/ряжанка; твердий/м’який/кисломолочний).</w:t>
      </w:r>
    </w:p>
    <w:p w14:paraId="26FF3DEE" w14:textId="77777777" w:rsidR="00EE1454" w:rsidRPr="003803EB" w:rsidRDefault="00000000">
      <w:pPr>
        <w:pStyle w:val="ListBullet"/>
        <w:spacing w:after="40"/>
        <w:rPr>
          <w:lang w:val="ru-RU"/>
        </w:rPr>
      </w:pPr>
      <w:r w:rsidRPr="003803EB">
        <w:rPr>
          <w:lang w:val="ru-RU"/>
        </w:rPr>
        <w:t xml:space="preserve">Валідація 3 (цінова): якщо присвоєний клас має системно інший рівень </w:t>
      </w:r>
      <w:r>
        <w:t>unit</w:t>
      </w:r>
      <w:r w:rsidRPr="003803EB">
        <w:rPr>
          <w:lang w:val="ru-RU"/>
        </w:rPr>
        <w:t>_</w:t>
      </w:r>
      <w:r>
        <w:t>price</w:t>
      </w:r>
      <w:r w:rsidRPr="003803EB">
        <w:rPr>
          <w:lang w:val="ru-RU"/>
        </w:rPr>
        <w:t xml:space="preserve"> (наприклад, «вершки» </w:t>
      </w:r>
      <w:r>
        <w:t>vs</w:t>
      </w:r>
      <w:r w:rsidRPr="003803EB">
        <w:rPr>
          <w:lang w:val="ru-RU"/>
        </w:rPr>
        <w:t xml:space="preserve"> «ряжанка»), це сигнал помилки.</w:t>
      </w:r>
    </w:p>
    <w:p w14:paraId="28F79746" w14:textId="77777777" w:rsidR="00EE1454" w:rsidRPr="003803EB" w:rsidRDefault="00000000">
      <w:pPr>
        <w:pStyle w:val="ListBullet"/>
        <w:spacing w:after="40"/>
        <w:rPr>
          <w:lang w:val="ru-RU"/>
        </w:rPr>
      </w:pPr>
      <w:r w:rsidRPr="003803EB">
        <w:rPr>
          <w:lang w:val="ru-RU"/>
        </w:rPr>
        <w:lastRenderedPageBreak/>
        <w:t xml:space="preserve">Валідація 4 (перехресний рітейл): </w:t>
      </w:r>
      <w:r>
        <w:t>Silpo</w:t>
      </w:r>
      <w:r w:rsidRPr="003803EB">
        <w:rPr>
          <w:lang w:val="ru-RU"/>
        </w:rPr>
        <w:t xml:space="preserve"> </w:t>
      </w:r>
      <w:r>
        <w:t>vs</w:t>
      </w:r>
      <w:r w:rsidRPr="003803EB">
        <w:rPr>
          <w:lang w:val="ru-RU"/>
        </w:rPr>
        <w:t xml:space="preserve"> </w:t>
      </w:r>
      <w:r>
        <w:t>Novus</w:t>
      </w:r>
      <w:r w:rsidRPr="003803EB">
        <w:rPr>
          <w:lang w:val="ru-RU"/>
        </w:rPr>
        <w:t xml:space="preserve"> — для одного </w:t>
      </w:r>
      <w:r>
        <w:t>standard</w:t>
      </w:r>
      <w:r w:rsidRPr="003803EB">
        <w:rPr>
          <w:lang w:val="ru-RU"/>
        </w:rPr>
        <w:t xml:space="preserve"> </w:t>
      </w:r>
      <w:r>
        <w:t>type</w:t>
      </w:r>
      <w:r w:rsidRPr="003803EB">
        <w:rPr>
          <w:lang w:val="ru-RU"/>
        </w:rPr>
        <w:t xml:space="preserve"> медіани цін мають бути порівнювані; різкі «перевороти» означають неправильний матчинг.</w:t>
      </w:r>
    </w:p>
    <w:p w14:paraId="3D731AAB" w14:textId="77777777" w:rsidR="00EE1454" w:rsidRPr="003803EB" w:rsidRDefault="00EE1454">
      <w:pPr>
        <w:rPr>
          <w:lang w:val="ru-RU"/>
        </w:rPr>
      </w:pPr>
    </w:p>
    <w:p w14:paraId="03D2DB7B" w14:textId="77777777" w:rsidR="00EE1454" w:rsidRPr="003803EB" w:rsidRDefault="00000000">
      <w:pPr>
        <w:rPr>
          <w:lang w:val="ru-RU"/>
        </w:rPr>
      </w:pPr>
      <w:r w:rsidRPr="003803EB">
        <w:rPr>
          <w:b/>
          <w:sz w:val="28"/>
          <w:lang w:val="ru-RU"/>
        </w:rPr>
        <w:t>3. Синтетичні денні ряди: математичні підходи, вибір індикаторів та ризики</w:t>
      </w:r>
    </w:p>
    <w:p w14:paraId="4B3AAA7E" w14:textId="77777777" w:rsidR="00EE1454" w:rsidRPr="003803EB" w:rsidRDefault="00000000">
      <w:pPr>
        <w:spacing w:after="160"/>
        <w:jc w:val="both"/>
        <w:rPr>
          <w:lang w:val="ru-RU"/>
        </w:rPr>
      </w:pPr>
      <w:r w:rsidRPr="003803EB">
        <w:rPr>
          <w:lang w:val="ru-RU"/>
        </w:rPr>
        <w:t xml:space="preserve">У </w:t>
      </w:r>
      <w:r>
        <w:t>RWII</w:t>
      </w:r>
      <w:r w:rsidRPr="003803EB">
        <w:rPr>
          <w:lang w:val="ru-RU"/>
        </w:rPr>
        <w:t xml:space="preserve"> синтетизація була ідеєю «на потім», бо брак високої частоти змушував триматися місячних індексів. Тепер у </w:t>
      </w:r>
      <w:r>
        <w:t>full</w:t>
      </w:r>
      <w:r w:rsidRPr="003803EB">
        <w:rPr>
          <w:lang w:val="ru-RU"/>
        </w:rPr>
        <w:t>_</w:t>
      </w:r>
      <w:r>
        <w:t>uah</w:t>
      </w:r>
      <w:r w:rsidRPr="003803EB">
        <w:rPr>
          <w:lang w:val="ru-RU"/>
        </w:rPr>
        <w:t>.</w:t>
      </w:r>
      <w:r>
        <w:t>xlsx</w:t>
      </w:r>
      <w:r w:rsidRPr="003803EB">
        <w:rPr>
          <w:lang w:val="ru-RU"/>
        </w:rPr>
        <w:t xml:space="preserve"> денні ряди вже згенеровані (</w:t>
      </w:r>
      <w:r>
        <w:t>Producer</w:t>
      </w:r>
      <w:r w:rsidRPr="003803EB">
        <w:rPr>
          <w:lang w:val="ru-RU"/>
        </w:rPr>
        <w:t>_</w:t>
      </w:r>
      <w:r>
        <w:t>UA</w:t>
      </w:r>
      <w:r w:rsidRPr="003803EB">
        <w:rPr>
          <w:lang w:val="ru-RU"/>
        </w:rPr>
        <w:t xml:space="preserve"> та </w:t>
      </w:r>
      <w:r>
        <w:t>Consumer</w:t>
      </w:r>
      <w:r w:rsidRPr="003803EB">
        <w:rPr>
          <w:lang w:val="ru-RU"/>
        </w:rPr>
        <w:t>_</w:t>
      </w:r>
      <w:r>
        <w:t>UA</w:t>
      </w:r>
      <w:r w:rsidRPr="003803EB">
        <w:rPr>
          <w:lang w:val="ru-RU"/>
        </w:rPr>
        <w:t>), тому методологію треба описати чітко: (</w:t>
      </w:r>
      <w:r>
        <w:t>i</w:t>
      </w:r>
      <w:r w:rsidRPr="003803EB">
        <w:rPr>
          <w:lang w:val="ru-RU"/>
        </w:rPr>
        <w:t>) як отримано денний профіль з місячної бази, (</w:t>
      </w:r>
      <w:r>
        <w:t>ii</w:t>
      </w:r>
      <w:r w:rsidRPr="003803EB">
        <w:rPr>
          <w:lang w:val="ru-RU"/>
        </w:rPr>
        <w:t>) як гарантується узгодженість з оригінальною серією, та (</w:t>
      </w:r>
      <w:r>
        <w:t>iii</w:t>
      </w:r>
      <w:r w:rsidRPr="003803EB">
        <w:rPr>
          <w:lang w:val="ru-RU"/>
        </w:rPr>
        <w:t>) як контролюється «штучність» сигналу.</w:t>
      </w:r>
    </w:p>
    <w:p w14:paraId="24AB6F14" w14:textId="77777777" w:rsidR="00EE1454" w:rsidRPr="003803EB" w:rsidRDefault="00000000">
      <w:pPr>
        <w:spacing w:after="80"/>
        <w:rPr>
          <w:lang w:val="ru-RU"/>
        </w:rPr>
      </w:pPr>
      <w:r w:rsidRPr="003803EB">
        <w:rPr>
          <w:b/>
          <w:lang w:val="ru-RU"/>
        </w:rPr>
        <w:t xml:space="preserve">3.1. Приведення </w:t>
      </w:r>
      <w:r>
        <w:rPr>
          <w:b/>
        </w:rPr>
        <w:t>EU</w:t>
      </w:r>
      <w:r w:rsidRPr="003803EB">
        <w:rPr>
          <w:b/>
          <w:lang w:val="ru-RU"/>
        </w:rPr>
        <w:t xml:space="preserve"> цін до </w:t>
      </w:r>
      <w:r>
        <w:rPr>
          <w:b/>
        </w:rPr>
        <w:t>UAH</w:t>
      </w:r>
      <w:r w:rsidRPr="003803EB">
        <w:rPr>
          <w:b/>
          <w:lang w:val="ru-RU"/>
        </w:rPr>
        <w:t>/кг (стандарт для злиття):</w:t>
      </w:r>
    </w:p>
    <w:p w14:paraId="5FD11ACB" w14:textId="77777777" w:rsidR="00EE1454" w:rsidRDefault="00000000">
      <w:pPr>
        <w:spacing w:after="60"/>
        <w:ind w:left="432"/>
      </w:pPr>
      <w:r>
        <w:rPr>
          <w:rFonts w:ascii="Courier New" w:eastAsia="Courier New" w:hAnsi="Courier New"/>
          <w:sz w:val="20"/>
        </w:rPr>
        <w:t>Price_UAH_per_kg(t) = Price_EUR_per_100kg(t) × FX_EURUAH(t) / 100</w:t>
      </w:r>
    </w:p>
    <w:p w14:paraId="73FDD75A" w14:textId="77777777" w:rsidR="00EE1454" w:rsidRPr="003803EB" w:rsidRDefault="00000000">
      <w:pPr>
        <w:spacing w:after="160"/>
        <w:jc w:val="both"/>
        <w:rPr>
          <w:lang w:val="ru-RU"/>
        </w:rPr>
      </w:pPr>
      <w:r w:rsidRPr="003803EB">
        <w:rPr>
          <w:lang w:val="ru-RU"/>
        </w:rPr>
        <w:t xml:space="preserve">Цей крок важливий, бо у моделях </w:t>
      </w:r>
      <w:r>
        <w:t>cointegration</w:t>
      </w:r>
      <w:r w:rsidRPr="003803EB">
        <w:rPr>
          <w:lang w:val="ru-RU"/>
        </w:rPr>
        <w:t>/</w:t>
      </w:r>
      <w:r>
        <w:t>ECM</w:t>
      </w:r>
      <w:r w:rsidRPr="003803EB">
        <w:rPr>
          <w:lang w:val="ru-RU"/>
        </w:rPr>
        <w:t xml:space="preserve"> масштаб має бути однаковим. У </w:t>
      </w:r>
      <w:r>
        <w:t>full</w:t>
      </w:r>
      <w:r w:rsidRPr="003803EB">
        <w:rPr>
          <w:lang w:val="ru-RU"/>
        </w:rPr>
        <w:t>_</w:t>
      </w:r>
      <w:r>
        <w:t>uah</w:t>
      </w:r>
      <w:r w:rsidRPr="003803EB">
        <w:rPr>
          <w:lang w:val="ru-RU"/>
        </w:rPr>
        <w:t>.</w:t>
      </w:r>
      <w:r>
        <w:t>xlsx</w:t>
      </w:r>
      <w:r w:rsidRPr="003803EB">
        <w:rPr>
          <w:lang w:val="ru-RU"/>
        </w:rPr>
        <w:t xml:space="preserve"> це вже зроблено: </w:t>
      </w:r>
      <w:r>
        <w:t>Europe</w:t>
      </w:r>
      <w:r w:rsidRPr="003803EB">
        <w:rPr>
          <w:lang w:val="ru-RU"/>
        </w:rPr>
        <w:t xml:space="preserve"> має і </w:t>
      </w:r>
      <w:r>
        <w:t>EUR</w:t>
      </w:r>
      <w:r w:rsidRPr="003803EB">
        <w:rPr>
          <w:lang w:val="ru-RU"/>
        </w:rPr>
        <w:t>/100</w:t>
      </w:r>
      <w:r>
        <w:t>kg</w:t>
      </w:r>
      <w:r w:rsidRPr="003803EB">
        <w:rPr>
          <w:lang w:val="ru-RU"/>
        </w:rPr>
        <w:t xml:space="preserve">, і </w:t>
      </w:r>
      <w:r>
        <w:t>FX</w:t>
      </w:r>
      <w:r w:rsidRPr="003803EB">
        <w:rPr>
          <w:lang w:val="ru-RU"/>
        </w:rPr>
        <w:t xml:space="preserve">, і </w:t>
      </w:r>
      <w:r>
        <w:t>UAH</w:t>
      </w:r>
      <w:r w:rsidRPr="003803EB">
        <w:rPr>
          <w:lang w:val="ru-RU"/>
        </w:rPr>
        <w:t>/кг.</w:t>
      </w:r>
    </w:p>
    <w:p w14:paraId="6C3B9054" w14:textId="77777777" w:rsidR="00EE1454" w:rsidRDefault="00000000">
      <w:pPr>
        <w:spacing w:after="80"/>
      </w:pPr>
      <w:r>
        <w:rPr>
          <w:b/>
        </w:rPr>
        <w:t>3.2. Побудова EU‑індикатора (basket) по країнах для кожного продукту:</w:t>
      </w:r>
    </w:p>
    <w:p w14:paraId="441CD14A" w14:textId="77777777" w:rsidR="00EE1454" w:rsidRDefault="00000000">
      <w:pPr>
        <w:spacing w:after="60"/>
        <w:ind w:left="432"/>
      </w:pPr>
      <w:r>
        <w:rPr>
          <w:rFonts w:ascii="Courier New" w:eastAsia="Courier New" w:hAnsi="Courier New"/>
          <w:sz w:val="20"/>
        </w:rPr>
        <w:t>P_EU,t(product) = Σ_c w_c(product) · P_{c,t}(product),   where Σ_c w_c = 1</w:t>
      </w:r>
    </w:p>
    <w:p w14:paraId="2095D794" w14:textId="77777777" w:rsidR="00EE1454" w:rsidRDefault="00000000">
      <w:pPr>
        <w:spacing w:after="120"/>
        <w:jc w:val="both"/>
      </w:pPr>
      <w:r>
        <w:t>Важливий вибір — як задати ваги w_c. Якщо мета — пояснити Україну через «зовнішні» ціни, ваги мають максимізувати узгодженість динаміки, а не лише відображати структуру торгівлі (яка може бути невідома або змінна). Практичний варіант, який узгоджується з ідеєю RWII про «синхронізацію трендів» — кореляційні ваги на приростах лог‑цін.</w:t>
      </w:r>
    </w:p>
    <w:p w14:paraId="2F7C1E7C" w14:textId="77777777" w:rsidR="00EE1454" w:rsidRDefault="00000000">
      <w:pPr>
        <w:spacing w:after="60"/>
        <w:ind w:left="432"/>
      </w:pPr>
      <w:r>
        <w:rPr>
          <w:rFonts w:ascii="Courier New" w:eastAsia="Courier New" w:hAnsi="Courier New"/>
          <w:sz w:val="20"/>
        </w:rPr>
        <w:t>w_c ∝ max(0, corr(Δln P_UA_monthly, Δln P_{c,monthly})) ,  w_c := w_c / Σ_c w_c</w:t>
      </w:r>
    </w:p>
    <w:p w14:paraId="47AA4D18" w14:textId="77777777" w:rsidR="00EE1454" w:rsidRDefault="00000000">
      <w:pPr>
        <w:spacing w:after="160"/>
        <w:jc w:val="both"/>
      </w:pPr>
      <w:r>
        <w:t>Ризик: кореляційні ваги можуть «підганяти» індикатор під Україну, якщо використовувати той самий період для оцінки моделі. Тому коректно: ваги оцінювати на тренувальному інтервалі (наприклад, 2022–2024), а моделі тестувати на hold‑out (2025).</w:t>
      </w:r>
    </w:p>
    <w:p w14:paraId="6B5C6796" w14:textId="77777777" w:rsidR="00EE1454" w:rsidRDefault="00000000">
      <w:pPr>
        <w:spacing w:after="80"/>
      </w:pPr>
      <w:r>
        <w:rPr>
          <w:b/>
        </w:rPr>
        <w:t>3.3. Темпоральна дизагрегація (місяць → день): Chow–Lin + Denton‑узгодження</w:t>
      </w:r>
    </w:p>
    <w:p w14:paraId="52FEC579" w14:textId="77777777" w:rsidR="00EE1454" w:rsidRDefault="00000000">
      <w:pPr>
        <w:spacing w:after="120"/>
        <w:jc w:val="both"/>
      </w:pPr>
      <w:r>
        <w:t>Концептуально: ми маємо місячну серію y_m (наприклад, producer price) та денний індикатор z_t (EU‑basket або retail regular). Потрібно відновити денний y_t так, щоб він (а) агрегувався назад у y_m, і (б) наслідував динаміку індикатора.</w:t>
      </w:r>
    </w:p>
    <w:p w14:paraId="12EAA706" w14:textId="77777777" w:rsidR="00EE1454" w:rsidRDefault="00000000">
      <w:pPr>
        <w:spacing w:after="60"/>
        <w:ind w:left="432"/>
      </w:pPr>
      <w:r>
        <w:rPr>
          <w:rFonts w:ascii="Courier New" w:eastAsia="Courier New" w:hAnsi="Courier New"/>
          <w:sz w:val="20"/>
        </w:rPr>
        <w:t>Step A (Chow–Lin):  y_m = A·y_d,   y_d = X_d β + u_d,   Cov(u_d) ~ AR(1)</w:t>
      </w:r>
    </w:p>
    <w:p w14:paraId="4F165284" w14:textId="77777777" w:rsidR="00EE1454" w:rsidRDefault="00000000">
      <w:pPr>
        <w:spacing w:after="60"/>
        <w:ind w:left="432"/>
      </w:pPr>
      <w:r>
        <w:rPr>
          <w:rFonts w:ascii="Courier New" w:eastAsia="Courier New" w:hAnsi="Courier New"/>
          <w:sz w:val="20"/>
        </w:rPr>
        <w:lastRenderedPageBreak/>
        <w:t>Step B (Denton proportional):  minimize Σ_t (Δ(y_d / z_d))^2  subject to A·y_d = y_m</w:t>
      </w:r>
    </w:p>
    <w:p w14:paraId="26687AC8" w14:textId="77777777" w:rsidR="00EE1454" w:rsidRDefault="00000000">
      <w:pPr>
        <w:spacing w:after="160"/>
        <w:jc w:val="both"/>
      </w:pPr>
      <w:r>
        <w:t>У full_uah.xlsx це відображено у полі method (наприклад: «corr-weights … → Chow-Lin y~z → Denton proportional»), а також у двох варіантах згладження: price_linear та price_pchip (монотонна кубічна інтерполяція). Рекомендація для основних оцінок: price_pchip (менше «перестрибувань»), для робастності — price_linear.</w:t>
      </w:r>
    </w:p>
    <w:p w14:paraId="113B028E" w14:textId="77777777" w:rsidR="00EE1454" w:rsidRDefault="00000000">
      <w:pPr>
        <w:spacing w:after="80"/>
      </w:pPr>
      <w:r>
        <w:rPr>
          <w:b/>
        </w:rPr>
        <w:t>3.4. Як включити Silpo/Novus у синтетизацію (те, чого RWII не враховував):</w:t>
      </w:r>
    </w:p>
    <w:p w14:paraId="1FDDC865" w14:textId="77777777" w:rsidR="00EE1454" w:rsidRDefault="00000000">
      <w:pPr>
        <w:spacing w:after="80"/>
        <w:jc w:val="both"/>
      </w:pPr>
      <w:r>
        <w:t>Найсильніший денний індикатор для споживчих цін — це retail regular price. Тому для Consumer_UA доцільно згенерувати альтернативну синтетичну серію на основі z_t = median(unit_price_regular) для відповідного продукту (Silpo/Novus), а EU‑basket лишити як зовнішній контроль.</w:t>
      </w:r>
    </w:p>
    <w:p w14:paraId="1A5D971F" w14:textId="77777777" w:rsidR="00EE1454" w:rsidRDefault="00000000">
      <w:pPr>
        <w:spacing w:after="60"/>
        <w:ind w:left="432"/>
      </w:pPr>
      <w:r>
        <w:rPr>
          <w:rFonts w:ascii="Courier New" w:eastAsia="Courier New" w:hAnsi="Courier New"/>
          <w:sz w:val="20"/>
        </w:rPr>
        <w:t>z_t = median_i(unit_price_{i,t} | price_type_regular=1, product_id fixed)</w:t>
      </w:r>
    </w:p>
    <w:p w14:paraId="137B3E3B" w14:textId="77777777" w:rsidR="00EE1454" w:rsidRDefault="00000000">
      <w:pPr>
        <w:spacing w:after="60"/>
        <w:ind w:left="432"/>
      </w:pPr>
      <w:r>
        <w:rPr>
          <w:rFonts w:ascii="Courier New" w:eastAsia="Courier New" w:hAnsi="Courier New"/>
          <w:sz w:val="20"/>
        </w:rPr>
        <w:t>y_d^{(retail)} = TD(y_m ; z_t)  (TD = temporal disaggregation pipeline above)</w:t>
      </w:r>
    </w:p>
    <w:p w14:paraId="7A0F1939" w14:textId="77777777" w:rsidR="00EE1454" w:rsidRDefault="00000000">
      <w:pPr>
        <w:jc w:val="both"/>
      </w:pPr>
      <w:r>
        <w:t>Практично це дає дві «версії світу»: EU‑керована та retail‑керована синтетика. Якщо результати передачі цін стійкі між ними — це сильний аргумент на користь валідності висновків; якщо різняться — це саме по собі результат про роль внутрішнього ринку/промо.</w:t>
      </w:r>
    </w:p>
    <w:p w14:paraId="30479DF6" w14:textId="77777777" w:rsidR="00EE1454" w:rsidRDefault="00000000">
      <w:r>
        <w:rPr>
          <w:b/>
          <w:sz w:val="28"/>
        </w:rPr>
        <w:t>4. Набір моделей для Master Thesis: від простих до складних (з тестами та діагностикою)</w:t>
      </w:r>
    </w:p>
    <w:p w14:paraId="4683C2C1" w14:textId="77777777" w:rsidR="00EE1454" w:rsidRDefault="00000000">
      <w:pPr>
        <w:spacing w:after="160"/>
        <w:jc w:val="both"/>
      </w:pPr>
      <w:r>
        <w:t>Нижче — «меню» моделей. Важливо не намагатися одразу запустити все; логіка RWII правильна: спочатку базовий причинно‑динамічний каркас, потім асиметрія/режими/промо.</w:t>
      </w:r>
    </w:p>
    <w:p w14:paraId="47D33E87" w14:textId="77777777" w:rsidR="00EE1454" w:rsidRDefault="00000000">
      <w:pPr>
        <w:spacing w:after="120"/>
      </w:pPr>
      <w:r>
        <w:rPr>
          <w:b/>
        </w:rPr>
        <w:t>4.1. Базова вертикальна передача (producer ↔ retail ↔ consumer): ECM / VECM</w:t>
      </w:r>
    </w:p>
    <w:p w14:paraId="0E12A7C6" w14:textId="77777777" w:rsidR="00EE1454" w:rsidRDefault="00000000">
      <w:pPr>
        <w:spacing w:after="120"/>
        <w:jc w:val="both"/>
      </w:pPr>
      <w:r>
        <w:t>Для кожного standardized type спочатку оцінюється довгостроковий зв’язок (cointegration), потім короткострокова динаміка через похибку рівноваги (error correction term). На денних даних критично: працювати у лог‑цінах (ln), вибирати лаги за AIC/BIC, та перевіряти залишки (autocorrelation/heteroskedasticity).</w:t>
      </w:r>
    </w:p>
    <w:p w14:paraId="7CBB0B87" w14:textId="77777777" w:rsidR="00EE1454" w:rsidRDefault="00000000">
      <w:pPr>
        <w:spacing w:after="60"/>
        <w:ind w:left="432"/>
      </w:pPr>
      <w:r>
        <w:rPr>
          <w:rFonts w:ascii="Courier New" w:eastAsia="Courier New" w:hAnsi="Courier New"/>
          <w:sz w:val="20"/>
        </w:rPr>
        <w:t>Long-run:  ln R_t = α + θ·ln P_t + ε_t   (R=retail, P=producer)</w:t>
      </w:r>
    </w:p>
    <w:p w14:paraId="2EB62784" w14:textId="77777777" w:rsidR="00EE1454" w:rsidRDefault="00000000">
      <w:pPr>
        <w:spacing w:after="60"/>
        <w:ind w:left="432"/>
      </w:pPr>
      <w:r>
        <w:rPr>
          <w:rFonts w:ascii="Courier New" w:eastAsia="Courier New" w:hAnsi="Courier New"/>
          <w:sz w:val="20"/>
        </w:rPr>
        <w:t>ECM:  Δln R_t = c + Σ_i β_i Δln P_{t-i} + Σ_j γ_j Δln R_{t-j} + λ·ε_{t-1} + u_t</w:t>
      </w:r>
    </w:p>
    <w:p w14:paraId="1D16B4F8" w14:textId="77777777" w:rsidR="00EE1454" w:rsidRDefault="00000000">
      <w:pPr>
        <w:spacing w:after="60"/>
        <w:ind w:left="432"/>
      </w:pPr>
      <w:r>
        <w:rPr>
          <w:rFonts w:ascii="Courier New" w:eastAsia="Courier New" w:hAnsi="Courier New"/>
          <w:sz w:val="20"/>
        </w:rPr>
        <w:t>VECM (system):  Δx_t = Π x_{t-1} + Σ_{k=1}^{p-1} Γ_k Δx_{t-k} + u_t,   x_t = [ln P_t, ln R_t, ln C_t]'</w:t>
      </w:r>
    </w:p>
    <w:p w14:paraId="0B29428C" w14:textId="77777777" w:rsidR="00EE1454" w:rsidRDefault="00000000">
      <w:pPr>
        <w:spacing w:after="160"/>
        <w:jc w:val="both"/>
      </w:pPr>
      <w:r>
        <w:t xml:space="preserve">Мінімальний набір тестів для цього блоку: (i) стаціонарність (ADF/KPSS), (ii) cointegration (Johansen або Engle–Granger як старт), (iii) автокореляція залишків </w:t>
      </w:r>
      <w:r>
        <w:lastRenderedPageBreak/>
        <w:t>(Portmanteau/Ljung–Box), (iv) ARCH‑ефекти, (v) стабільність параметрів (CUSUM/rolling).</w:t>
      </w:r>
    </w:p>
    <w:p w14:paraId="48EAAE08" w14:textId="77777777" w:rsidR="00EE1454" w:rsidRDefault="00000000">
      <w:pPr>
        <w:spacing w:after="120"/>
      </w:pPr>
      <w:r>
        <w:rPr>
          <w:b/>
        </w:rPr>
        <w:t>4.2. Асиметрія передачі (asymmetric price transmission): Threshold ECM / NARDL</w:t>
      </w:r>
    </w:p>
    <w:p w14:paraId="6E233315" w14:textId="77777777" w:rsidR="00EE1454" w:rsidRDefault="00000000">
      <w:pPr>
        <w:spacing w:after="120"/>
        <w:jc w:val="both"/>
      </w:pPr>
      <w:r>
        <w:t>Асиметрія може проявлятися як різна швидкість корекції до рівноваги після «позитивного» чи «негативного» шоку, або як різні короткострокові коефіцієнти на прирости цін. Це ядро вашої тези, тому блок має бути центральним.</w:t>
      </w:r>
    </w:p>
    <w:p w14:paraId="576BA616" w14:textId="77777777" w:rsidR="00EE1454" w:rsidRDefault="00000000">
      <w:pPr>
        <w:spacing w:after="60"/>
        <w:ind w:left="432"/>
      </w:pPr>
      <w:r>
        <w:rPr>
          <w:rFonts w:ascii="Courier New" w:eastAsia="Courier New" w:hAnsi="Courier New"/>
          <w:sz w:val="20"/>
        </w:rPr>
        <w:t>Threshold ECM (Enders–Siklos):</w:t>
      </w:r>
    </w:p>
    <w:p w14:paraId="57CF84C4" w14:textId="77777777" w:rsidR="00EE1454" w:rsidRDefault="00000000">
      <w:pPr>
        <w:spacing w:after="60"/>
        <w:ind w:left="432"/>
      </w:pPr>
      <w:r>
        <w:rPr>
          <w:rFonts w:ascii="Courier New" w:eastAsia="Courier New" w:hAnsi="Courier New"/>
          <w:sz w:val="20"/>
        </w:rPr>
        <w:t>Δy_t = … + ρ_+·I(e_{t-1} ≥ τ)·e_{t-1} + ρ_-·I(e_{t-1} &lt; τ)·e_{t-1} + u_t</w:t>
      </w:r>
    </w:p>
    <w:p w14:paraId="4F2526D3" w14:textId="77777777" w:rsidR="00EE1454" w:rsidRDefault="00000000">
      <w:pPr>
        <w:spacing w:after="60"/>
        <w:ind w:left="432"/>
      </w:pPr>
      <w:r>
        <w:rPr>
          <w:rFonts w:ascii="Courier New" w:eastAsia="Courier New" w:hAnsi="Courier New"/>
          <w:sz w:val="20"/>
        </w:rPr>
        <w:t>NARDL decomposition:</w:t>
      </w:r>
    </w:p>
    <w:p w14:paraId="5F4F3B67" w14:textId="77777777" w:rsidR="00EE1454" w:rsidRDefault="00000000">
      <w:pPr>
        <w:spacing w:after="60"/>
        <w:ind w:left="432"/>
      </w:pPr>
      <w:r>
        <w:rPr>
          <w:rFonts w:ascii="Courier New" w:eastAsia="Courier New" w:hAnsi="Courier New"/>
          <w:sz w:val="20"/>
        </w:rPr>
        <w:t>x_t = x_0 + x_t^+ + x_t^-;   x_t^+ = Σ_{j=1}^t max(Δx_j,0),   x_t^- = Σ_{j=1}^t min(Δx_j,0)</w:t>
      </w:r>
    </w:p>
    <w:p w14:paraId="7DA6B495" w14:textId="77777777" w:rsidR="00EE1454" w:rsidRDefault="00000000">
      <w:pPr>
        <w:spacing w:after="60"/>
        <w:ind w:left="432"/>
      </w:pPr>
      <w:r>
        <w:rPr>
          <w:rFonts w:ascii="Courier New" w:eastAsia="Courier New" w:hAnsi="Courier New"/>
          <w:sz w:val="20"/>
        </w:rPr>
        <w:t>Δy_t = … + π_+·x_{t-1}^+ + π_-·x_{t-1}^- + Σ φ_i Δx_{t-i}^+ + Σ ψ_i Δx_{t-i}^- + u_t</w:t>
      </w:r>
    </w:p>
    <w:p w14:paraId="7F6AB3FB" w14:textId="77777777" w:rsidR="00EE1454" w:rsidRDefault="00000000">
      <w:pPr>
        <w:jc w:val="both"/>
      </w:pPr>
      <w:r>
        <w:t>Практичний критерій вибору між Threshold ECM та NARDL: Threshold ECM добре інтерпретується як «дві швидкості корекції» (після overpricing/underpricing), NARDL — як «дві різні передавальні функції» для зростання та падіння. Для денних даних із промо‑шумом часто NARDL стабільніший; Threshold ECM сильний для інтерпретації ринкової влади/інерції.</w:t>
      </w:r>
    </w:p>
    <w:p w14:paraId="3B87AE21" w14:textId="77777777" w:rsidR="00EE1454" w:rsidRDefault="00000000">
      <w:pPr>
        <w:spacing w:after="120"/>
      </w:pPr>
      <w:r>
        <w:rPr>
          <w:b/>
        </w:rPr>
        <w:t>4.3. Нестабільність ринку та політики: злами, режими, час‑змінні коефіцієнти</w:t>
      </w:r>
    </w:p>
    <w:p w14:paraId="5F2FEAE6" w14:textId="77777777" w:rsidR="00EE1454" w:rsidRDefault="00000000">
      <w:pPr>
        <w:spacing w:after="120"/>
        <w:jc w:val="both"/>
      </w:pPr>
      <w:r>
        <w:t>Після 2022 року припущення «стабільної» передачі цін майже гарантовано хибне. Замість того, щоб «забути» про це у limitations, краще зробити це частиною дизайну: перевірити структурні злами та оцінити режимні моделі (наприклад, до/після шоку, або Markov switching). Цей підхід узгоджується з літературою про вплив нестабільності на механізми передачі.</w:t>
      </w:r>
    </w:p>
    <w:p w14:paraId="4C535B43" w14:textId="77777777" w:rsidR="00EE1454" w:rsidRDefault="00000000">
      <w:pPr>
        <w:spacing w:after="60"/>
        <w:ind w:left="432"/>
      </w:pPr>
      <w:r>
        <w:rPr>
          <w:rFonts w:ascii="Courier New" w:eastAsia="Courier New" w:hAnsi="Courier New"/>
          <w:sz w:val="20"/>
        </w:rPr>
        <w:t>Break tests: Zivot–Andrews (endogenous break in unit root), Bai–Perron (multiple breaks)</w:t>
      </w:r>
    </w:p>
    <w:p w14:paraId="34E0EDC9" w14:textId="77777777" w:rsidR="00EE1454" w:rsidRDefault="00000000">
      <w:pPr>
        <w:spacing w:after="60"/>
        <w:ind w:left="432"/>
      </w:pPr>
      <w:r>
        <w:rPr>
          <w:rFonts w:ascii="Courier New" w:eastAsia="Courier New" w:hAnsi="Courier New"/>
          <w:sz w:val="20"/>
        </w:rPr>
        <w:t>Regime switching (sketch):  Δx_t = Π(s_t) x_{t-1} + … ;   s_t follows Markov chain</w:t>
      </w:r>
    </w:p>
    <w:p w14:paraId="340F06B2" w14:textId="77777777" w:rsidR="00EE1454" w:rsidRDefault="00000000">
      <w:pPr>
        <w:spacing w:after="60"/>
        <w:ind w:left="432"/>
      </w:pPr>
      <w:r>
        <w:rPr>
          <w:rFonts w:ascii="Courier New" w:eastAsia="Courier New" w:hAnsi="Courier New"/>
          <w:sz w:val="20"/>
        </w:rPr>
        <w:t>Rolling/TVP: estimate ECM on rolling window W, track θ_t, λ_t over time</w:t>
      </w:r>
    </w:p>
    <w:p w14:paraId="3F80A9DD" w14:textId="77777777" w:rsidR="00EE1454" w:rsidRDefault="00000000">
      <w:pPr>
        <w:jc w:val="both"/>
      </w:pPr>
      <w:r>
        <w:t>Рекомендація для вашого кейсу: спочатку простий split‑sample (наприклад, 2021–2022 vs 2023–2025), потім rolling‑оцінки. Markov switching підключати лише якщо є чіткі докази двох режимів і достатньо довга серія для ідентифікації.</w:t>
      </w:r>
    </w:p>
    <w:p w14:paraId="46015CE6" w14:textId="77777777" w:rsidR="00EE1454" w:rsidRDefault="00000000">
      <w:pPr>
        <w:spacing w:after="120"/>
      </w:pPr>
      <w:r>
        <w:rPr>
          <w:b/>
        </w:rPr>
        <w:t>4.4. Прогнозування та оцінка якості (out‑of‑sample): що саме «рахувати»</w:t>
      </w:r>
    </w:p>
    <w:p w14:paraId="3D55C6AF" w14:textId="77777777" w:rsidR="00EE1454" w:rsidRDefault="00000000">
      <w:pPr>
        <w:spacing w:after="120"/>
        <w:jc w:val="both"/>
      </w:pPr>
      <w:r>
        <w:t xml:space="preserve">В RWII прогноз часто звучить як «додатково». На практиці для тези це сильна перевірка: якщо модель передачі цін добре відтворює динаміку на 2025 (поза </w:t>
      </w:r>
      <w:r>
        <w:lastRenderedPageBreak/>
        <w:t>тренуванням), вона не є лише описом. Для денних серій коректно робити прогноз на горизонти 7/14/30 днів з перекатним вікном.</w:t>
      </w:r>
    </w:p>
    <w:p w14:paraId="1EB40D54" w14:textId="77777777" w:rsidR="00EE1454" w:rsidRDefault="00000000">
      <w:pPr>
        <w:spacing w:after="60"/>
        <w:ind w:left="432"/>
      </w:pPr>
      <w:r>
        <w:rPr>
          <w:rFonts w:ascii="Courier New" w:eastAsia="Courier New" w:hAnsi="Courier New"/>
          <w:sz w:val="20"/>
        </w:rPr>
        <w:t>Metrics: RMSE, MAE, MAPE (обережно з MAPE), Diebold–Mariano test for forecast comparison</w:t>
      </w:r>
    </w:p>
    <w:p w14:paraId="7C701C9D" w14:textId="77777777" w:rsidR="00EE1454" w:rsidRDefault="00EE1454"/>
    <w:p w14:paraId="7406AFB7" w14:textId="77777777" w:rsidR="00EE1454" w:rsidRDefault="00000000">
      <w:r>
        <w:rPr>
          <w:b/>
          <w:sz w:val="28"/>
        </w:rPr>
        <w:t>5. Моделі знижок у Silpo: прогноз типу промо та фактори, що формують знижки</w:t>
      </w:r>
    </w:p>
    <w:p w14:paraId="3F8FE2E9" w14:textId="77777777" w:rsidR="00EE1454" w:rsidRDefault="00000000">
      <w:pPr>
        <w:spacing w:after="160"/>
        <w:jc w:val="both"/>
      </w:pPr>
      <w:r>
        <w:t>Дані Silpo вже містять бінарні індикатори price_type_regular / price_type_discount / price_type_bulk та величину discount_value. Це дає унікальний шар економічної інтерпретації: передача цін у retail не є гладкою — її «перерізає» промо‑політика. Тому коректно моделювати промо як окремий стохастичний процес, який залежить від базових цін, сезонності та зовнішніх шоків.</w:t>
      </w:r>
    </w:p>
    <w:p w14:paraId="0E00DFFC" w14:textId="77777777" w:rsidR="00EE1454" w:rsidRDefault="00000000">
      <w:pPr>
        <w:spacing w:after="120"/>
      </w:pPr>
      <w:r>
        <w:rPr>
          <w:b/>
        </w:rPr>
        <w:t>5.1. Базові змінні (feature engineering) для промо‑моделей</w:t>
      </w:r>
    </w:p>
    <w:p w14:paraId="529D8A22" w14:textId="77777777" w:rsidR="00EE1454" w:rsidRDefault="00000000">
      <w:pPr>
        <w:pStyle w:val="ListBullet"/>
        <w:spacing w:after="40"/>
      </w:pPr>
      <w:r>
        <w:t>Ціновий «gap» до рівноваги: e_{t-1} з ECM/VECM на регулярних цінах (показує, чи retail «перепрайсований» відносно producer).</w:t>
      </w:r>
    </w:p>
    <w:p w14:paraId="00C90E0D" w14:textId="77777777" w:rsidR="00EE1454" w:rsidRDefault="00000000">
      <w:pPr>
        <w:pStyle w:val="ListBullet"/>
        <w:spacing w:after="40"/>
      </w:pPr>
      <w:r>
        <w:t>Шок у producer / EU: Δln P_producer,t, Δln P_EU,t (короткі лаги 1–14 днів).</w:t>
      </w:r>
    </w:p>
    <w:p w14:paraId="3C2CB814" w14:textId="77777777" w:rsidR="00EE1454" w:rsidRDefault="00000000">
      <w:pPr>
        <w:pStyle w:val="ListBullet"/>
        <w:spacing w:after="40"/>
      </w:pPr>
      <w:r>
        <w:t>Конкурентний тиск: різниця регулярної ціни Silpo та Novus по тому ж product_id (або спред до медіани Novus).</w:t>
      </w:r>
    </w:p>
    <w:p w14:paraId="1A9EA951" w14:textId="77777777" w:rsidR="00EE1454" w:rsidRDefault="00000000">
      <w:pPr>
        <w:pStyle w:val="ListBullet"/>
        <w:spacing w:after="40"/>
      </w:pPr>
      <w:r>
        <w:t>Сезонність: день тижня, місяць, «свята» (Новый рік/Великдень) та місяць‑end ефекти.</w:t>
      </w:r>
    </w:p>
    <w:p w14:paraId="53D24365" w14:textId="77777777" w:rsidR="00EE1454" w:rsidRDefault="00000000">
      <w:pPr>
        <w:pStyle w:val="ListBullet"/>
        <w:spacing w:after="40"/>
      </w:pPr>
      <w:r>
        <w:t>SKU‑фактори: бренд, жирність, упаковка (qty_std), «преміумність» (можна через середній рівень ціни бренду).</w:t>
      </w:r>
    </w:p>
    <w:p w14:paraId="447051A8" w14:textId="77777777" w:rsidR="00EE1454" w:rsidRDefault="00000000">
      <w:pPr>
        <w:pStyle w:val="ListBullet"/>
        <w:spacing w:after="40"/>
      </w:pPr>
      <w:r>
        <w:t>Інерція промо: час від останньої знижки; кількість знижок за останні 30 днів (promo fatigue / cycle).</w:t>
      </w:r>
    </w:p>
    <w:p w14:paraId="23F97D50" w14:textId="77777777" w:rsidR="00EE1454" w:rsidRDefault="00EE1454"/>
    <w:p w14:paraId="35493364" w14:textId="77777777" w:rsidR="00EE1454" w:rsidRDefault="00000000">
      <w:pPr>
        <w:spacing w:after="120"/>
      </w:pPr>
      <w:r>
        <w:rPr>
          <w:b/>
        </w:rPr>
        <w:t>5.2. Прогноз ймовірності знижки (discount vs regular): логіт/пробіт або panel logit</w:t>
      </w:r>
    </w:p>
    <w:p w14:paraId="54454830" w14:textId="77777777" w:rsidR="00EE1454" w:rsidRDefault="00000000">
      <w:pPr>
        <w:spacing w:after="60"/>
        <w:ind w:left="432"/>
      </w:pPr>
      <w:r>
        <w:rPr>
          <w:rFonts w:ascii="Courier New" w:eastAsia="Courier New" w:hAnsi="Courier New"/>
          <w:sz w:val="20"/>
        </w:rPr>
        <w:t>D_{i,t} ∈ {0,1}  (1 якщо price_type_discount=1)</w:t>
      </w:r>
    </w:p>
    <w:p w14:paraId="00EF3082" w14:textId="77777777" w:rsidR="00EE1454" w:rsidRDefault="00000000">
      <w:pPr>
        <w:spacing w:after="60"/>
        <w:ind w:left="432"/>
      </w:pPr>
      <w:r>
        <w:rPr>
          <w:rFonts w:ascii="Courier New" w:eastAsia="Courier New" w:hAnsi="Courier New"/>
          <w:sz w:val="20"/>
        </w:rPr>
        <w:t>Pr(D_{i,t}=1) = logit^{-1}( α_i + β'X_{i,t} )   (α_i = SKU fixed effect або random effect)</w:t>
      </w:r>
    </w:p>
    <w:p w14:paraId="7324A13F" w14:textId="77777777" w:rsidR="00EE1454" w:rsidRDefault="00000000">
      <w:pPr>
        <w:spacing w:after="160"/>
        <w:jc w:val="both"/>
      </w:pPr>
      <w:r>
        <w:t>Ця модель відповідає на питання: «коли саме Silpo запускає промо». Економічна інтерпретація β для e_{t-1}: якщо β&gt;0, то чим більше retail‑ціна відхиляється від «нормальної» (від producer), тим вища ймовірність промо — тобто промо використовується як механізм швидкої корекції без зміни листингової ціни.</w:t>
      </w:r>
    </w:p>
    <w:p w14:paraId="5F4AECAA" w14:textId="77777777" w:rsidR="00EE1454" w:rsidRDefault="00000000">
      <w:pPr>
        <w:spacing w:after="120"/>
      </w:pPr>
      <w:r>
        <w:rPr>
          <w:b/>
        </w:rPr>
        <w:t>5.3. Прогноз типу ціни (regular/discount/bulk): multinomial logit або Markov chain</w:t>
      </w:r>
    </w:p>
    <w:p w14:paraId="58662806" w14:textId="77777777" w:rsidR="00EE1454" w:rsidRDefault="00000000">
      <w:pPr>
        <w:spacing w:after="60"/>
        <w:ind w:left="432"/>
      </w:pPr>
      <w:r>
        <w:rPr>
          <w:rFonts w:ascii="Courier New" w:eastAsia="Courier New" w:hAnsi="Courier New"/>
          <w:sz w:val="20"/>
        </w:rPr>
        <w:lastRenderedPageBreak/>
        <w:t>S_{i,t} ∈ {regular, discount, bulk}</w:t>
      </w:r>
    </w:p>
    <w:p w14:paraId="621A4818" w14:textId="77777777" w:rsidR="00EE1454" w:rsidRDefault="00000000">
      <w:pPr>
        <w:spacing w:after="60"/>
        <w:ind w:left="432"/>
      </w:pPr>
      <w:r>
        <w:rPr>
          <w:rFonts w:ascii="Courier New" w:eastAsia="Courier New" w:hAnsi="Courier New"/>
          <w:sz w:val="20"/>
        </w:rPr>
        <w:t>Pr(S_{i,t}=k) = exp(α_{i,k}+β_k'X_{i,t}) / Σ_{j} exp(α_{i,j}+β_j'X_{i,t})  (multinomial logit)</w:t>
      </w:r>
    </w:p>
    <w:p w14:paraId="254C995C" w14:textId="77777777" w:rsidR="00EE1454" w:rsidRDefault="00000000">
      <w:pPr>
        <w:spacing w:after="60"/>
        <w:ind w:left="432"/>
      </w:pPr>
      <w:r>
        <w:rPr>
          <w:rFonts w:ascii="Courier New" w:eastAsia="Courier New" w:hAnsi="Courier New"/>
          <w:sz w:val="20"/>
        </w:rPr>
        <w:t>Markov:  Pr(S_t=j | S_{t-1}=i, X_t)  (transition model), good for promo cycles</w:t>
      </w:r>
    </w:p>
    <w:p w14:paraId="06A433B2" w14:textId="77777777" w:rsidR="00EE1454" w:rsidRDefault="00000000">
      <w:pPr>
        <w:spacing w:after="160"/>
        <w:jc w:val="both"/>
      </w:pPr>
      <w:r>
        <w:t>Markov‑підхід особливо природний для промо‑циклів («після bulk часто йде regular», тощо) і дає інтерпретацію як стратегію ціноутворення, а не лише статичну класифікацію.</w:t>
      </w:r>
    </w:p>
    <w:p w14:paraId="645FDBE6" w14:textId="77777777" w:rsidR="00EE1454" w:rsidRDefault="00000000">
      <w:pPr>
        <w:spacing w:after="120"/>
      </w:pPr>
      <w:r>
        <w:rPr>
          <w:b/>
        </w:rPr>
        <w:t>5.4. Глибина знижки (discount depth): двоетапна модель (hurdle)</w:t>
      </w:r>
    </w:p>
    <w:p w14:paraId="4C83F526" w14:textId="77777777" w:rsidR="00EE1454" w:rsidRDefault="00000000">
      <w:pPr>
        <w:spacing w:after="60"/>
        <w:ind w:left="432"/>
      </w:pPr>
      <w:r>
        <w:rPr>
          <w:rFonts w:ascii="Courier New" w:eastAsia="Courier New" w:hAnsi="Courier New"/>
          <w:sz w:val="20"/>
        </w:rPr>
        <w:t>Stage 1: Pr(D_{i,t}=1) as above</w:t>
      </w:r>
    </w:p>
    <w:p w14:paraId="7D609089" w14:textId="77777777" w:rsidR="00EE1454" w:rsidRDefault="00000000">
      <w:pPr>
        <w:spacing w:after="60"/>
        <w:ind w:left="432"/>
      </w:pPr>
      <w:r>
        <w:rPr>
          <w:rFonts w:ascii="Courier New" w:eastAsia="Courier New" w:hAnsi="Courier New"/>
          <w:sz w:val="20"/>
        </w:rPr>
        <w:t>Stage 2 (given D=1):  ln(1+discount_value_{i,t}) = α_i + γ'X_{i,t} + ε_{i,t}</w:t>
      </w:r>
    </w:p>
    <w:p w14:paraId="7C95E0E3" w14:textId="77777777" w:rsidR="00EE1454" w:rsidRDefault="00000000">
      <w:pPr>
        <w:jc w:val="both"/>
      </w:pPr>
      <w:r>
        <w:t>Двоетапна схема розділяє «рішення дати промо» і «наскільки глибоке промо». Це важливо, бо фактори запуску промо (сезонність/конкурент) і фактори глибини (маржа/позиціювання бренду) можуть різнитися.</w:t>
      </w:r>
    </w:p>
    <w:p w14:paraId="1CE14DBE" w14:textId="77777777" w:rsidR="00EE1454" w:rsidRDefault="00000000">
      <w:r>
        <w:rPr>
          <w:b/>
          <w:sz w:val="28"/>
        </w:rPr>
        <w:t>6. Обов’язкові тести та діагностика: що запускати і як інтерпретувати</w:t>
      </w:r>
    </w:p>
    <w:p w14:paraId="0A702D72" w14:textId="77777777" w:rsidR="00EE1454" w:rsidRDefault="00000000">
      <w:pPr>
        <w:spacing w:after="120"/>
        <w:jc w:val="both"/>
      </w:pPr>
      <w:r>
        <w:t>Тут зібрано «checklist», який відповідає вашому запиту про гетероскедастичність, автокореляції, тощо. Ключове — робити це системно для кожного продукту та кожної специфікації, і не ховати «провали» — вони часто пояснюються промо‑шумом, сезонністю або структурними зламами.</w:t>
      </w:r>
    </w:p>
    <w:p w14:paraId="0C8C2377" w14:textId="77777777" w:rsidR="00EE1454" w:rsidRDefault="00000000">
      <w:pPr>
        <w:pStyle w:val="ListBullet"/>
        <w:spacing w:after="40"/>
      </w:pPr>
      <w:r>
        <w:t>Стаціонарність (рівні та прирости): ADF + KPSS; якщо конфлікт — перевірка на злами (Zivot–Andrews).</w:t>
      </w:r>
    </w:p>
    <w:p w14:paraId="773956C8" w14:textId="77777777" w:rsidR="00EE1454" w:rsidRDefault="00000000">
      <w:pPr>
        <w:pStyle w:val="ListBullet"/>
        <w:spacing w:after="40"/>
      </w:pPr>
      <w:r>
        <w:t>Вибір лагів: AIC/BIC; для VECM — також перевірка стабільності системи (модуль власних значень &lt; 1).</w:t>
      </w:r>
    </w:p>
    <w:p w14:paraId="6DC32C97" w14:textId="77777777" w:rsidR="00EE1454" w:rsidRDefault="00000000">
      <w:pPr>
        <w:pStyle w:val="ListBullet"/>
        <w:spacing w:after="40"/>
      </w:pPr>
      <w:r>
        <w:t>Cointegration: Johansen trace/max‑eigen; як старт — Engle–Granger на парі producer–retail.</w:t>
      </w:r>
    </w:p>
    <w:p w14:paraId="7392994F" w14:textId="77777777" w:rsidR="00EE1454" w:rsidRDefault="00000000">
      <w:pPr>
        <w:pStyle w:val="ListBullet"/>
        <w:spacing w:after="40"/>
      </w:pPr>
      <w:r>
        <w:t>Автокореляція залишків: Ljung–Box/Portmanteau; якщо є — збільшити лаги або додати сезонні лаги (7, 14).</w:t>
      </w:r>
    </w:p>
    <w:p w14:paraId="5A1060A9" w14:textId="77777777" w:rsidR="00EE1454" w:rsidRDefault="00000000">
      <w:pPr>
        <w:pStyle w:val="ListBullet"/>
        <w:spacing w:after="40"/>
      </w:pPr>
      <w:r>
        <w:t>Гетероскедастичність: ARCH LM; при наявності — робастні SE (HAC/Newey‑West) або GARCH‑помилки для приростів.</w:t>
      </w:r>
    </w:p>
    <w:p w14:paraId="41592210" w14:textId="77777777" w:rsidR="00EE1454" w:rsidRDefault="00000000">
      <w:pPr>
        <w:pStyle w:val="ListBullet"/>
        <w:spacing w:after="40"/>
      </w:pPr>
      <w:r>
        <w:t>Нормальність: Jarque–Bera (не фетиш; важливіше робастні SE і стабільність).</w:t>
      </w:r>
    </w:p>
    <w:p w14:paraId="137CA485" w14:textId="77777777" w:rsidR="00EE1454" w:rsidRDefault="00000000">
      <w:pPr>
        <w:pStyle w:val="ListBullet"/>
        <w:spacing w:after="40"/>
      </w:pPr>
      <w:r>
        <w:t>Стабільність параметрів: CUSUM/CUSUMSQ; rolling‑оцінки θ_t і λ_t; Bai‑Perron для зламів у long‑run.</w:t>
      </w:r>
    </w:p>
    <w:p w14:paraId="2FC03A97" w14:textId="77777777" w:rsidR="00EE1454" w:rsidRDefault="00EE1454"/>
    <w:p w14:paraId="7C947623" w14:textId="77777777" w:rsidR="00EE1454" w:rsidRDefault="00000000">
      <w:r>
        <w:rPr>
          <w:b/>
          <w:sz w:val="28"/>
        </w:rPr>
        <w:t>7. Що саме треба переписати в RWII (після знаходження даних): по розділах і з аргументацією</w:t>
      </w:r>
    </w:p>
    <w:p w14:paraId="66852143" w14:textId="77777777" w:rsidR="00EE1454" w:rsidRDefault="00000000">
      <w:pPr>
        <w:spacing w:after="160"/>
        <w:jc w:val="both"/>
      </w:pPr>
      <w:r>
        <w:lastRenderedPageBreak/>
        <w:t>Цей блок — інструкція для редагування тексту RWII. Я спеціально прив’язую зміни до логіки RWII (яка була написана до доступності даних) і до реальних можливостей full_uah.xlsx.</w:t>
      </w:r>
    </w:p>
    <w:p w14:paraId="1C59ED9F" w14:textId="77777777" w:rsidR="00EE1454" w:rsidRDefault="00000000">
      <w:pPr>
        <w:spacing w:after="120"/>
        <w:jc w:val="both"/>
      </w:pPr>
      <w:r>
        <w:rPr>
          <w:b/>
        </w:rPr>
        <w:t xml:space="preserve">Motivation: </w:t>
      </w:r>
      <w:r>
        <w:t>Додати аргумент про те, що retail‑промо (знижки) є структурним механізмом, який може створювати «псевдо‑асиметрію» у споживчих цінах; тому аналіз без промо‑блоку може бути хибно інтерпретований як market power.</w:t>
      </w:r>
    </w:p>
    <w:p w14:paraId="40FD9DEA" w14:textId="77777777" w:rsidR="00EE1454" w:rsidRDefault="00000000">
      <w:pPr>
        <w:spacing w:after="120"/>
        <w:jc w:val="both"/>
      </w:pPr>
      <w:r>
        <w:rPr>
          <w:b/>
        </w:rPr>
        <w:t xml:space="preserve">Literature Review: </w:t>
      </w:r>
      <w:r>
        <w:t>Окрім вертикальної передачі та асиметрії, додати 3 підполя: (i) темпоральна дизагрегація/benchmarking (Chow–Lin, Denton), (ii) нестабільність/режими у передачі цін, (iii) література про sales/promotions та їх вплив на частоту змін цін і вимірювання інфляції.</w:t>
      </w:r>
    </w:p>
    <w:p w14:paraId="5C9FF9D7" w14:textId="77777777" w:rsidR="00EE1454" w:rsidRDefault="00000000">
      <w:pPr>
        <w:spacing w:after="120"/>
        <w:jc w:val="both"/>
      </w:pPr>
      <w:r>
        <w:rPr>
          <w:b/>
        </w:rPr>
        <w:t xml:space="preserve">Data: </w:t>
      </w:r>
      <w:r>
        <w:t>Переписати як «багатошаровий» датасет: EU (зовнішній), UA producer/consumer (синтетичні денні з контрольним місячним бенчмарком), retail (SKU‑денні), procurement (Prozorro). Додати чітке визначення одиниць (UAH/кг), правил агрегації та quality filters.</w:t>
      </w:r>
    </w:p>
    <w:p w14:paraId="00409329" w14:textId="77777777" w:rsidR="00EE1454" w:rsidRDefault="00000000">
      <w:pPr>
        <w:spacing w:after="120"/>
        <w:jc w:val="both"/>
      </w:pPr>
      <w:r>
        <w:rPr>
          <w:b/>
        </w:rPr>
        <w:t xml:space="preserve">Methodology: </w:t>
      </w:r>
      <w:r>
        <w:t>Вилучити твердження про неможливість високої частоти. Додати двоступеневу стратегію: (1) базові ECM/VECM на price_pchip (і на агрегованих тижневих серіях як робастність); (2) асиметрія (Threshold ECM/NARDL) + нестабільність (злами/rolling) + промо‑моделі.</w:t>
      </w:r>
    </w:p>
    <w:p w14:paraId="485A4E81" w14:textId="77777777" w:rsidR="00EE1454" w:rsidRDefault="00000000">
      <w:pPr>
        <w:spacing w:after="120"/>
        <w:jc w:val="both"/>
      </w:pPr>
      <w:r>
        <w:rPr>
          <w:b/>
        </w:rPr>
        <w:t xml:space="preserve">Empirical Strategy / Identification: </w:t>
      </w:r>
      <w:r>
        <w:t>Явно описати, що EU‑basket використовується як зовнішній індикатор та/або інструмент для upstream shocks; retail regular price — як індикатор внутрішньої передачі. Пояснити, як уникнути «зворотного підганяння» (hold‑out для ваг, out‑of‑sample прогнози).</w:t>
      </w:r>
    </w:p>
    <w:p w14:paraId="4B829710" w14:textId="77777777" w:rsidR="00EE1454" w:rsidRDefault="00000000">
      <w:pPr>
        <w:spacing w:after="120"/>
        <w:jc w:val="both"/>
      </w:pPr>
      <w:r>
        <w:rPr>
          <w:b/>
        </w:rPr>
        <w:t xml:space="preserve">Limitations: </w:t>
      </w:r>
      <w:r>
        <w:t>Перетворити на тестовані гіпотези: «синтетика може спотворити короткі коливання» → показати чутливість результатів до price_linear vs price_pchip та до EU‑індикатора vs retail‑індикатора.</w:t>
      </w:r>
    </w:p>
    <w:p w14:paraId="6BEA0DC3" w14:textId="77777777" w:rsidR="00EE1454" w:rsidRDefault="00EE1454"/>
    <w:p w14:paraId="0D1EE096" w14:textId="77777777" w:rsidR="00EE1454" w:rsidRDefault="00000000">
      <w:r>
        <w:rPr>
          <w:b/>
          <w:sz w:val="28"/>
        </w:rPr>
        <w:t>8. Works Cited — додані джерела (append only)</w:t>
      </w:r>
    </w:p>
    <w:p w14:paraId="749A9FCC" w14:textId="77777777" w:rsidR="00EE1454" w:rsidRDefault="00000000">
      <w:pPr>
        <w:spacing w:after="160"/>
        <w:jc w:val="both"/>
      </w:pPr>
      <w:r>
        <w:t>Нижче наведені лише нові позиції, яких не було у Works Cited RWII, але які необхідні для опису синтетизації, асиметрії з порогами, та промо/discount‑динаміки. Формат — Chicago (author–date).</w:t>
      </w:r>
    </w:p>
    <w:p w14:paraId="6AF155FC" w14:textId="77777777" w:rsidR="00EE1454" w:rsidRDefault="00000000">
      <w:pPr>
        <w:pStyle w:val="ListBullet"/>
        <w:spacing w:after="40"/>
      </w:pPr>
      <w:r>
        <w:t>Brümmer, Bernhard, Stephan von Cramon-Taubadel, and Sergiy Zorya. 2009. “The Impact of Market and Policy Instability on Price Transmission between Wheat and Flour in Ukraine.” European Review of Agricultural Economics 36 (2): 203–230.</w:t>
      </w:r>
    </w:p>
    <w:p w14:paraId="477C8E92" w14:textId="77777777" w:rsidR="00EE1454" w:rsidRDefault="00000000">
      <w:pPr>
        <w:pStyle w:val="ListBullet"/>
        <w:spacing w:after="40"/>
      </w:pPr>
      <w:r>
        <w:t>Chow, Gregory C., and An-loh Lin. 1971. “Best Linear Unbiased Interpolation, Distribution, and Extrapolation of Time Series by Related Series.” The Review of Economics and Statistics 53 (4): 372–375.</w:t>
      </w:r>
    </w:p>
    <w:p w14:paraId="107651C8" w14:textId="77777777" w:rsidR="00EE1454" w:rsidRDefault="00000000">
      <w:pPr>
        <w:pStyle w:val="ListBullet"/>
        <w:spacing w:after="40"/>
      </w:pPr>
      <w:r>
        <w:lastRenderedPageBreak/>
        <w:t>Denton, Frank T. 1971. “Adjustment of Monthly or Quarterly Series to Annual Totals: An Approach Based on Quadratic Minimization.” Journal of the American Statistical Association 66 (333): 99–102.</w:t>
      </w:r>
    </w:p>
    <w:p w14:paraId="262C17DC" w14:textId="77777777" w:rsidR="00EE1454" w:rsidRDefault="00000000">
      <w:pPr>
        <w:pStyle w:val="ListBullet"/>
        <w:spacing w:after="40"/>
      </w:pPr>
      <w:r>
        <w:t>Enders, Walter, and Pierre L. Siklos. 2001. “Cointegration and Threshold Adjustment.” Journal of Business &amp; Economic Statistics 19 (2): 166–176.</w:t>
      </w:r>
    </w:p>
    <w:p w14:paraId="049C213A" w14:textId="77777777" w:rsidR="00EE1454" w:rsidRDefault="00000000">
      <w:pPr>
        <w:pStyle w:val="ListBullet"/>
        <w:spacing w:after="40"/>
      </w:pPr>
      <w:r>
        <w:t>Cholette, Pierre A., and Estela Bee Dagum. 2006. “Benchmarking, Temporal Distribution, and Reconciliation Methods for Time Series.” In *Handbook of Statistics*, Vol. 25, edited by S. B. Rao, 47–83. Elsevier.</w:t>
      </w:r>
    </w:p>
    <w:p w14:paraId="74B35A6D" w14:textId="77777777" w:rsidR="00EE1454" w:rsidRDefault="00000000">
      <w:pPr>
        <w:pStyle w:val="ListBullet"/>
        <w:spacing w:after="40"/>
      </w:pPr>
      <w:r>
        <w:t>Nakamura, Emi, and Jón Steinsson. 2008. “Five Facts about Prices: A Reevaluation of Menu Cost Models.” Quarterly Journal of Economics 123 (4): 1415–1464.</w:t>
      </w:r>
    </w:p>
    <w:p w14:paraId="1FA0F5D2" w14:textId="77777777" w:rsidR="00EE1454" w:rsidRDefault="00000000">
      <w:pPr>
        <w:pStyle w:val="ListBullet"/>
        <w:spacing w:after="40"/>
      </w:pPr>
      <w:r>
        <w:t>Chevalier, Judith A., Anil K. Kashyap, and Peter E. Rossi. 2003. “Why Don’t Prices Rise during Periods of Peak Demand? Evidence from Scanner Data.” American Economic Review 93 (1): 15–37.</w:t>
      </w:r>
    </w:p>
    <w:p w14:paraId="7D033441" w14:textId="77777777" w:rsidR="00EE1454" w:rsidRDefault="00EE1454"/>
    <w:p w14:paraId="7EF89FF0" w14:textId="77777777" w:rsidR="00EE1454" w:rsidRDefault="00000000">
      <w:pPr>
        <w:spacing w:after="80"/>
      </w:pPr>
      <w:r>
        <w:rPr>
          <w:b/>
        </w:rPr>
        <w:t>Оцінка надійності цього документа</w:t>
      </w:r>
    </w:p>
    <w:p w14:paraId="231CC3D5" w14:textId="77777777" w:rsidR="00EE1454" w:rsidRDefault="00000000">
      <w:pPr>
        <w:spacing w:after="0"/>
        <w:jc w:val="both"/>
      </w:pPr>
      <w:r>
        <w:t>Надійні дані (оцінка &gt;0.8): опис структури full_uah.xlsx, виявлені приклади помилок класифікації Silpo/Novus, формалізація одиниць та базові рівняння ECM/VECM/threshold/NARDL як стандартні інструменти. Ймовірні/умовні елементи (0.5–0.8): конкретний вибір оптимальної синтетики (EU‑індикатор vs retail‑індикатор), та складні режимні моделі — їх доцільність залежить від результатів тестів на злами та якості матчінгу.</w:t>
      </w:r>
    </w:p>
    <w:sectPr w:rsidR="00EE14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7359230">
    <w:abstractNumId w:val="8"/>
  </w:num>
  <w:num w:numId="2" w16cid:durableId="1537816798">
    <w:abstractNumId w:val="6"/>
  </w:num>
  <w:num w:numId="3" w16cid:durableId="352926576">
    <w:abstractNumId w:val="5"/>
  </w:num>
  <w:num w:numId="4" w16cid:durableId="650065354">
    <w:abstractNumId w:val="4"/>
  </w:num>
  <w:num w:numId="5" w16cid:durableId="1211840511">
    <w:abstractNumId w:val="7"/>
  </w:num>
  <w:num w:numId="6" w16cid:durableId="1887525699">
    <w:abstractNumId w:val="3"/>
  </w:num>
  <w:num w:numId="7" w16cid:durableId="1142887743">
    <w:abstractNumId w:val="2"/>
  </w:num>
  <w:num w:numId="8" w16cid:durableId="24059810">
    <w:abstractNumId w:val="1"/>
  </w:num>
  <w:num w:numId="9" w16cid:durableId="682975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3EB"/>
    <w:rsid w:val="00AA1D8D"/>
    <w:rsid w:val="00B0128A"/>
    <w:rsid w:val="00B47730"/>
    <w:rsid w:val="00CB0664"/>
    <w:rsid w:val="00EE14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D0708"/>
  <w14:defaultImageDpi w14:val="300"/>
  <w15:docId w15:val="{9A96460F-7F69-E243-AEF0-1BB8D4B3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2904</Words>
  <Characters>16557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GetApple</cp:lastModifiedBy>
  <cp:revision>2</cp:revision>
  <dcterms:created xsi:type="dcterms:W3CDTF">2013-12-23T23:15:00Z</dcterms:created>
  <dcterms:modified xsi:type="dcterms:W3CDTF">2026-02-20T08:46:00Z</dcterms:modified>
  <cp:category/>
</cp:coreProperties>
</file>