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 xml:space="preserve">Farm-Gate Weekly and Daily Reconstruction Methods</w:t>
      </w:r>
    </w:p>
    <w:p>
      <w:r>
        <w:t xml:space="preserve">The weekly farm-gate milk price series was reconstructed as a synthetic high-frequency Ukrainian benchmark-consistent indicator using the Europe sheet from full_uah.xlsx and the monthly Ukrainian farm-gate benchmark from the filled workbook. First, a structural EU dairy signal was built from butter, SMP, and WMP prices in UAH/kg. For each EU country c, product weights were estimated under non-negativity and adding-up constraints so that the country-level dairy-value proxy tracked the monthly Ukrainian benchmark as closely as possible over the overlap sample. These country-specific structural indices were then aggregated across countries using another non-negative normalized weight vector, producing one common EU indicator that captures the high-frequency shape of raw milk market conditions without assuming that Ukrainian raw milk is identical to any single observed EU series.</w:t>
      </w:r>
    </w:p>
    <w:tbl>
      <w:tblPr>
        <w:tblW w:w="0" w:type="auto"/>
        <w:tblBorders>
          <w:top w:val="single" w:sz="12" w:space="0" w:color="666666"/>
          <w:left w:val="single" w:sz="12" w:space="0" w:color="666666"/>
          <w:bottom w:val="single" w:sz="12" w:space="0" w:color="666666"/>
          <w:right w:val="single" w:sz="12" w:space="0" w:color="666666"/>
          <w:insideH w:val="nil"/>
          <w:insideV w:val="nil"/>
        </w:tblBorders>
        <w:tblCellMar>
          <w:top w:w="120" w:type="dxa"/>
          <w:left w:w="120" w:type="dxa"/>
          <w:bottom w:w="120" w:type="dxa"/>
          <w:right w:w="120" w:type="dxa"/>
        </w:tblCellMar>
      </w:tblPr>
      <w:tr>
        <w:tc>
          <w:tcPr>
            <w:tcW w:w="9000" w:type="dxa"/>
          </w:tcPr>
          <w:p>
            <w:r>
              <w:t xml:space="preserve">Country-level structural index:</w:t>
            </w:r>
          </w:p>
          <w:p>
            <w:r>
              <w:t xml:space="preserve">Z(c,w) = omega(c,B) * P(c,B,w) + omega(c,S) * P(c,S,w) + omega(c,W) * P(c,W,w)</w:t>
            </w:r>
          </w:p>
          <w:p>
            <w:r>
              <w:t xml:space="preserve">subject to omega(c,B) &gt;= 0, omega(c,S) &gt;= 0, omega(c,W) &gt;= 0,</w:t>
            </w:r>
          </w:p>
          <w:p>
            <w:r>
              <w:t xml:space="preserve">and omega(c,B) + omega(c,S) + omega(c,W) = 1</w:t>
            </w:r>
          </w:p>
          <w:p>
            <w:r>
              <w:t xml:space="preserve"/>
            </w:r>
          </w:p>
          <w:p>
            <w:r>
              <w:t xml:space="preserve">Common EU indicator:</w:t>
            </w:r>
          </w:p>
          <w:p>
            <w:r>
              <w:t xml:space="preserve">Z(EU,w) = Sum over c [ theta(c) * Z(c,w) ]</w:t>
            </w:r>
          </w:p>
          <w:p>
            <w:r>
              <w:t xml:space="preserve">subject to theta(c) &gt;= 0 and Sum over c [ theta(c) ] = 1</w:t>
            </w:r>
          </w:p>
        </w:tc>
      </w:tr>
    </w:tbl>
    <w:p/>
    <w:p>
      <w:r>
        <w:t xml:space="preserve">After the common EU structural indicator had been obtained, the monthly Ukrainian farm-gate benchmark was linked to it through a log-linear level relationship. Let Y(UA,m) denote the observed Ukrainian monthly farm-gate milk price and let Zbar(EU,m) denote the monthly average of the reconstructed EU high-frequency signal. The baseline relation was estimated as ln(Y(UA,m)) = alpha + beta * ln(Zbar(EU,m)) + u(m), and the fitted coefficients were then used to generate a preliminary Ukrainian daily path from the daily EU structural series. To ensure exact benchmark consistency, the preliminary path was rescaled so that the synthetic Ukrainian value at each month-end exactly equaled the observed Ukrainian monthly benchmark. The weekly dataset was then obtained by sampling that anchored daily path at Monday nodes and retaining explicit month-end nodes, which is why the resulting weekly series matches the benchmark exactly at the end of each month.</w:t>
      </w:r>
    </w:p>
    <w:tbl>
      <w:tblPr>
        <w:tblW w:w="0" w:type="auto"/>
        <w:tblBorders>
          <w:top w:val="single" w:sz="12" w:space="0" w:color="666666"/>
          <w:left w:val="single" w:sz="12" w:space="0" w:color="666666"/>
          <w:bottom w:val="single" w:sz="12" w:space="0" w:color="666666"/>
          <w:right w:val="single" w:sz="12" w:space="0" w:color="666666"/>
          <w:insideH w:val="nil"/>
          <w:insideV w:val="nil"/>
        </w:tblBorders>
        <w:tblCellMar>
          <w:top w:w="120" w:type="dxa"/>
          <w:left w:w="120" w:type="dxa"/>
          <w:bottom w:w="120" w:type="dxa"/>
          <w:right w:w="120" w:type="dxa"/>
        </w:tblCellMar>
      </w:tblPr>
      <w:tr>
        <w:tc>
          <w:tcPr>
            <w:tcW w:w="9000" w:type="dxa"/>
          </w:tcPr>
          <w:p>
            <w:r>
              <w:t xml:space="preserve">Monthly linking equation:</w:t>
            </w:r>
          </w:p>
          <w:p>
            <w:r>
              <w:t xml:space="preserve">ln(Y(UA,m)) = alpha + beta * ln(Zbar(EU,m)) + u(m)</w:t>
            </w:r>
          </w:p>
          <w:p>
            <w:r>
              <w:t xml:space="preserve"/>
            </w:r>
          </w:p>
          <w:p>
            <w:r>
              <w:t xml:space="preserve">Preliminary daily Ukrainian proxy:</w:t>
            </w:r>
          </w:p>
          <w:p>
            <w:r>
              <w:t xml:space="preserve">Y_tilde(UA,d) = exp(alpha_hat) * ( Z(EU,d) )^(beta_hat)</w:t>
            </w:r>
          </w:p>
          <w:p>
            <w:r>
              <w:t xml:space="preserve"/>
            </w:r>
          </w:p>
          <w:p>
            <w:r>
              <w:t xml:space="preserve">Month-end benchmark anchoring:</w:t>
            </w:r>
          </w:p>
          <w:p>
            <w:r>
              <w:t xml:space="preserve">s(m_end) = Y(UA,m) / Y_tilde(UA,m_end)</w:t>
            </w:r>
          </w:p>
          <w:p>
            <w:r>
              <w:t xml:space="preserve"/>
            </w:r>
          </w:p>
          <w:p>
            <w:r>
              <w:t xml:space="preserve">Final anchored daily path:</w:t>
            </w:r>
          </w:p>
          <w:p>
            <w:r>
              <w:t xml:space="preserve">Y(UA,d) = Y_tilde(UA,d) * s(d),</w:t>
            </w:r>
          </w:p>
          <w:p>
            <w:r>
              <w:t xml:space="preserve">where s(d) is interpolated smoothly in logs between adjacent month-end scaling anchors.</w:t>
            </w:r>
          </w:p>
        </w:tc>
      </w:tr>
    </w:tbl>
    <w:p/>
    <w:p>
      <w:r>
        <w:t xml:space="preserve">The daily tables were derived from the validated weekly nodes rather than treated as observed daily prices. Two interpolation methods were used. The first was linear interpolation, which imposes the smallest possible assumption and creates a straight path between adjacent weekly anchor values. The second was PCHIP, a shape-preserving piecewise cubic Hermite interpolation, which delivers a smoother path while avoiding the overshooting behavior common in unrestricted cubic splines. In both cases, the weekly anchor nodes are recovered exactly, positivity is preserved, and the output should be interpreted as a synthetic daily reconstruction suitable for ECM, ARDL, or NARDL work rather than as directly observed daily farm-gate market prices.</w:t>
      </w:r>
    </w:p>
    <w:sectPr>
      <w:pgSz w:w="11906" w:h="16838"/>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rPr>
      <w:rFonts w:ascii="Times New Roman" w:hAnsi="Times New Roman"/>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Farm-Gate Weekly and Daily Reconstruction Methods</dc:title>
  <dc:creator>OpenAI Codex</dc:creator>
</cp:coreProperties>
</file>