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Summary of Missing-Value Imputation and Forecasting Methods</w:t>
      </w:r>
    </w:p>
    <w:p>
      <w:pPr>
        <w:jc w:val="center"/>
      </w:pPr>
      <w:r>
        <w:rPr>
          <w:rFonts w:ascii="Times New Roman" w:hAnsi="Times New Roman"/>
          <w:i/>
          <w:sz w:val="22"/>
        </w:rPr>
        <w:t>Farm-gate milk price matrix</w:t>
      </w:r>
    </w:p>
    <w:p/>
    <w:tbl>
      <w:tblPr>
        <w:tblW w:type="auto" w:w="0"/>
        <w:tblLook w:firstColumn="1" w:firstRow="1" w:lastColumn="0" w:lastRow="0" w:noHBand="0" w:noVBand="1" w:val="04A0"/>
      </w:tblPr>
      <w:tblGrid>
        <w:gridCol w:w="9936"/>
      </w:tblGrid>
      <w:tr>
        <w:tc>
          <w:tcPr>
            <w:tcW w:type="dxa" w:w="9936"/>
            <w:shd w:fill="F8FAFC"/>
            <w:tcBorders>
              <w:left w:val="single" w:sz="10" w:color="B7C9D6"/>
              <w:top w:val="single" w:sz="10" w:color="B7C9D6"/>
              <w:right w:val="single" w:sz="10" w:color="B7C9D6"/>
              <w:bottom w:val="single" w:sz="10" w:color="B7C9D6"/>
            </w:tcBorders>
            <w:tcMar>
              <w:top w:w="120" w:type="dxa"/>
              <w:start w:w="140" w:type="dxa"/>
              <w:bottom w:w="120" w:type="dxa"/>
              <w:end w:w="140" w:type="dxa"/>
            </w:tcMar>
          </w:tcPr>
          <w:p>
            <w:pPr>
              <w:spacing w:after="80"/>
            </w:pPr>
            <w:r>
              <w:rPr>
                <w:rFonts w:ascii="Times New Roman" w:hAnsi="Times New Roman"/>
                <w:b/>
                <w:sz w:val="24"/>
              </w:rPr>
              <w:t>Method 1. Matrix-wide imputation logic</w:t>
            </w:r>
          </w:p>
          <w:p>
            <w:pPr>
              <w:spacing w:line="276" w:lineRule="auto" w:after="120"/>
            </w:pPr>
            <w:r>
              <w:rPr>
                <w:rFonts w:ascii="Times New Roman" w:hAnsi="Times New Roman"/>
                <w:sz w:val="23"/>
              </w:rPr>
              <w:t>Missing values were filled with a hybrid rule that matched the statistical structure of each gap rather than imposing one universal imputer on the entire matrix. Short internal gaps of 1-5 months were reconstructed by local interpolation between neighbouring observations, because this is the least distortive option when the series is observed on both sides of the gap. For longer internal gaps and terminal gaps, the preferred specification was a dynamic regression on the national enterprise price series for the same indicator, augmented with monthly seasonal dummies; this preserved both co-movement with the closest economic anchor and regular within-year seasonality. For the national anchor series themselves, missing values were first smoothed with a structural time-series model with local linear trend and seasonal component, because these rows were later used as exogenous references for the rest of the matrix. A distance-weighted KNN imputer remained only a residual fallback for cells that would otherwise stay unresolved.</w:t>
            </w:r>
          </w:p>
          <w:p>
            <w:pPr>
              <w:spacing w:after="40"/>
              <w:jc w:val="center"/>
            </w:pPr>
            <w:r>
              <w:drawing>
                <wp:inline xmlns:a="http://schemas.openxmlformats.org/drawingml/2006/main" xmlns:pic="http://schemas.openxmlformats.org/drawingml/2006/picture">
                  <wp:extent cx="5394960" cy="342071"/>
                  <wp:docPr id="1" name="Picture 1"/>
                  <wp:cNvGraphicFramePr>
                    <a:graphicFrameLocks noChangeAspect="1"/>
                  </wp:cNvGraphicFramePr>
                  <a:graphic>
                    <a:graphicData uri="http://schemas.openxmlformats.org/drawingml/2006/picture">
                      <pic:pic>
                        <pic:nvPicPr>
                          <pic:cNvPr id="0" name="formula_1.png"/>
                          <pic:cNvPicPr/>
                        </pic:nvPicPr>
                        <pic:blipFill>
                          <a:blip r:embed="rId9"/>
                          <a:stretch>
                            <a:fillRect/>
                          </a:stretch>
                        </pic:blipFill>
                        <pic:spPr>
                          <a:xfrm>
                            <a:off x="0" y="0"/>
                            <a:ext cx="5394960" cy="342071"/>
                          </a:xfrm>
                          <a:prstGeom prst="rect"/>
                        </pic:spPr>
                      </pic:pic>
                    </a:graphicData>
                  </a:graphic>
                </wp:inline>
              </w:drawing>
            </w:r>
          </w:p>
          <w:p>
            <w:pPr>
              <w:spacing w:after="40"/>
              <w:jc w:val="center"/>
            </w:pPr>
            <w:r>
              <w:drawing>
                <wp:inline xmlns:a="http://schemas.openxmlformats.org/drawingml/2006/main" xmlns:pic="http://schemas.openxmlformats.org/drawingml/2006/picture">
                  <wp:extent cx="5394960" cy="393382"/>
                  <wp:docPr id="2" name="Picture 2"/>
                  <wp:cNvGraphicFramePr>
                    <a:graphicFrameLocks noChangeAspect="1"/>
                  </wp:cNvGraphicFramePr>
                  <a:graphic>
                    <a:graphicData uri="http://schemas.openxmlformats.org/drawingml/2006/picture">
                      <pic:pic>
                        <pic:nvPicPr>
                          <pic:cNvPr id="0" name="formula_2.png"/>
                          <pic:cNvPicPr/>
                        </pic:nvPicPr>
                        <pic:blipFill>
                          <a:blip r:embed="rId10"/>
                          <a:stretch>
                            <a:fillRect/>
                          </a:stretch>
                        </pic:blipFill>
                        <pic:spPr>
                          <a:xfrm>
                            <a:off x="0" y="0"/>
                            <a:ext cx="5394960" cy="393382"/>
                          </a:xfrm>
                          <a:prstGeom prst="rect"/>
                        </pic:spPr>
                      </pic:pic>
                    </a:graphicData>
                  </a:graphic>
                </wp:inline>
              </w:drawing>
            </w:r>
          </w:p>
          <w:p>
            <w:pPr>
              <w:spacing w:after="40"/>
              <w:jc w:val="center"/>
            </w:pPr>
            <w:r>
              <w:drawing>
                <wp:inline xmlns:a="http://schemas.openxmlformats.org/drawingml/2006/main" xmlns:pic="http://schemas.openxmlformats.org/drawingml/2006/picture">
                  <wp:extent cx="5394960" cy="342071"/>
                  <wp:docPr id="3" name="Picture 3"/>
                  <wp:cNvGraphicFramePr>
                    <a:graphicFrameLocks noChangeAspect="1"/>
                  </wp:cNvGraphicFramePr>
                  <a:graphic>
                    <a:graphicData uri="http://schemas.openxmlformats.org/drawingml/2006/picture">
                      <pic:pic>
                        <pic:nvPicPr>
                          <pic:cNvPr id="0" name="formula_3.png"/>
                          <pic:cNvPicPr/>
                        </pic:nvPicPr>
                        <pic:blipFill>
                          <a:blip r:embed="rId11"/>
                          <a:stretch>
                            <a:fillRect/>
                          </a:stretch>
                        </pic:blipFill>
                        <pic:spPr>
                          <a:xfrm>
                            <a:off x="0" y="0"/>
                            <a:ext cx="5394960" cy="342071"/>
                          </a:xfrm>
                          <a:prstGeom prst="rect"/>
                        </pic:spPr>
                      </pic:pic>
                    </a:graphicData>
                  </a:graphic>
                </wp:inline>
              </w:drawing>
            </w:r>
          </w:p>
        </w:tc>
      </w:tr>
    </w:tbl>
    <w:p/>
    <w:tbl>
      <w:tblPr>
        <w:tblW w:type="auto" w:w="0"/>
        <w:tblLook w:firstColumn="1" w:firstRow="1" w:lastColumn="0" w:lastRow="0" w:noHBand="0" w:noVBand="1" w:val="04A0"/>
      </w:tblPr>
      <w:tblGrid>
        <w:gridCol w:w="9936"/>
      </w:tblGrid>
      <w:tr>
        <w:tc>
          <w:tcPr>
            <w:tcW w:type="dxa" w:w="9936"/>
            <w:shd w:fill="F8FAFC"/>
            <w:tcBorders>
              <w:left w:val="single" w:sz="10" w:color="B7C9D6"/>
              <w:top w:val="single" w:sz="10" w:color="B7C9D6"/>
              <w:right w:val="single" w:sz="10" w:color="B7C9D6"/>
              <w:bottom w:val="single" w:sz="10" w:color="B7C9D6"/>
            </w:tcBorders>
            <w:tcMar>
              <w:top w:w="120" w:type="dxa"/>
              <w:start w:w="140" w:type="dxa"/>
              <w:bottom w:w="120" w:type="dxa"/>
              <w:end w:w="140" w:type="dxa"/>
            </w:tcMar>
          </w:tcPr>
          <w:p>
            <w:pPr>
              <w:spacing w:after="80"/>
            </w:pPr>
            <w:r>
              <w:rPr>
                <w:rFonts w:ascii="Times New Roman" w:hAnsi="Times New Roman"/>
                <w:b/>
                <w:sz w:val="24"/>
              </w:rPr>
              <w:t>Method 2. Forecasting the long missing household-price tail</w:t>
            </w:r>
          </w:p>
          <w:p>
            <w:pPr>
              <w:spacing w:line="276" w:lineRule="auto" w:after="120"/>
            </w:pPr>
            <w:r>
              <w:rPr>
                <w:rFonts w:ascii="Times New Roman" w:hAnsi="Times New Roman"/>
                <w:sz w:val="23"/>
              </w:rPr>
              <w:t>For the key series 'Україна - Молоко - Господарства населення', where observations are absent from 2022-M09 to 2026-M01, the best forecasting model was selected by holdout comparison against seasonal naive, ETS and SARIMA alternatives. The winning specification was the dynamic regression on the Ukrainian enterprise milk price with month effects, because it produced the lowest out-of-sample error and remained economically interpretable: household farm-gate prices move with the enterprise benchmark, but not one-for-one, while seasonal effects capture recurrent intra-annual shifts. The forecast was estimated on the observed sample and then extended through the missing tail using the reconstructed enterprise anchor. This turned the long missing block into a model-based forecast rather than a mechanical interpolation, which is the more defensible solution when the series is missing at the end and no right-side boundary exists.</w:t>
            </w:r>
          </w:p>
          <w:p>
            <w:pPr>
              <w:spacing w:after="40"/>
              <w:jc w:val="center"/>
            </w:pPr>
            <w:r>
              <w:drawing>
                <wp:inline xmlns:a="http://schemas.openxmlformats.org/drawingml/2006/main" xmlns:pic="http://schemas.openxmlformats.org/drawingml/2006/picture">
                  <wp:extent cx="5394960" cy="393382"/>
                  <wp:docPr id="4" name="Picture 4"/>
                  <wp:cNvGraphicFramePr>
                    <a:graphicFrameLocks noChangeAspect="1"/>
                  </wp:cNvGraphicFramePr>
                  <a:graphic>
                    <a:graphicData uri="http://schemas.openxmlformats.org/drawingml/2006/picture">
                      <pic:pic>
                        <pic:nvPicPr>
                          <pic:cNvPr id="0" name="formula_4.png"/>
                          <pic:cNvPicPr/>
                        </pic:nvPicPr>
                        <pic:blipFill>
                          <a:blip r:embed="rId12"/>
                          <a:stretch>
                            <a:fillRect/>
                          </a:stretch>
                        </pic:blipFill>
                        <pic:spPr>
                          <a:xfrm>
                            <a:off x="0" y="0"/>
                            <a:ext cx="5394960" cy="393382"/>
                          </a:xfrm>
                          <a:prstGeom prst="rect"/>
                        </pic:spPr>
                      </pic:pic>
                    </a:graphicData>
                  </a:graphic>
                </wp:inline>
              </w:drawing>
            </w:r>
          </w:p>
          <w:p>
            <w:pPr>
              <w:spacing w:after="40"/>
              <w:jc w:val="center"/>
            </w:pPr>
            <w:r>
              <w:drawing>
                <wp:inline xmlns:a="http://schemas.openxmlformats.org/drawingml/2006/main" xmlns:pic="http://schemas.openxmlformats.org/drawingml/2006/picture">
                  <wp:extent cx="5394960" cy="420259"/>
                  <wp:docPr id="5" name="Picture 5"/>
                  <wp:cNvGraphicFramePr>
                    <a:graphicFrameLocks noChangeAspect="1"/>
                  </wp:cNvGraphicFramePr>
                  <a:graphic>
                    <a:graphicData uri="http://schemas.openxmlformats.org/drawingml/2006/picture">
                      <pic:pic>
                        <pic:nvPicPr>
                          <pic:cNvPr id="0" name="formula_5.png"/>
                          <pic:cNvPicPr/>
                        </pic:nvPicPr>
                        <pic:blipFill>
                          <a:blip r:embed="rId13"/>
                          <a:stretch>
                            <a:fillRect/>
                          </a:stretch>
                        </pic:blipFill>
                        <pic:spPr>
                          <a:xfrm>
                            <a:off x="0" y="0"/>
                            <a:ext cx="5394960" cy="420259"/>
                          </a:xfrm>
                          <a:prstGeom prst="rect"/>
                        </pic:spPr>
                      </pic:pic>
                    </a:graphicData>
                  </a:graphic>
                </wp:inline>
              </w:drawing>
            </w:r>
          </w:p>
          <w:p>
            <w:pPr>
              <w:spacing w:after="40"/>
              <w:jc w:val="center"/>
            </w:pPr>
            <w:r>
              <w:drawing>
                <wp:inline xmlns:a="http://schemas.openxmlformats.org/drawingml/2006/main" xmlns:pic="http://schemas.openxmlformats.org/drawingml/2006/picture">
                  <wp:extent cx="5394960" cy="393382"/>
                  <wp:docPr id="6" name="Picture 6"/>
                  <wp:cNvGraphicFramePr>
                    <a:graphicFrameLocks noChangeAspect="1"/>
                  </wp:cNvGraphicFramePr>
                  <a:graphic>
                    <a:graphicData uri="http://schemas.openxmlformats.org/drawingml/2006/picture">
                      <pic:pic>
                        <pic:nvPicPr>
                          <pic:cNvPr id="0" name="formula_6.png"/>
                          <pic:cNvPicPr/>
                        </pic:nvPicPr>
                        <pic:blipFill>
                          <a:blip r:embed="rId14"/>
                          <a:stretch>
                            <a:fillRect/>
                          </a:stretch>
                        </pic:blipFill>
                        <pic:spPr>
                          <a:xfrm>
                            <a:off x="0" y="0"/>
                            <a:ext cx="5394960" cy="393382"/>
                          </a:xfrm>
                          <a:prstGeom prst="rect"/>
                        </pic:spPr>
                      </pic:pic>
                    </a:graphicData>
                  </a:graphic>
                </wp:inline>
              </w:drawing>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