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9AEE" w14:textId="48ED40A4" w:rsidR="00C14EF9" w:rsidRDefault="00C14EF9">
      <w:pPr>
        <w:rPr>
          <w:rFonts w:ascii="Times New Roman" w:hAnsi="Times New Roman" w:cs="Times New Roman"/>
          <w:sz w:val="24"/>
          <w:szCs w:val="24"/>
        </w:rPr>
      </w:pPr>
      <w:r w:rsidRPr="00D9523E">
        <w:rPr>
          <w:rFonts w:ascii="Times New Roman" w:hAnsi="Times New Roman" w:cs="Times New Roman"/>
          <w:sz w:val="24"/>
          <w:szCs w:val="24"/>
        </w:rPr>
        <w:t>STANDARD 8</w:t>
      </w:r>
    </w:p>
    <w:p w14:paraId="50D5AFF7" w14:textId="35C7A584" w:rsidR="00E85F7C" w:rsidRDefault="002863C8">
      <w:pPr>
        <w:rPr>
          <w:rFonts w:ascii="Times New Roman" w:hAnsi="Times New Roman" w:cs="Times New Roman"/>
          <w:sz w:val="24"/>
          <w:szCs w:val="24"/>
        </w:rPr>
      </w:pPr>
      <w:r>
        <w:rPr>
          <w:rFonts w:ascii="Times New Roman" w:hAnsi="Times New Roman" w:cs="Times New Roman"/>
          <w:sz w:val="24"/>
          <w:szCs w:val="24"/>
        </w:rPr>
        <w:t>Requirements:</w:t>
      </w:r>
    </w:p>
    <w:p w14:paraId="52AED108" w14:textId="5A9BA0FE" w:rsidR="007D70D9" w:rsidRDefault="007D70D9" w:rsidP="007D70D9">
      <w:pPr>
        <w:spacing w:after="0"/>
        <w:rPr>
          <w:rFonts w:ascii="Times New Roman" w:hAnsi="Times New Roman" w:cs="Times New Roman"/>
          <w:sz w:val="24"/>
          <w:szCs w:val="24"/>
        </w:rPr>
      </w:pPr>
      <w:r>
        <w:rPr>
          <w:rFonts w:ascii="Times New Roman" w:hAnsi="Times New Roman" w:cs="Times New Roman"/>
          <w:sz w:val="24"/>
          <w:szCs w:val="24"/>
        </w:rPr>
        <w:t>L</w:t>
      </w:r>
      <w:r w:rsidRPr="007D70D9">
        <w:rPr>
          <w:rFonts w:ascii="Times New Roman" w:hAnsi="Times New Roman" w:cs="Times New Roman"/>
          <w:sz w:val="24"/>
          <w:szCs w:val="24"/>
        </w:rPr>
        <w:t>CRNS.3.0130 LANS Service Geometric Dilution of Precision (GDOP)</w:t>
      </w:r>
    </w:p>
    <w:p w14:paraId="5ABB3A26" w14:textId="77777777" w:rsidR="007D70D9" w:rsidRPr="007D70D9" w:rsidRDefault="007D70D9" w:rsidP="007D70D9">
      <w:pPr>
        <w:spacing w:after="0"/>
        <w:rPr>
          <w:rFonts w:ascii="Times New Roman" w:hAnsi="Times New Roman" w:cs="Times New Roman"/>
          <w:sz w:val="24"/>
          <w:szCs w:val="24"/>
        </w:rPr>
      </w:pPr>
      <w:r w:rsidRPr="007D70D9">
        <w:rPr>
          <w:rFonts w:ascii="Times New Roman" w:hAnsi="Times New Roman" w:cs="Times New Roman"/>
          <w:sz w:val="24"/>
          <w:szCs w:val="24"/>
        </w:rPr>
        <w:t>The Lunar Relay Service shall provide LANS services with Geometric Dilution of</w:t>
      </w:r>
    </w:p>
    <w:p w14:paraId="1F7C1834" w14:textId="5BB2A237" w:rsidR="007D70D9" w:rsidRDefault="007D70D9" w:rsidP="007D70D9">
      <w:pPr>
        <w:spacing w:after="0"/>
        <w:rPr>
          <w:rFonts w:ascii="Times New Roman" w:hAnsi="Times New Roman" w:cs="Times New Roman"/>
          <w:sz w:val="24"/>
          <w:szCs w:val="24"/>
        </w:rPr>
      </w:pPr>
      <w:r w:rsidRPr="007D70D9">
        <w:rPr>
          <w:rFonts w:ascii="Times New Roman" w:hAnsi="Times New Roman" w:cs="Times New Roman"/>
          <w:sz w:val="24"/>
          <w:szCs w:val="24"/>
        </w:rPr>
        <w:t>Precision (GDOP) &lt;6 (TBR) in the Service Volumes identified in Table 3-3.</w:t>
      </w:r>
    </w:p>
    <w:p w14:paraId="7D9DE742" w14:textId="77777777" w:rsidR="007D70D9" w:rsidRDefault="007D70D9">
      <w:pPr>
        <w:rPr>
          <w:rFonts w:ascii="Times New Roman" w:hAnsi="Times New Roman" w:cs="Times New Roman"/>
          <w:sz w:val="24"/>
          <w:szCs w:val="24"/>
        </w:rPr>
      </w:pPr>
    </w:p>
    <w:p w14:paraId="01DFA520" w14:textId="2DBDC9DC" w:rsidR="007D70D9" w:rsidRDefault="007D70D9" w:rsidP="00B769D7">
      <w:pPr>
        <w:spacing w:after="0"/>
        <w:rPr>
          <w:rFonts w:ascii="Times New Roman" w:hAnsi="Times New Roman" w:cs="Times New Roman"/>
          <w:sz w:val="24"/>
          <w:szCs w:val="24"/>
        </w:rPr>
      </w:pPr>
      <w:r w:rsidRPr="007D70D9">
        <w:rPr>
          <w:rFonts w:ascii="Times New Roman" w:hAnsi="Times New Roman" w:cs="Times New Roman"/>
          <w:sz w:val="24"/>
          <w:szCs w:val="24"/>
        </w:rPr>
        <w:t>LCRNS.3.0240 EVA surface initial Operations Duration</w:t>
      </w:r>
    </w:p>
    <w:p w14:paraId="441B5002" w14:textId="58466703" w:rsidR="00B769D7" w:rsidRDefault="00B769D7" w:rsidP="00B769D7">
      <w:pPr>
        <w:spacing w:after="0"/>
        <w:rPr>
          <w:rFonts w:ascii="Times New Roman" w:hAnsi="Times New Roman" w:cs="Times New Roman"/>
          <w:sz w:val="24"/>
          <w:szCs w:val="24"/>
        </w:rPr>
      </w:pPr>
      <w:r w:rsidRPr="00B769D7">
        <w:rPr>
          <w:rFonts w:ascii="Times New Roman" w:hAnsi="Times New Roman" w:cs="Times New Roman"/>
          <w:sz w:val="24"/>
          <w:szCs w:val="24"/>
        </w:rPr>
        <w:t>The Lunar Relay Service shall provide navigation services such that the NASA</w:t>
      </w:r>
      <w:r>
        <w:rPr>
          <w:rFonts w:ascii="Times New Roman" w:hAnsi="Times New Roman" w:cs="Times New Roman"/>
          <w:sz w:val="24"/>
          <w:szCs w:val="24"/>
        </w:rPr>
        <w:t xml:space="preserve"> </w:t>
      </w:r>
      <w:r w:rsidRPr="00B769D7">
        <w:rPr>
          <w:rFonts w:ascii="Times New Roman" w:hAnsi="Times New Roman" w:cs="Times New Roman"/>
          <w:sz w:val="24"/>
          <w:szCs w:val="24"/>
        </w:rPr>
        <w:t>human spaceflight architecture on the lunar surface can meet a minimum of 24</w:t>
      </w:r>
      <w:r>
        <w:rPr>
          <w:rFonts w:ascii="Times New Roman" w:hAnsi="Times New Roman" w:cs="Times New Roman"/>
          <w:sz w:val="24"/>
          <w:szCs w:val="24"/>
        </w:rPr>
        <w:t xml:space="preserve"> </w:t>
      </w:r>
      <w:r w:rsidRPr="00B769D7">
        <w:rPr>
          <w:rFonts w:ascii="Times New Roman" w:hAnsi="Times New Roman" w:cs="Times New Roman"/>
          <w:sz w:val="24"/>
          <w:szCs w:val="24"/>
        </w:rPr>
        <w:t>hours of cumulative surface EVA time per crewmember per 7 Earth-day period</w:t>
      </w:r>
      <w:r>
        <w:rPr>
          <w:rFonts w:ascii="Times New Roman" w:hAnsi="Times New Roman" w:cs="Times New Roman"/>
          <w:sz w:val="24"/>
          <w:szCs w:val="24"/>
        </w:rPr>
        <w:t xml:space="preserve"> </w:t>
      </w:r>
      <w:r w:rsidRPr="00B769D7">
        <w:rPr>
          <w:rFonts w:ascii="Times New Roman" w:hAnsi="Times New Roman" w:cs="Times New Roman"/>
          <w:sz w:val="24"/>
          <w:szCs w:val="24"/>
        </w:rPr>
        <w:t>during surface stays greater than or equal to 14 Earth-days.</w:t>
      </w:r>
    </w:p>
    <w:p w14:paraId="1FEAB143" w14:textId="77777777" w:rsidR="00B769D7" w:rsidRPr="00B769D7" w:rsidRDefault="00B769D7" w:rsidP="00B769D7">
      <w:pPr>
        <w:spacing w:after="0"/>
        <w:rPr>
          <w:rFonts w:ascii="Times New Roman" w:hAnsi="Times New Roman" w:cs="Times New Roman"/>
          <w:sz w:val="24"/>
          <w:szCs w:val="24"/>
        </w:rPr>
      </w:pPr>
    </w:p>
    <w:p w14:paraId="47259052" w14:textId="099F22A5" w:rsidR="002863C8" w:rsidRDefault="002863C8" w:rsidP="00B769D7">
      <w:pPr>
        <w:spacing w:after="0"/>
        <w:rPr>
          <w:rFonts w:ascii="Times New Roman" w:hAnsi="Times New Roman" w:cs="Times New Roman"/>
          <w:sz w:val="24"/>
          <w:szCs w:val="24"/>
        </w:rPr>
      </w:pPr>
      <w:r>
        <w:rPr>
          <w:rFonts w:ascii="Times New Roman" w:hAnsi="Times New Roman" w:cs="Times New Roman"/>
          <w:sz w:val="24"/>
          <w:szCs w:val="24"/>
        </w:rPr>
        <w:t>L</w:t>
      </w:r>
      <w:r w:rsidRPr="002863C8">
        <w:rPr>
          <w:rFonts w:ascii="Times New Roman" w:hAnsi="Times New Roman" w:cs="Times New Roman"/>
          <w:sz w:val="24"/>
          <w:szCs w:val="24"/>
        </w:rPr>
        <w:t xml:space="preserve">CRNS.3.0570 Position, Navigation, and Timing </w:t>
      </w:r>
      <w:r>
        <w:rPr>
          <w:rFonts w:ascii="Times New Roman" w:hAnsi="Times New Roman" w:cs="Times New Roman"/>
          <w:sz w:val="24"/>
          <w:szCs w:val="24"/>
        </w:rPr>
        <w:t>–</w:t>
      </w:r>
      <w:r w:rsidRPr="002863C8">
        <w:rPr>
          <w:rFonts w:ascii="Times New Roman" w:hAnsi="Times New Roman" w:cs="Times New Roman"/>
          <w:sz w:val="24"/>
          <w:szCs w:val="24"/>
        </w:rPr>
        <w:t xml:space="preserve"> User</w:t>
      </w:r>
    </w:p>
    <w:p w14:paraId="3900DC79" w14:textId="3A4F7B2D" w:rsidR="00B769D7" w:rsidRDefault="00B769D7" w:rsidP="00B769D7">
      <w:pPr>
        <w:spacing w:after="0"/>
        <w:rPr>
          <w:rFonts w:ascii="Times New Roman" w:hAnsi="Times New Roman" w:cs="Times New Roman"/>
          <w:sz w:val="24"/>
          <w:szCs w:val="24"/>
        </w:rPr>
      </w:pPr>
      <w:bookmarkStart w:id="0" w:name="_Hlk161950298"/>
      <w:r w:rsidRPr="00B769D7">
        <w:rPr>
          <w:rFonts w:ascii="Times New Roman" w:hAnsi="Times New Roman" w:cs="Times New Roman"/>
          <w:sz w:val="24"/>
          <w:szCs w:val="24"/>
        </w:rPr>
        <w:t xml:space="preserve">The Lunar Relay Service shall provide </w:t>
      </w:r>
      <w:bookmarkEnd w:id="0"/>
      <w:r w:rsidRPr="00B769D7">
        <w:rPr>
          <w:rFonts w:ascii="Times New Roman" w:hAnsi="Times New Roman" w:cs="Times New Roman"/>
          <w:sz w:val="24"/>
          <w:szCs w:val="24"/>
        </w:rPr>
        <w:t>PNT services such that user PNT</w:t>
      </w:r>
      <w:r>
        <w:rPr>
          <w:rFonts w:ascii="Times New Roman" w:hAnsi="Times New Roman" w:cs="Times New Roman"/>
          <w:sz w:val="24"/>
          <w:szCs w:val="24"/>
        </w:rPr>
        <w:t xml:space="preserve"> </w:t>
      </w:r>
      <w:r w:rsidRPr="00B769D7">
        <w:rPr>
          <w:rFonts w:ascii="Times New Roman" w:hAnsi="Times New Roman" w:cs="Times New Roman"/>
          <w:sz w:val="24"/>
          <w:szCs w:val="24"/>
        </w:rPr>
        <w:t>performance (TBR) listed in Table 3‑10 are met, specified in a lunar-centric inertial</w:t>
      </w:r>
      <w:r>
        <w:rPr>
          <w:rFonts w:ascii="Times New Roman" w:hAnsi="Times New Roman" w:cs="Times New Roman"/>
          <w:sz w:val="24"/>
          <w:szCs w:val="24"/>
        </w:rPr>
        <w:t xml:space="preserve"> </w:t>
      </w:r>
      <w:r w:rsidRPr="00B769D7">
        <w:rPr>
          <w:rFonts w:ascii="Times New Roman" w:hAnsi="Times New Roman" w:cs="Times New Roman"/>
          <w:sz w:val="24"/>
          <w:szCs w:val="24"/>
        </w:rPr>
        <w:t>frame.</w:t>
      </w:r>
    </w:p>
    <w:p w14:paraId="16354CA9" w14:textId="77777777" w:rsidR="00B769D7" w:rsidRDefault="00B769D7" w:rsidP="00B769D7">
      <w:pPr>
        <w:spacing w:after="0"/>
        <w:rPr>
          <w:rFonts w:ascii="Times New Roman" w:hAnsi="Times New Roman" w:cs="Times New Roman"/>
          <w:sz w:val="24"/>
          <w:szCs w:val="24"/>
        </w:rPr>
      </w:pPr>
    </w:p>
    <w:p w14:paraId="0DD8B6C4" w14:textId="1A1C1395" w:rsidR="007D70D9" w:rsidRDefault="007D70D9" w:rsidP="00B769D7">
      <w:pPr>
        <w:spacing w:after="0"/>
        <w:rPr>
          <w:rFonts w:ascii="Times New Roman" w:hAnsi="Times New Roman" w:cs="Times New Roman"/>
          <w:sz w:val="24"/>
          <w:szCs w:val="24"/>
        </w:rPr>
      </w:pPr>
      <w:r>
        <w:rPr>
          <w:rFonts w:ascii="Times New Roman" w:hAnsi="Times New Roman" w:cs="Times New Roman"/>
          <w:sz w:val="24"/>
          <w:szCs w:val="24"/>
        </w:rPr>
        <w:t>L</w:t>
      </w:r>
      <w:r w:rsidRPr="002863C8">
        <w:rPr>
          <w:rFonts w:ascii="Times New Roman" w:hAnsi="Times New Roman" w:cs="Times New Roman"/>
          <w:sz w:val="24"/>
          <w:szCs w:val="24"/>
        </w:rPr>
        <w:t>CRNS.3.0</w:t>
      </w:r>
      <w:r>
        <w:rPr>
          <w:rFonts w:ascii="Times New Roman" w:hAnsi="Times New Roman" w:cs="Times New Roman"/>
          <w:sz w:val="24"/>
          <w:szCs w:val="24"/>
        </w:rPr>
        <w:t>60</w:t>
      </w:r>
      <w:r w:rsidRPr="002863C8">
        <w:rPr>
          <w:rFonts w:ascii="Times New Roman" w:hAnsi="Times New Roman" w:cs="Times New Roman"/>
          <w:sz w:val="24"/>
          <w:szCs w:val="24"/>
        </w:rPr>
        <w:t xml:space="preserve">0 Position, Navigation, and Timing </w:t>
      </w:r>
      <w:r>
        <w:rPr>
          <w:rFonts w:ascii="Times New Roman" w:hAnsi="Times New Roman" w:cs="Times New Roman"/>
          <w:sz w:val="24"/>
          <w:szCs w:val="24"/>
        </w:rPr>
        <w:t>–</w:t>
      </w:r>
      <w:r w:rsidRPr="002863C8">
        <w:rPr>
          <w:rFonts w:ascii="Times New Roman" w:hAnsi="Times New Roman" w:cs="Times New Roman"/>
          <w:sz w:val="24"/>
          <w:szCs w:val="24"/>
        </w:rPr>
        <w:t xml:space="preserve"> </w:t>
      </w:r>
      <w:r>
        <w:rPr>
          <w:rFonts w:ascii="Times New Roman" w:hAnsi="Times New Roman" w:cs="Times New Roman"/>
          <w:sz w:val="24"/>
          <w:szCs w:val="24"/>
        </w:rPr>
        <w:t>(Service Reference Signals)</w:t>
      </w:r>
    </w:p>
    <w:p w14:paraId="4227FE57" w14:textId="582AF88C" w:rsidR="00B769D7" w:rsidRDefault="00B769D7" w:rsidP="00B769D7">
      <w:pPr>
        <w:spacing w:after="0"/>
        <w:rPr>
          <w:rFonts w:ascii="Times New Roman" w:hAnsi="Times New Roman" w:cs="Times New Roman"/>
          <w:sz w:val="24"/>
          <w:szCs w:val="24"/>
        </w:rPr>
      </w:pPr>
      <w:r w:rsidRPr="00B769D7">
        <w:rPr>
          <w:rFonts w:ascii="Times New Roman" w:hAnsi="Times New Roman" w:cs="Times New Roman"/>
          <w:sz w:val="24"/>
          <w:szCs w:val="24"/>
        </w:rPr>
        <w:t>The Lunar Relay Service shall provide</w:t>
      </w:r>
      <w:r>
        <w:rPr>
          <w:rFonts w:ascii="Times New Roman" w:hAnsi="Times New Roman" w:cs="Times New Roman"/>
          <w:sz w:val="24"/>
          <w:szCs w:val="24"/>
        </w:rPr>
        <w:t xml:space="preserve"> signals with SISE contributions as specific in Table 3-11 or better.</w:t>
      </w:r>
    </w:p>
    <w:p w14:paraId="6865C2E7" w14:textId="77777777" w:rsidR="00B769D7" w:rsidRDefault="00B769D7" w:rsidP="00E85F7C">
      <w:pPr>
        <w:rPr>
          <w:rFonts w:ascii="Times New Roman" w:hAnsi="Times New Roman" w:cs="Times New Roman"/>
          <w:b/>
          <w:bCs/>
          <w:sz w:val="24"/>
          <w:szCs w:val="24"/>
        </w:rPr>
      </w:pPr>
    </w:p>
    <w:p w14:paraId="0A07F006" w14:textId="5E9DD79E" w:rsidR="00C14EF9" w:rsidRDefault="00E85F7C" w:rsidP="00E85F7C">
      <w:pPr>
        <w:rPr>
          <w:rFonts w:ascii="Times New Roman" w:hAnsi="Times New Roman" w:cs="Times New Roman"/>
          <w:sz w:val="24"/>
          <w:szCs w:val="24"/>
        </w:rPr>
      </w:pPr>
      <w:r w:rsidRPr="00B769D7">
        <w:rPr>
          <w:rFonts w:ascii="Times New Roman" w:hAnsi="Times New Roman" w:cs="Times New Roman"/>
          <w:b/>
          <w:bCs/>
          <w:sz w:val="24"/>
          <w:szCs w:val="24"/>
        </w:rPr>
        <w:t>Finding</w:t>
      </w:r>
      <w:r w:rsidRPr="00E85F7C">
        <w:rPr>
          <w:rFonts w:ascii="Times New Roman" w:hAnsi="Times New Roman" w:cs="Times New Roman"/>
          <w:sz w:val="24"/>
          <w:szCs w:val="24"/>
        </w:rPr>
        <w:t>: Based on Government in‐house analyses, the described system does not adequately</w:t>
      </w:r>
      <w:r>
        <w:rPr>
          <w:rFonts w:ascii="Times New Roman" w:hAnsi="Times New Roman" w:cs="Times New Roman"/>
          <w:sz w:val="24"/>
          <w:szCs w:val="24"/>
        </w:rPr>
        <w:t xml:space="preserve"> </w:t>
      </w:r>
      <w:r w:rsidRPr="00E85F7C">
        <w:rPr>
          <w:rFonts w:ascii="Times New Roman" w:hAnsi="Times New Roman" w:cs="Times New Roman"/>
          <w:sz w:val="24"/>
          <w:szCs w:val="24"/>
        </w:rPr>
        <w:t>demonstrate compliance with the required GDOP &lt;6 coverage over 40% of each Earth Day.</w:t>
      </w:r>
      <w:r>
        <w:rPr>
          <w:rFonts w:ascii="Times New Roman" w:hAnsi="Times New Roman" w:cs="Times New Roman"/>
          <w:sz w:val="24"/>
          <w:szCs w:val="24"/>
        </w:rPr>
        <w:t xml:space="preserve">  </w:t>
      </w:r>
    </w:p>
    <w:p w14:paraId="6667BCDD" w14:textId="723EBAFA" w:rsidR="00E85F7C" w:rsidRDefault="00E85F7C" w:rsidP="00E85F7C">
      <w:pPr>
        <w:rPr>
          <w:rFonts w:ascii="Times New Roman" w:hAnsi="Times New Roman" w:cs="Times New Roman"/>
          <w:sz w:val="24"/>
          <w:szCs w:val="24"/>
        </w:rPr>
      </w:pPr>
      <w:r w:rsidRPr="00B769D7">
        <w:rPr>
          <w:rFonts w:ascii="Times New Roman" w:hAnsi="Times New Roman" w:cs="Times New Roman"/>
          <w:b/>
          <w:bCs/>
          <w:sz w:val="24"/>
          <w:szCs w:val="24"/>
        </w:rPr>
        <w:t>Finding</w:t>
      </w:r>
      <w:r>
        <w:rPr>
          <w:rFonts w:ascii="Times New Roman" w:hAnsi="Times New Roman" w:cs="Times New Roman"/>
          <w:sz w:val="24"/>
          <w:szCs w:val="24"/>
        </w:rPr>
        <w:t xml:space="preserve">: </w:t>
      </w:r>
      <w:r w:rsidRPr="00E85F7C">
        <w:rPr>
          <w:rFonts w:ascii="Times New Roman" w:hAnsi="Times New Roman" w:cs="Times New Roman"/>
          <w:sz w:val="24"/>
          <w:szCs w:val="24"/>
        </w:rPr>
        <w:t>Proposal does not adequately describe how compliance with LCRNS.3.0130 LANS Service</w:t>
      </w:r>
      <w:r>
        <w:rPr>
          <w:rFonts w:ascii="Times New Roman" w:hAnsi="Times New Roman" w:cs="Times New Roman"/>
          <w:sz w:val="24"/>
          <w:szCs w:val="24"/>
        </w:rPr>
        <w:t xml:space="preserve"> </w:t>
      </w:r>
      <w:r w:rsidRPr="00E85F7C">
        <w:rPr>
          <w:rFonts w:ascii="Times New Roman" w:hAnsi="Times New Roman" w:cs="Times New Roman"/>
          <w:sz w:val="24"/>
          <w:szCs w:val="24"/>
        </w:rPr>
        <w:t>GDOP is achieved, especially for IOC‐C</w:t>
      </w:r>
      <w:r>
        <w:rPr>
          <w:rFonts w:ascii="Times New Roman" w:hAnsi="Times New Roman" w:cs="Times New Roman"/>
          <w:sz w:val="24"/>
          <w:szCs w:val="24"/>
        </w:rPr>
        <w:t>.</w:t>
      </w:r>
    </w:p>
    <w:p w14:paraId="6B9801D4" w14:textId="03E8144A" w:rsidR="00E85F7C" w:rsidRPr="00D9523E" w:rsidRDefault="00E85F7C" w:rsidP="00E85F7C">
      <w:pPr>
        <w:rPr>
          <w:rFonts w:ascii="Times New Roman" w:hAnsi="Times New Roman" w:cs="Times New Roman"/>
          <w:sz w:val="24"/>
          <w:szCs w:val="24"/>
        </w:rPr>
      </w:pPr>
      <w:r w:rsidRPr="00B769D7">
        <w:rPr>
          <w:rFonts w:ascii="Times New Roman" w:hAnsi="Times New Roman" w:cs="Times New Roman"/>
          <w:b/>
          <w:bCs/>
          <w:sz w:val="24"/>
          <w:szCs w:val="24"/>
        </w:rPr>
        <w:t>Finding</w:t>
      </w:r>
      <w:r w:rsidRPr="00E85F7C">
        <w:rPr>
          <w:rFonts w:ascii="Times New Roman" w:hAnsi="Times New Roman" w:cs="Times New Roman"/>
          <w:sz w:val="24"/>
          <w:szCs w:val="24"/>
        </w:rPr>
        <w:t>: Government analyses related to LCRNS.3.0240 EVA Surface Initial Operations Duration show</w:t>
      </w:r>
      <w:r>
        <w:rPr>
          <w:rFonts w:ascii="Times New Roman" w:hAnsi="Times New Roman" w:cs="Times New Roman"/>
          <w:sz w:val="24"/>
          <w:szCs w:val="24"/>
        </w:rPr>
        <w:t xml:space="preserve"> </w:t>
      </w:r>
      <w:r w:rsidRPr="00E85F7C">
        <w:rPr>
          <w:rFonts w:ascii="Times New Roman" w:hAnsi="Times New Roman" w:cs="Times New Roman"/>
          <w:sz w:val="24"/>
          <w:szCs w:val="24"/>
        </w:rPr>
        <w:t xml:space="preserve">continuous coverage gaps every 4‐6 </w:t>
      </w:r>
      <w:proofErr w:type="gramStart"/>
      <w:r w:rsidRPr="00E85F7C">
        <w:rPr>
          <w:rFonts w:ascii="Times New Roman" w:hAnsi="Times New Roman" w:cs="Times New Roman"/>
          <w:sz w:val="24"/>
          <w:szCs w:val="24"/>
        </w:rPr>
        <w:t>days</w:t>
      </w:r>
      <w:proofErr w:type="gramEnd"/>
      <w:r w:rsidRPr="00E85F7C">
        <w:rPr>
          <w:rFonts w:ascii="Times New Roman" w:hAnsi="Times New Roman" w:cs="Times New Roman"/>
          <w:sz w:val="24"/>
          <w:szCs w:val="24"/>
        </w:rPr>
        <w:t>‐step in 30 days cycle. Proposal does not adequately describe</w:t>
      </w:r>
      <w:r>
        <w:rPr>
          <w:rFonts w:ascii="Times New Roman" w:hAnsi="Times New Roman" w:cs="Times New Roman"/>
          <w:sz w:val="24"/>
          <w:szCs w:val="24"/>
        </w:rPr>
        <w:t xml:space="preserve"> </w:t>
      </w:r>
      <w:r w:rsidRPr="00E85F7C">
        <w:rPr>
          <w:rFonts w:ascii="Times New Roman" w:hAnsi="Times New Roman" w:cs="Times New Roman"/>
          <w:sz w:val="24"/>
          <w:szCs w:val="24"/>
        </w:rPr>
        <w:t>how compliance is achieved.</w:t>
      </w:r>
    </w:p>
    <w:p w14:paraId="433D40EA" w14:textId="1288C4E1" w:rsidR="00C14EF9" w:rsidRDefault="00364AAA">
      <w:pPr>
        <w:rPr>
          <w:rFonts w:ascii="Times New Roman" w:hAnsi="Times New Roman" w:cs="Times New Roman"/>
          <w:sz w:val="24"/>
          <w:szCs w:val="24"/>
        </w:rPr>
      </w:pPr>
      <w:r w:rsidRPr="00D9523E">
        <w:rPr>
          <w:rFonts w:ascii="Times New Roman" w:hAnsi="Times New Roman" w:cs="Times New Roman"/>
          <w:sz w:val="24"/>
          <w:szCs w:val="24"/>
        </w:rPr>
        <w:t xml:space="preserve">IM </w:t>
      </w:r>
      <w:r w:rsidR="00C14EF9" w:rsidRPr="00D9523E">
        <w:rPr>
          <w:rFonts w:ascii="Times New Roman" w:hAnsi="Times New Roman" w:cs="Times New Roman"/>
          <w:sz w:val="24"/>
          <w:szCs w:val="24"/>
        </w:rPr>
        <w:t>WRITTEN RESPONSE:</w:t>
      </w:r>
    </w:p>
    <w:p w14:paraId="21290FCF"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IM/Raytheon team is in the process of updating the satellite constellation models based on this</w:t>
      </w:r>
    </w:p>
    <w:p w14:paraId="3F5043A7"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feedback from the government.</w:t>
      </w:r>
    </w:p>
    <w:p w14:paraId="05403424"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constellation shown in Figure 1 shows the configuration of the proposed system across IOC phases.</w:t>
      </w:r>
    </w:p>
    <w:p w14:paraId="0B1CEDB9"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constellation consists of two satellites in highly elliptical frozen orbits, Khon‐</w:t>
      </w:r>
      <w:proofErr w:type="gramStart"/>
      <w:r>
        <w:rPr>
          <w:rFonts w:ascii="Calibri" w:hAnsi="Calibri" w:cs="Calibri"/>
          <w:color w:val="4472C5"/>
        </w:rPr>
        <w:t>3</w:t>
      </w:r>
      <w:proofErr w:type="gramEnd"/>
      <w:r>
        <w:rPr>
          <w:rFonts w:ascii="Calibri" w:hAnsi="Calibri" w:cs="Calibri"/>
          <w:color w:val="4472C5"/>
        </w:rPr>
        <w:t xml:space="preserve"> and Khon‐4 in ELFO 1</w:t>
      </w:r>
    </w:p>
    <w:p w14:paraId="6FD87EDD"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and ELFO2 respectively, and two satellites in halo orbits at the earth moon Lagrange points, Khon‐5 and</w:t>
      </w:r>
    </w:p>
    <w:p w14:paraId="5F87C803"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Khon‐6 in EML1 and EML2. The periods of the highly elliptical frozen orbits are 29 hours. The period of</w:t>
      </w:r>
    </w:p>
    <w:p w14:paraId="7711124C"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EML1 halo is 12 days and the EML2 halo is 14.5 days. These two orbits will sync over the south pole</w:t>
      </w:r>
    </w:p>
    <w:p w14:paraId="64F7ED6F"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every 69.6 days.</w:t>
      </w:r>
    </w:p>
    <w:p w14:paraId="165CB709"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We note that two highly elliptical frozen lunar orbit satellites in ELFO1 and ELFO2 orbits sharing a single</w:t>
      </w:r>
    </w:p>
    <w:p w14:paraId="7DE68379"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apolune above the south pole and spend 91% of their 29‐hour orbits at altitudes sufficient to cover the</w:t>
      </w:r>
    </w:p>
    <w:p w14:paraId="0F4EA36F"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south pole. These satellites spend 2.5 hours out of view of the south pole per 29‐hour orbit. This gives us</w:t>
      </w:r>
    </w:p>
    <w:p w14:paraId="56E09125"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81% of the orbit where both ELO satellites are above the horizon.</w:t>
      </w:r>
    </w:p>
    <w:p w14:paraId="002D1EA6"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lastRenderedPageBreak/>
        <w:t>We also note that all these coverage percentages increase at the top of the 200 km high zone bounding</w:t>
      </w:r>
    </w:p>
    <w:p w14:paraId="5DFD707D"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service volumes.</w:t>
      </w:r>
    </w:p>
    <w:p w14:paraId="5ED14F5D"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Final Proposal Revision will provide clear descriptions of how the proposed service achieves</w:t>
      </w:r>
    </w:p>
    <w:p w14:paraId="1EDE96DA"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compliance with the standards in these findings. Please note the responses to individual findings below.</w:t>
      </w:r>
    </w:p>
    <w:p w14:paraId="23F5A0DD" w14:textId="5AC5746F" w:rsidR="002727A2" w:rsidRDefault="002727A2">
      <w:pPr>
        <w:rPr>
          <w:rFonts w:ascii="Times New Roman" w:hAnsi="Times New Roman" w:cs="Times New Roman"/>
          <w:sz w:val="24"/>
          <w:szCs w:val="24"/>
        </w:rPr>
      </w:pPr>
    </w:p>
    <w:p w14:paraId="6DA673E0"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The IM team performed additional analysis with the Georgia Tech Space Systems Design Laboratory to</w:t>
      </w:r>
    </w:p>
    <w:p w14:paraId="25B84433"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refine the operational metrics for the Khon network. Our simulations in Figure 3 for GDOP coverage</w:t>
      </w:r>
    </w:p>
    <w:p w14:paraId="291D1AB1"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indicate that we can meet the GDOP &lt;6 coverage requirement with six satellites. On average we have 4</w:t>
      </w:r>
    </w:p>
    <w:p w14:paraId="5C95BAB0"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of 6 in view at one time within the LSP coverage zone, but there are times that that drops down to 2</w:t>
      </w:r>
    </w:p>
    <w:p w14:paraId="7727C93A" w14:textId="1B10E64F"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where the GDOP increases.</w:t>
      </w:r>
    </w:p>
    <w:p w14:paraId="726023DC" w14:textId="329C484D" w:rsidR="001472A3" w:rsidRPr="001472A3" w:rsidRDefault="001472A3" w:rsidP="002727A2">
      <w:pPr>
        <w:autoSpaceDE w:val="0"/>
        <w:autoSpaceDN w:val="0"/>
        <w:adjustRightInd w:val="0"/>
        <w:spacing w:after="0" w:line="240" w:lineRule="auto"/>
        <w:rPr>
          <w:rFonts w:ascii="Calibri-Italic" w:hAnsi="Calibri-Italic" w:cs="Calibri-Italic"/>
          <w:i/>
          <w:iCs/>
          <w:color w:val="44546A"/>
          <w:sz w:val="18"/>
          <w:szCs w:val="18"/>
        </w:rPr>
      </w:pPr>
      <w:r>
        <w:rPr>
          <w:rFonts w:ascii="Calibri-Italic" w:hAnsi="Calibri-Italic" w:cs="Calibri-Italic"/>
          <w:i/>
          <w:iCs/>
          <w:color w:val="44546A"/>
          <w:sz w:val="18"/>
          <w:szCs w:val="18"/>
        </w:rPr>
        <w:t>Figure 1 ‐‐ Satellite Network Configurations Through IOC‐C</w:t>
      </w:r>
    </w:p>
    <w:p w14:paraId="4C5FA75D"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 xml:space="preserve">However, the Khon1 satellite does not provide PNT services. Excluding Khon1 from coverage, </w:t>
      </w:r>
      <w:proofErr w:type="gramStart"/>
      <w:r>
        <w:rPr>
          <w:rFonts w:ascii="Calibri" w:hAnsi="Calibri" w:cs="Calibri"/>
          <w:color w:val="4472C5"/>
        </w:rPr>
        <w:t>our</w:t>
      </w:r>
      <w:proofErr w:type="gramEnd"/>
    </w:p>
    <w:p w14:paraId="0CA466D7"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simulations in Figure 2 show that we can definitively meet GDOP &lt;6 requirements through IOC‐B in the</w:t>
      </w:r>
    </w:p>
    <w:p w14:paraId="0CB9F241"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current configuration. At IOC‐C, the percent of time that GDOP is &lt;6 at all points within the service volume simultaneously is only 23%. Each point within the service volume still has GDOP &lt;6 for at least</w:t>
      </w:r>
    </w:p>
    <w:p w14:paraId="548F4F53"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50% of the day, though, so we believe this is still compliant with the requirement. The IM team will</w:t>
      </w:r>
    </w:p>
    <w:p w14:paraId="18E30756"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perform optimizations of the Khon2‐6 orbits for the FPR to explore potential performance</w:t>
      </w:r>
    </w:p>
    <w:p w14:paraId="589D1C19"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improvements beyond the current offering. Updated calculations will be presented in oral discussions</w:t>
      </w:r>
    </w:p>
    <w:p w14:paraId="1E4BCB38" w14:textId="77777777" w:rsidR="002727A2" w:rsidRDefault="002727A2" w:rsidP="002727A2">
      <w:pPr>
        <w:autoSpaceDE w:val="0"/>
        <w:autoSpaceDN w:val="0"/>
        <w:adjustRightInd w:val="0"/>
        <w:spacing w:after="0" w:line="240" w:lineRule="auto"/>
        <w:rPr>
          <w:rFonts w:ascii="Calibri" w:hAnsi="Calibri" w:cs="Calibri"/>
          <w:color w:val="4472C5"/>
        </w:rPr>
      </w:pPr>
      <w:r>
        <w:rPr>
          <w:rFonts w:ascii="Calibri" w:hAnsi="Calibri" w:cs="Calibri"/>
          <w:color w:val="4472C5"/>
        </w:rPr>
        <w:t>and the FPR.</w:t>
      </w:r>
    </w:p>
    <w:p w14:paraId="40D9325E" w14:textId="77777777" w:rsidR="001472A3" w:rsidRDefault="001472A3" w:rsidP="001472A3">
      <w:pPr>
        <w:autoSpaceDE w:val="0"/>
        <w:autoSpaceDN w:val="0"/>
        <w:adjustRightInd w:val="0"/>
        <w:spacing w:after="0" w:line="240" w:lineRule="auto"/>
        <w:rPr>
          <w:rFonts w:ascii="Calibri-Italic" w:hAnsi="Calibri-Italic" w:cs="Calibri-Italic"/>
          <w:i/>
          <w:iCs/>
          <w:color w:val="44546A"/>
          <w:sz w:val="18"/>
          <w:szCs w:val="18"/>
        </w:rPr>
      </w:pPr>
      <w:r>
        <w:rPr>
          <w:rFonts w:ascii="Calibri-Italic" w:hAnsi="Calibri-Italic" w:cs="Calibri-Italic"/>
          <w:i/>
          <w:iCs/>
          <w:color w:val="44546A"/>
          <w:sz w:val="18"/>
          <w:szCs w:val="18"/>
        </w:rPr>
        <w:t>Figure 3 ‐ Simulated GDOP Coverage at Lunar South Pole for Six Satellites</w:t>
      </w:r>
    </w:p>
    <w:p w14:paraId="676E0BAD" w14:textId="77777777" w:rsidR="001472A3" w:rsidRDefault="001472A3" w:rsidP="001472A3">
      <w:pPr>
        <w:autoSpaceDE w:val="0"/>
        <w:autoSpaceDN w:val="0"/>
        <w:adjustRightInd w:val="0"/>
        <w:spacing w:after="0" w:line="240" w:lineRule="auto"/>
        <w:rPr>
          <w:rFonts w:ascii="Calibri-Italic" w:hAnsi="Calibri-Italic" w:cs="Calibri-Italic"/>
          <w:i/>
          <w:iCs/>
          <w:color w:val="44546A"/>
          <w:sz w:val="18"/>
          <w:szCs w:val="18"/>
        </w:rPr>
      </w:pPr>
      <w:r>
        <w:rPr>
          <w:rFonts w:ascii="Calibri-Italic" w:hAnsi="Calibri-Italic" w:cs="Calibri-Italic"/>
          <w:i/>
          <w:iCs/>
          <w:color w:val="44546A"/>
          <w:sz w:val="18"/>
          <w:szCs w:val="18"/>
        </w:rPr>
        <w:t>Figure 2 ‐ GDOP &lt;6 Coverage for IOC‐A/B/C</w:t>
      </w:r>
    </w:p>
    <w:p w14:paraId="1A0A0798" w14:textId="5EDC2127" w:rsidR="002727A2" w:rsidRDefault="002727A2" w:rsidP="002727A2">
      <w:pPr>
        <w:autoSpaceDE w:val="0"/>
        <w:autoSpaceDN w:val="0"/>
        <w:adjustRightInd w:val="0"/>
        <w:spacing w:after="0" w:line="240" w:lineRule="auto"/>
        <w:rPr>
          <w:rFonts w:ascii="Calibri" w:hAnsi="Calibri" w:cs="Calibri"/>
          <w:color w:val="4472C5"/>
        </w:rPr>
      </w:pPr>
    </w:p>
    <w:p w14:paraId="58D22ABB"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At the beginning of the lunar day, the system provides initial coverage windows of 7.2 days for four SVs</w:t>
      </w:r>
    </w:p>
    <w:p w14:paraId="11BE1CC1"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and 9.5 days for three SVs (with TWTR). During this period, there are only gaps in PNT coverage of 2.5</w:t>
      </w:r>
    </w:p>
    <w:p w14:paraId="4561E344"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hours every 29 hours due to the ELO satellites. After those high visibility periods, there is a 4‐day gap for</w:t>
      </w:r>
    </w:p>
    <w:p w14:paraId="575888A9"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 xml:space="preserve">3SVs (with TWTR) in‐view and a </w:t>
      </w:r>
      <w:proofErr w:type="gramStart"/>
      <w:r>
        <w:rPr>
          <w:rFonts w:ascii="Calibri" w:hAnsi="Calibri" w:cs="Calibri"/>
          <w:color w:val="4472C5"/>
        </w:rPr>
        <w:t>7 day</w:t>
      </w:r>
      <w:proofErr w:type="gramEnd"/>
      <w:r>
        <w:rPr>
          <w:rFonts w:ascii="Calibri" w:hAnsi="Calibri" w:cs="Calibri"/>
          <w:color w:val="4472C5"/>
        </w:rPr>
        <w:t xml:space="preserve"> gap for 4‐SVs in view. Before the beginning of lunar night, there is</w:t>
      </w:r>
    </w:p>
    <w:p w14:paraId="7A7F96E1"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another coverage window of 5.25‐earth days for four SVs and 10 days for three SVs. This supports the</w:t>
      </w:r>
    </w:p>
    <w:p w14:paraId="0BCC2DA1"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PNT services requirement of supporting at least two lunar surface EVAs lasting at least 4 hours nominally</w:t>
      </w:r>
    </w:p>
    <w:p w14:paraId="32FF1E94"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plus 1 hour contingency.</w:t>
      </w:r>
    </w:p>
    <w:p w14:paraId="3DF0C569" w14:textId="77777777" w:rsidR="001472A3" w:rsidRDefault="001472A3" w:rsidP="002727A2">
      <w:pPr>
        <w:autoSpaceDE w:val="0"/>
        <w:autoSpaceDN w:val="0"/>
        <w:adjustRightInd w:val="0"/>
        <w:spacing w:after="0" w:line="240" w:lineRule="auto"/>
        <w:rPr>
          <w:rFonts w:ascii="Calibri" w:hAnsi="Calibri" w:cs="Calibri"/>
          <w:color w:val="4472C5"/>
        </w:rPr>
      </w:pPr>
    </w:p>
    <w:p w14:paraId="6EDACACC" w14:textId="2EFCDDD3" w:rsidR="001472A3" w:rsidRDefault="001472A3" w:rsidP="001472A3">
      <w:pPr>
        <w:rPr>
          <w:rFonts w:ascii="Times New Roman" w:hAnsi="Times New Roman" w:cs="Times New Roman"/>
          <w:sz w:val="24"/>
          <w:szCs w:val="24"/>
        </w:rPr>
      </w:pPr>
      <w:r w:rsidRPr="00D9523E">
        <w:rPr>
          <w:rFonts w:ascii="Times New Roman" w:hAnsi="Times New Roman" w:cs="Times New Roman"/>
          <w:sz w:val="24"/>
          <w:szCs w:val="24"/>
        </w:rPr>
        <w:t xml:space="preserve">IM </w:t>
      </w:r>
      <w:r>
        <w:rPr>
          <w:rFonts w:ascii="Times New Roman" w:hAnsi="Times New Roman" w:cs="Times New Roman"/>
          <w:sz w:val="24"/>
          <w:szCs w:val="24"/>
        </w:rPr>
        <w:t>CURRENT</w:t>
      </w:r>
      <w:r w:rsidRPr="00D9523E">
        <w:rPr>
          <w:rFonts w:ascii="Times New Roman" w:hAnsi="Times New Roman" w:cs="Times New Roman"/>
          <w:sz w:val="24"/>
          <w:szCs w:val="24"/>
        </w:rPr>
        <w:t xml:space="preserve"> RESPONSE:</w:t>
      </w:r>
    </w:p>
    <w:p w14:paraId="140D468A" w14:textId="77777777" w:rsidR="001472A3" w:rsidRDefault="001472A3" w:rsidP="001472A3">
      <w:pPr>
        <w:autoSpaceDE w:val="0"/>
        <w:autoSpaceDN w:val="0"/>
        <w:adjustRightInd w:val="0"/>
        <w:spacing w:after="0" w:line="240" w:lineRule="auto"/>
        <w:rPr>
          <w:rFonts w:ascii="Calibri" w:hAnsi="Calibri" w:cs="Calibri"/>
          <w:color w:val="4472C5"/>
        </w:rPr>
      </w:pPr>
      <w:r>
        <w:rPr>
          <w:rFonts w:ascii="Calibri" w:hAnsi="Calibri" w:cs="Calibri"/>
          <w:color w:val="4472C5"/>
        </w:rPr>
        <w:t>The constellation shown in Figure 1 shows the configuration of the proposed system across IOC phases.</w:t>
      </w:r>
    </w:p>
    <w:p w14:paraId="7B14DFC6" w14:textId="0FFF9158" w:rsidR="00C0563A" w:rsidRDefault="001472A3" w:rsidP="00C0563A">
      <w:pPr>
        <w:autoSpaceDE w:val="0"/>
        <w:autoSpaceDN w:val="0"/>
        <w:adjustRightInd w:val="0"/>
        <w:spacing w:after="0" w:line="240" w:lineRule="auto"/>
        <w:rPr>
          <w:rFonts w:ascii="Calibri" w:hAnsi="Calibri" w:cs="Calibri"/>
          <w:color w:val="4472C5"/>
        </w:rPr>
      </w:pPr>
      <w:r>
        <w:rPr>
          <w:rFonts w:ascii="Calibri" w:hAnsi="Calibri" w:cs="Calibri"/>
          <w:color w:val="4472C5"/>
        </w:rPr>
        <w:t>The constellation consists of five fully compliant PNT satellites in three planes of highly elliptical frozen orbits (ELFO), Khon‐2 and Khon‐4 are grouped in one ELFO plane, Khon-3</w:t>
      </w:r>
      <w:r w:rsidR="00154D88">
        <w:rPr>
          <w:rFonts w:ascii="Calibri" w:hAnsi="Calibri" w:cs="Calibri"/>
          <w:color w:val="4472C5"/>
        </w:rPr>
        <w:t>,</w:t>
      </w:r>
      <w:r>
        <w:rPr>
          <w:rFonts w:ascii="Calibri" w:hAnsi="Calibri" w:cs="Calibri"/>
          <w:color w:val="4472C5"/>
        </w:rPr>
        <w:t xml:space="preserve"> Khon-5</w:t>
      </w:r>
      <w:r w:rsidR="00154D88">
        <w:rPr>
          <w:rFonts w:ascii="Calibri" w:hAnsi="Calibri" w:cs="Calibri"/>
          <w:color w:val="4472C5"/>
        </w:rPr>
        <w:t>, and Khon-6</w:t>
      </w:r>
      <w:r>
        <w:rPr>
          <w:rFonts w:ascii="Calibri" w:hAnsi="Calibri" w:cs="Calibri"/>
          <w:color w:val="4472C5"/>
        </w:rPr>
        <w:t xml:space="preserve"> are </w:t>
      </w:r>
      <w:r w:rsidR="00154D88">
        <w:rPr>
          <w:rFonts w:ascii="Calibri" w:hAnsi="Calibri" w:cs="Calibri"/>
          <w:color w:val="4472C5"/>
        </w:rPr>
        <w:t>in separate</w:t>
      </w:r>
      <w:r w:rsidR="00C0563A">
        <w:rPr>
          <w:rFonts w:ascii="Calibri" w:hAnsi="Calibri" w:cs="Calibri"/>
          <w:color w:val="4472C5"/>
        </w:rPr>
        <w:t xml:space="preserve"> ELFO plane</w:t>
      </w:r>
      <w:r w:rsidR="00154D88">
        <w:rPr>
          <w:rFonts w:ascii="Calibri" w:hAnsi="Calibri" w:cs="Calibri"/>
          <w:color w:val="4472C5"/>
        </w:rPr>
        <w:t>s</w:t>
      </w:r>
      <w:r w:rsidR="00C0563A">
        <w:rPr>
          <w:rFonts w:ascii="Calibri" w:hAnsi="Calibri" w:cs="Calibri"/>
          <w:color w:val="4472C5"/>
        </w:rPr>
        <w:t xml:space="preserve"> that are arranged to provide reliable coverage </w:t>
      </w:r>
      <w:r w:rsidR="00154D88">
        <w:rPr>
          <w:rFonts w:ascii="Calibri" w:hAnsi="Calibri" w:cs="Calibri"/>
          <w:color w:val="4472C5"/>
        </w:rPr>
        <w:t xml:space="preserve">and geometric diversity </w:t>
      </w:r>
      <w:r w:rsidR="00C0563A">
        <w:rPr>
          <w:rFonts w:ascii="Calibri" w:hAnsi="Calibri" w:cs="Calibri"/>
          <w:color w:val="4472C5"/>
        </w:rPr>
        <w:t>during the lunar month.  The constellation configuration has been refined since the initial proposal to both minimize the overall D</w:t>
      </w:r>
      <w:r w:rsidR="001C5FF5">
        <w:rPr>
          <w:rFonts w:ascii="Calibri" w:hAnsi="Calibri" w:cs="Calibri"/>
          <w:color w:val="4472C5"/>
        </w:rPr>
        <w:t>elta-</w:t>
      </w:r>
      <w:r w:rsidR="00C0563A">
        <w:rPr>
          <w:rFonts w:ascii="Calibri" w:hAnsi="Calibri" w:cs="Calibri"/>
          <w:color w:val="4472C5"/>
        </w:rPr>
        <w:t xml:space="preserve">V budget and to ensure GDOP coverage across the service volume for each </w:t>
      </w:r>
      <w:proofErr w:type="gramStart"/>
      <w:r w:rsidR="00C0563A">
        <w:rPr>
          <w:rFonts w:ascii="Calibri" w:hAnsi="Calibri" w:cs="Calibri"/>
          <w:color w:val="4472C5"/>
        </w:rPr>
        <w:t>Earth day</w:t>
      </w:r>
      <w:proofErr w:type="gramEnd"/>
      <w:r w:rsidR="00C0563A">
        <w:rPr>
          <w:rFonts w:ascii="Calibri" w:hAnsi="Calibri" w:cs="Calibri"/>
          <w:color w:val="4472C5"/>
        </w:rPr>
        <w:t xml:space="preserve"> during the lunar month.  T</w:t>
      </w:r>
      <w:r>
        <w:rPr>
          <w:rFonts w:ascii="Calibri" w:hAnsi="Calibri" w:cs="Calibri"/>
          <w:color w:val="4472C5"/>
        </w:rPr>
        <w:t xml:space="preserve">he periods of the highly elliptical frozen orbits are 29 hours. </w:t>
      </w:r>
      <w:r w:rsidR="00C0563A">
        <w:rPr>
          <w:rFonts w:ascii="Calibri" w:hAnsi="Calibri" w:cs="Calibri"/>
          <w:color w:val="4472C5"/>
        </w:rPr>
        <w:t xml:space="preserve">These satellites spend 2.5 hours out of view of the south pole per 29‐hour orbit. This gives 81% of the orbit where both ELFO satellites are above the horizon.  We also note that all these coverage percentages increase at the top of the 200 km high zone bounding the service volumes. Table 1 provides the full Cartesian state for each satellite in the constellation in a Moon centered J2000 inertial reference frame for a common epoch at Feb 1, </w:t>
      </w:r>
      <w:proofErr w:type="gramStart"/>
      <w:r w:rsidR="00C0563A">
        <w:rPr>
          <w:rFonts w:ascii="Calibri" w:hAnsi="Calibri" w:cs="Calibri"/>
          <w:color w:val="4472C5"/>
        </w:rPr>
        <w:t>2027</w:t>
      </w:r>
      <w:proofErr w:type="gramEnd"/>
      <w:r w:rsidR="00C0563A">
        <w:rPr>
          <w:rFonts w:ascii="Calibri" w:hAnsi="Calibri" w:cs="Calibri"/>
          <w:color w:val="4472C5"/>
        </w:rPr>
        <w:t xml:space="preserve"> 0:00 UTC.  </w:t>
      </w:r>
    </w:p>
    <w:p w14:paraId="0AF2964A" w14:textId="483AE53F" w:rsidR="00154D88" w:rsidRDefault="008B7DC9" w:rsidP="00C0563A">
      <w:pPr>
        <w:autoSpaceDE w:val="0"/>
        <w:autoSpaceDN w:val="0"/>
        <w:adjustRightInd w:val="0"/>
        <w:spacing w:after="0" w:line="240" w:lineRule="auto"/>
        <w:rPr>
          <w:rFonts w:ascii="Calibri" w:hAnsi="Calibri" w:cs="Calibri"/>
          <w:color w:val="4472C5"/>
        </w:rPr>
      </w:pPr>
      <w:r>
        <w:rPr>
          <w:noProof/>
        </w:rPr>
        <w:lastRenderedPageBreak/>
        <w:drawing>
          <wp:inline distT="0" distB="0" distL="0" distR="0" wp14:anchorId="16798A31" wp14:editId="1DCC85C5">
            <wp:extent cx="5943600" cy="664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649085"/>
                    </a:xfrm>
                    <a:prstGeom prst="rect">
                      <a:avLst/>
                    </a:prstGeom>
                  </pic:spPr>
                </pic:pic>
              </a:graphicData>
            </a:graphic>
          </wp:inline>
        </w:drawing>
      </w:r>
    </w:p>
    <w:p w14:paraId="6410A568" w14:textId="656605F6" w:rsidR="002727A2" w:rsidRDefault="00154D88" w:rsidP="00154D88">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4472C5"/>
        </w:rPr>
        <w:t>Figure 1: Khon-2 thru Khon-6 Elliptical Frozen Orbit Constellation</w:t>
      </w:r>
    </w:p>
    <w:p w14:paraId="0994E557" w14:textId="532B6D68" w:rsidR="00C0563A" w:rsidRPr="00D9523E" w:rsidRDefault="00C0563A" w:rsidP="00C0563A">
      <w:pPr>
        <w:autoSpaceDE w:val="0"/>
        <w:autoSpaceDN w:val="0"/>
        <w:adjustRightInd w:val="0"/>
        <w:spacing w:after="0" w:line="240" w:lineRule="auto"/>
        <w:rPr>
          <w:rFonts w:ascii="Times New Roman" w:hAnsi="Times New Roman" w:cs="Times New Roman"/>
          <w:sz w:val="24"/>
          <w:szCs w:val="24"/>
        </w:rPr>
      </w:pPr>
    </w:p>
    <w:p w14:paraId="62D08A0B" w14:textId="77777777" w:rsidR="00E35165" w:rsidRPr="00D9523E" w:rsidRDefault="00E85F7C">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E35165" w14:paraId="197C8EFC" w14:textId="77777777" w:rsidTr="00E35165">
        <w:tc>
          <w:tcPr>
            <w:tcW w:w="1368" w:type="dxa"/>
          </w:tcPr>
          <w:p w14:paraId="1026EDA2" w14:textId="77777777" w:rsidR="00E35165" w:rsidRDefault="00E35165" w:rsidP="00E35165">
            <w:pPr>
              <w:rPr>
                <w:rFonts w:ascii="Times New Roman" w:hAnsi="Times New Roman" w:cs="Times New Roman"/>
                <w:sz w:val="24"/>
                <w:szCs w:val="24"/>
              </w:rPr>
            </w:pPr>
          </w:p>
        </w:tc>
        <w:tc>
          <w:tcPr>
            <w:tcW w:w="1368" w:type="dxa"/>
          </w:tcPr>
          <w:p w14:paraId="40772A8E" w14:textId="5DC75EAB" w:rsidR="00E35165" w:rsidRDefault="00E35165" w:rsidP="00E35165">
            <w:pPr>
              <w:rPr>
                <w:rFonts w:ascii="Times New Roman" w:hAnsi="Times New Roman" w:cs="Times New Roman"/>
                <w:sz w:val="24"/>
                <w:szCs w:val="24"/>
              </w:rPr>
            </w:pPr>
            <w:r>
              <w:rPr>
                <w:rFonts w:ascii="Times New Roman" w:hAnsi="Times New Roman" w:cs="Times New Roman"/>
                <w:sz w:val="24"/>
                <w:szCs w:val="24"/>
              </w:rPr>
              <w:t>Rx (km)</w:t>
            </w:r>
          </w:p>
        </w:tc>
        <w:tc>
          <w:tcPr>
            <w:tcW w:w="1368" w:type="dxa"/>
          </w:tcPr>
          <w:p w14:paraId="36A86719" w14:textId="277FE42D" w:rsidR="00E35165" w:rsidRDefault="00E35165" w:rsidP="00E35165">
            <w:pPr>
              <w:rPr>
                <w:rFonts w:ascii="Times New Roman" w:hAnsi="Times New Roman" w:cs="Times New Roman"/>
                <w:sz w:val="24"/>
                <w:szCs w:val="24"/>
              </w:rPr>
            </w:pPr>
            <w:r>
              <w:rPr>
                <w:rFonts w:ascii="Times New Roman" w:hAnsi="Times New Roman" w:cs="Times New Roman"/>
                <w:sz w:val="24"/>
                <w:szCs w:val="24"/>
              </w:rPr>
              <w:t>Ry (km)</w:t>
            </w:r>
          </w:p>
        </w:tc>
        <w:tc>
          <w:tcPr>
            <w:tcW w:w="1368" w:type="dxa"/>
          </w:tcPr>
          <w:p w14:paraId="7587F7EE" w14:textId="3C49358F" w:rsidR="00E35165" w:rsidRDefault="00E35165" w:rsidP="00E35165">
            <w:pPr>
              <w:rPr>
                <w:rFonts w:ascii="Times New Roman" w:hAnsi="Times New Roman" w:cs="Times New Roman"/>
                <w:sz w:val="24"/>
                <w:szCs w:val="24"/>
              </w:rPr>
            </w:pPr>
            <w:r>
              <w:rPr>
                <w:rFonts w:ascii="Times New Roman" w:hAnsi="Times New Roman" w:cs="Times New Roman"/>
                <w:sz w:val="24"/>
                <w:szCs w:val="24"/>
              </w:rPr>
              <w:t>Rz (km)</w:t>
            </w:r>
          </w:p>
        </w:tc>
        <w:tc>
          <w:tcPr>
            <w:tcW w:w="1368" w:type="dxa"/>
          </w:tcPr>
          <w:p w14:paraId="7C3F5B18" w14:textId="36BC8E6F" w:rsidR="00E35165" w:rsidRDefault="00E35165" w:rsidP="00E35165">
            <w:pPr>
              <w:rPr>
                <w:rFonts w:ascii="Times New Roman" w:hAnsi="Times New Roman" w:cs="Times New Roman"/>
                <w:sz w:val="24"/>
                <w:szCs w:val="24"/>
              </w:rPr>
            </w:pPr>
            <w:r>
              <w:rPr>
                <w:rFonts w:ascii="Times New Roman" w:hAnsi="Times New Roman" w:cs="Times New Roman"/>
                <w:sz w:val="24"/>
                <w:szCs w:val="24"/>
              </w:rPr>
              <w:t>Vx (km/s)</w:t>
            </w:r>
          </w:p>
        </w:tc>
        <w:tc>
          <w:tcPr>
            <w:tcW w:w="1368" w:type="dxa"/>
          </w:tcPr>
          <w:p w14:paraId="2596AED1" w14:textId="73F07F80" w:rsidR="00E35165" w:rsidRDefault="00E35165" w:rsidP="00E35165">
            <w:pPr>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(km/s)</w:t>
            </w:r>
          </w:p>
        </w:tc>
        <w:tc>
          <w:tcPr>
            <w:tcW w:w="1368" w:type="dxa"/>
          </w:tcPr>
          <w:p w14:paraId="20BD4E96" w14:textId="0FCDDFF9" w:rsidR="00E35165" w:rsidRDefault="00E35165" w:rsidP="00E35165">
            <w:pPr>
              <w:rPr>
                <w:rFonts w:ascii="Times New Roman" w:hAnsi="Times New Roman" w:cs="Times New Roman"/>
                <w:sz w:val="24"/>
                <w:szCs w:val="24"/>
              </w:rPr>
            </w:pPr>
            <w:proofErr w:type="spellStart"/>
            <w:r>
              <w:rPr>
                <w:rFonts w:ascii="Times New Roman" w:hAnsi="Times New Roman" w:cs="Times New Roman"/>
                <w:sz w:val="24"/>
                <w:szCs w:val="24"/>
              </w:rPr>
              <w:t>Vz</w:t>
            </w:r>
            <w:proofErr w:type="spellEnd"/>
            <w:r>
              <w:rPr>
                <w:rFonts w:ascii="Times New Roman" w:hAnsi="Times New Roman" w:cs="Times New Roman"/>
                <w:sz w:val="24"/>
                <w:szCs w:val="24"/>
              </w:rPr>
              <w:t xml:space="preserve"> (km/s)</w:t>
            </w:r>
          </w:p>
        </w:tc>
      </w:tr>
      <w:tr w:rsidR="00E35165" w14:paraId="6B42F7AC" w14:textId="77777777" w:rsidTr="00E35165">
        <w:tc>
          <w:tcPr>
            <w:tcW w:w="1368" w:type="dxa"/>
          </w:tcPr>
          <w:p w14:paraId="5A861FC1" w14:textId="18BDD81C" w:rsidR="00E35165" w:rsidRDefault="00E35165" w:rsidP="00E35165">
            <w:pPr>
              <w:rPr>
                <w:rFonts w:ascii="Times New Roman" w:hAnsi="Times New Roman" w:cs="Times New Roman"/>
                <w:sz w:val="24"/>
                <w:szCs w:val="24"/>
              </w:rPr>
            </w:pPr>
            <w:r>
              <w:rPr>
                <w:rFonts w:ascii="Times New Roman" w:hAnsi="Times New Roman" w:cs="Times New Roman"/>
                <w:sz w:val="24"/>
                <w:szCs w:val="24"/>
              </w:rPr>
              <w:t>Khon-2</w:t>
            </w:r>
          </w:p>
        </w:tc>
        <w:tc>
          <w:tcPr>
            <w:tcW w:w="1368" w:type="dxa"/>
          </w:tcPr>
          <w:p w14:paraId="667D1085" w14:textId="77777777" w:rsidR="00E35165" w:rsidRDefault="00E35165" w:rsidP="00E35165">
            <w:pPr>
              <w:rPr>
                <w:rFonts w:ascii="Times New Roman" w:hAnsi="Times New Roman" w:cs="Times New Roman"/>
                <w:sz w:val="24"/>
                <w:szCs w:val="24"/>
              </w:rPr>
            </w:pPr>
          </w:p>
        </w:tc>
        <w:tc>
          <w:tcPr>
            <w:tcW w:w="1368" w:type="dxa"/>
          </w:tcPr>
          <w:p w14:paraId="66EF9D40" w14:textId="77777777" w:rsidR="00E35165" w:rsidRDefault="00E35165" w:rsidP="00E35165">
            <w:pPr>
              <w:rPr>
                <w:rFonts w:ascii="Times New Roman" w:hAnsi="Times New Roman" w:cs="Times New Roman"/>
                <w:sz w:val="24"/>
                <w:szCs w:val="24"/>
              </w:rPr>
            </w:pPr>
          </w:p>
        </w:tc>
        <w:tc>
          <w:tcPr>
            <w:tcW w:w="1368" w:type="dxa"/>
          </w:tcPr>
          <w:p w14:paraId="11707F69" w14:textId="77777777" w:rsidR="00E35165" w:rsidRDefault="00E35165" w:rsidP="00E35165">
            <w:pPr>
              <w:rPr>
                <w:rFonts w:ascii="Times New Roman" w:hAnsi="Times New Roman" w:cs="Times New Roman"/>
                <w:sz w:val="24"/>
                <w:szCs w:val="24"/>
              </w:rPr>
            </w:pPr>
          </w:p>
        </w:tc>
        <w:tc>
          <w:tcPr>
            <w:tcW w:w="1368" w:type="dxa"/>
          </w:tcPr>
          <w:p w14:paraId="23D4ACD9" w14:textId="77777777" w:rsidR="00E35165" w:rsidRDefault="00E35165" w:rsidP="00E35165">
            <w:pPr>
              <w:rPr>
                <w:rFonts w:ascii="Times New Roman" w:hAnsi="Times New Roman" w:cs="Times New Roman"/>
                <w:sz w:val="24"/>
                <w:szCs w:val="24"/>
              </w:rPr>
            </w:pPr>
          </w:p>
        </w:tc>
        <w:tc>
          <w:tcPr>
            <w:tcW w:w="1368" w:type="dxa"/>
          </w:tcPr>
          <w:p w14:paraId="30F7C22C" w14:textId="77777777" w:rsidR="00E35165" w:rsidRDefault="00E35165" w:rsidP="00E35165">
            <w:pPr>
              <w:rPr>
                <w:rFonts w:ascii="Times New Roman" w:hAnsi="Times New Roman" w:cs="Times New Roman"/>
                <w:sz w:val="24"/>
                <w:szCs w:val="24"/>
              </w:rPr>
            </w:pPr>
          </w:p>
        </w:tc>
        <w:tc>
          <w:tcPr>
            <w:tcW w:w="1368" w:type="dxa"/>
          </w:tcPr>
          <w:p w14:paraId="2BE0D473" w14:textId="77777777" w:rsidR="00E35165" w:rsidRDefault="00E35165" w:rsidP="00E35165">
            <w:pPr>
              <w:rPr>
                <w:rFonts w:ascii="Times New Roman" w:hAnsi="Times New Roman" w:cs="Times New Roman"/>
                <w:sz w:val="24"/>
                <w:szCs w:val="24"/>
              </w:rPr>
            </w:pPr>
          </w:p>
        </w:tc>
      </w:tr>
      <w:tr w:rsidR="00E35165" w14:paraId="5C5D94CF" w14:textId="77777777" w:rsidTr="00E35165">
        <w:tc>
          <w:tcPr>
            <w:tcW w:w="1368" w:type="dxa"/>
          </w:tcPr>
          <w:p w14:paraId="03246EA9" w14:textId="32F370F8" w:rsidR="00E35165" w:rsidRDefault="00E35165" w:rsidP="00E35165">
            <w:pPr>
              <w:rPr>
                <w:rFonts w:ascii="Times New Roman" w:hAnsi="Times New Roman" w:cs="Times New Roman"/>
                <w:sz w:val="24"/>
                <w:szCs w:val="24"/>
              </w:rPr>
            </w:pPr>
            <w:r>
              <w:rPr>
                <w:rFonts w:ascii="Times New Roman" w:hAnsi="Times New Roman" w:cs="Times New Roman"/>
                <w:sz w:val="24"/>
                <w:szCs w:val="24"/>
              </w:rPr>
              <w:t>Khon-3</w:t>
            </w:r>
          </w:p>
        </w:tc>
        <w:tc>
          <w:tcPr>
            <w:tcW w:w="1368" w:type="dxa"/>
          </w:tcPr>
          <w:p w14:paraId="27B5EF89" w14:textId="77777777" w:rsidR="00E35165" w:rsidRDefault="00E35165" w:rsidP="00E35165">
            <w:pPr>
              <w:rPr>
                <w:rFonts w:ascii="Times New Roman" w:hAnsi="Times New Roman" w:cs="Times New Roman"/>
                <w:sz w:val="24"/>
                <w:szCs w:val="24"/>
              </w:rPr>
            </w:pPr>
          </w:p>
        </w:tc>
        <w:tc>
          <w:tcPr>
            <w:tcW w:w="1368" w:type="dxa"/>
          </w:tcPr>
          <w:p w14:paraId="09B31FB6" w14:textId="77777777" w:rsidR="00E35165" w:rsidRDefault="00E35165" w:rsidP="00E35165">
            <w:pPr>
              <w:rPr>
                <w:rFonts w:ascii="Times New Roman" w:hAnsi="Times New Roman" w:cs="Times New Roman"/>
                <w:sz w:val="24"/>
                <w:szCs w:val="24"/>
              </w:rPr>
            </w:pPr>
          </w:p>
        </w:tc>
        <w:tc>
          <w:tcPr>
            <w:tcW w:w="1368" w:type="dxa"/>
          </w:tcPr>
          <w:p w14:paraId="37D4316E" w14:textId="77777777" w:rsidR="00E35165" w:rsidRDefault="00E35165" w:rsidP="00E35165">
            <w:pPr>
              <w:rPr>
                <w:rFonts w:ascii="Times New Roman" w:hAnsi="Times New Roman" w:cs="Times New Roman"/>
                <w:sz w:val="24"/>
                <w:szCs w:val="24"/>
              </w:rPr>
            </w:pPr>
          </w:p>
        </w:tc>
        <w:tc>
          <w:tcPr>
            <w:tcW w:w="1368" w:type="dxa"/>
          </w:tcPr>
          <w:p w14:paraId="62791829" w14:textId="77777777" w:rsidR="00E35165" w:rsidRDefault="00E35165" w:rsidP="00E35165">
            <w:pPr>
              <w:rPr>
                <w:rFonts w:ascii="Times New Roman" w:hAnsi="Times New Roman" w:cs="Times New Roman"/>
                <w:sz w:val="24"/>
                <w:szCs w:val="24"/>
              </w:rPr>
            </w:pPr>
          </w:p>
        </w:tc>
        <w:tc>
          <w:tcPr>
            <w:tcW w:w="1368" w:type="dxa"/>
          </w:tcPr>
          <w:p w14:paraId="5AA0B682" w14:textId="77777777" w:rsidR="00E35165" w:rsidRDefault="00E35165" w:rsidP="00E35165">
            <w:pPr>
              <w:rPr>
                <w:rFonts w:ascii="Times New Roman" w:hAnsi="Times New Roman" w:cs="Times New Roman"/>
                <w:sz w:val="24"/>
                <w:szCs w:val="24"/>
              </w:rPr>
            </w:pPr>
          </w:p>
        </w:tc>
        <w:tc>
          <w:tcPr>
            <w:tcW w:w="1368" w:type="dxa"/>
          </w:tcPr>
          <w:p w14:paraId="62867C5B" w14:textId="77777777" w:rsidR="00E35165" w:rsidRDefault="00E35165" w:rsidP="00E35165">
            <w:pPr>
              <w:rPr>
                <w:rFonts w:ascii="Times New Roman" w:hAnsi="Times New Roman" w:cs="Times New Roman"/>
                <w:sz w:val="24"/>
                <w:szCs w:val="24"/>
              </w:rPr>
            </w:pPr>
          </w:p>
        </w:tc>
      </w:tr>
      <w:tr w:rsidR="00E35165" w14:paraId="0408A6EE" w14:textId="77777777" w:rsidTr="00E35165">
        <w:tc>
          <w:tcPr>
            <w:tcW w:w="1368" w:type="dxa"/>
          </w:tcPr>
          <w:p w14:paraId="0D22BCAB" w14:textId="66A7C20C" w:rsidR="00E35165" w:rsidRDefault="00E35165" w:rsidP="00E35165">
            <w:pPr>
              <w:rPr>
                <w:rFonts w:ascii="Times New Roman" w:hAnsi="Times New Roman" w:cs="Times New Roman"/>
                <w:sz w:val="24"/>
                <w:szCs w:val="24"/>
              </w:rPr>
            </w:pPr>
            <w:r>
              <w:rPr>
                <w:rFonts w:ascii="Times New Roman" w:hAnsi="Times New Roman" w:cs="Times New Roman"/>
                <w:sz w:val="24"/>
                <w:szCs w:val="24"/>
              </w:rPr>
              <w:t>Khon-4</w:t>
            </w:r>
          </w:p>
        </w:tc>
        <w:tc>
          <w:tcPr>
            <w:tcW w:w="1368" w:type="dxa"/>
          </w:tcPr>
          <w:p w14:paraId="08AC9C14" w14:textId="77777777" w:rsidR="00E35165" w:rsidRDefault="00E35165" w:rsidP="00E35165">
            <w:pPr>
              <w:rPr>
                <w:rFonts w:ascii="Times New Roman" w:hAnsi="Times New Roman" w:cs="Times New Roman"/>
                <w:sz w:val="24"/>
                <w:szCs w:val="24"/>
              </w:rPr>
            </w:pPr>
          </w:p>
        </w:tc>
        <w:tc>
          <w:tcPr>
            <w:tcW w:w="1368" w:type="dxa"/>
          </w:tcPr>
          <w:p w14:paraId="60EC6855" w14:textId="77777777" w:rsidR="00E35165" w:rsidRDefault="00E35165" w:rsidP="00E35165">
            <w:pPr>
              <w:rPr>
                <w:rFonts w:ascii="Times New Roman" w:hAnsi="Times New Roman" w:cs="Times New Roman"/>
                <w:sz w:val="24"/>
                <w:szCs w:val="24"/>
              </w:rPr>
            </w:pPr>
          </w:p>
        </w:tc>
        <w:tc>
          <w:tcPr>
            <w:tcW w:w="1368" w:type="dxa"/>
          </w:tcPr>
          <w:p w14:paraId="686B6024" w14:textId="77777777" w:rsidR="00E35165" w:rsidRDefault="00E35165" w:rsidP="00E35165">
            <w:pPr>
              <w:rPr>
                <w:rFonts w:ascii="Times New Roman" w:hAnsi="Times New Roman" w:cs="Times New Roman"/>
                <w:sz w:val="24"/>
                <w:szCs w:val="24"/>
              </w:rPr>
            </w:pPr>
          </w:p>
        </w:tc>
        <w:tc>
          <w:tcPr>
            <w:tcW w:w="1368" w:type="dxa"/>
          </w:tcPr>
          <w:p w14:paraId="7A54280E" w14:textId="77777777" w:rsidR="00E35165" w:rsidRDefault="00E35165" w:rsidP="00E35165">
            <w:pPr>
              <w:rPr>
                <w:rFonts w:ascii="Times New Roman" w:hAnsi="Times New Roman" w:cs="Times New Roman"/>
                <w:sz w:val="24"/>
                <w:szCs w:val="24"/>
              </w:rPr>
            </w:pPr>
          </w:p>
        </w:tc>
        <w:tc>
          <w:tcPr>
            <w:tcW w:w="1368" w:type="dxa"/>
          </w:tcPr>
          <w:p w14:paraId="09919F45" w14:textId="77777777" w:rsidR="00E35165" w:rsidRDefault="00E35165" w:rsidP="00E35165">
            <w:pPr>
              <w:rPr>
                <w:rFonts w:ascii="Times New Roman" w:hAnsi="Times New Roman" w:cs="Times New Roman"/>
                <w:sz w:val="24"/>
                <w:szCs w:val="24"/>
              </w:rPr>
            </w:pPr>
          </w:p>
        </w:tc>
        <w:tc>
          <w:tcPr>
            <w:tcW w:w="1368" w:type="dxa"/>
          </w:tcPr>
          <w:p w14:paraId="3297C90C" w14:textId="77777777" w:rsidR="00E35165" w:rsidRDefault="00E35165" w:rsidP="00E35165">
            <w:pPr>
              <w:rPr>
                <w:rFonts w:ascii="Times New Roman" w:hAnsi="Times New Roman" w:cs="Times New Roman"/>
                <w:sz w:val="24"/>
                <w:szCs w:val="24"/>
              </w:rPr>
            </w:pPr>
          </w:p>
        </w:tc>
      </w:tr>
      <w:tr w:rsidR="00E35165" w14:paraId="1395ED6E" w14:textId="77777777" w:rsidTr="00E35165">
        <w:tc>
          <w:tcPr>
            <w:tcW w:w="1368" w:type="dxa"/>
          </w:tcPr>
          <w:p w14:paraId="5AF8BC92" w14:textId="1383F1C5" w:rsidR="00E35165" w:rsidRDefault="00E35165" w:rsidP="00E35165">
            <w:pPr>
              <w:rPr>
                <w:rFonts w:ascii="Times New Roman" w:hAnsi="Times New Roman" w:cs="Times New Roman"/>
                <w:sz w:val="24"/>
                <w:szCs w:val="24"/>
              </w:rPr>
            </w:pPr>
            <w:r>
              <w:rPr>
                <w:rFonts w:ascii="Times New Roman" w:hAnsi="Times New Roman" w:cs="Times New Roman"/>
                <w:sz w:val="24"/>
                <w:szCs w:val="24"/>
              </w:rPr>
              <w:t>Khon-5</w:t>
            </w:r>
          </w:p>
        </w:tc>
        <w:tc>
          <w:tcPr>
            <w:tcW w:w="1368" w:type="dxa"/>
          </w:tcPr>
          <w:p w14:paraId="13670B27" w14:textId="77777777" w:rsidR="00E35165" w:rsidRDefault="00E35165" w:rsidP="00E35165">
            <w:pPr>
              <w:rPr>
                <w:rFonts w:ascii="Times New Roman" w:hAnsi="Times New Roman" w:cs="Times New Roman"/>
                <w:sz w:val="24"/>
                <w:szCs w:val="24"/>
              </w:rPr>
            </w:pPr>
          </w:p>
        </w:tc>
        <w:tc>
          <w:tcPr>
            <w:tcW w:w="1368" w:type="dxa"/>
          </w:tcPr>
          <w:p w14:paraId="73239009" w14:textId="77777777" w:rsidR="00E35165" w:rsidRDefault="00E35165" w:rsidP="00E35165">
            <w:pPr>
              <w:rPr>
                <w:rFonts w:ascii="Times New Roman" w:hAnsi="Times New Roman" w:cs="Times New Roman"/>
                <w:sz w:val="24"/>
                <w:szCs w:val="24"/>
              </w:rPr>
            </w:pPr>
          </w:p>
        </w:tc>
        <w:tc>
          <w:tcPr>
            <w:tcW w:w="1368" w:type="dxa"/>
          </w:tcPr>
          <w:p w14:paraId="3659A44D" w14:textId="77777777" w:rsidR="00E35165" w:rsidRDefault="00E35165" w:rsidP="00E35165">
            <w:pPr>
              <w:rPr>
                <w:rFonts w:ascii="Times New Roman" w:hAnsi="Times New Roman" w:cs="Times New Roman"/>
                <w:sz w:val="24"/>
                <w:szCs w:val="24"/>
              </w:rPr>
            </w:pPr>
          </w:p>
        </w:tc>
        <w:tc>
          <w:tcPr>
            <w:tcW w:w="1368" w:type="dxa"/>
          </w:tcPr>
          <w:p w14:paraId="280101B4" w14:textId="77777777" w:rsidR="00E35165" w:rsidRDefault="00E35165" w:rsidP="00E35165">
            <w:pPr>
              <w:rPr>
                <w:rFonts w:ascii="Times New Roman" w:hAnsi="Times New Roman" w:cs="Times New Roman"/>
                <w:sz w:val="24"/>
                <w:szCs w:val="24"/>
              </w:rPr>
            </w:pPr>
          </w:p>
        </w:tc>
        <w:tc>
          <w:tcPr>
            <w:tcW w:w="1368" w:type="dxa"/>
          </w:tcPr>
          <w:p w14:paraId="49AB272A" w14:textId="77777777" w:rsidR="00E35165" w:rsidRDefault="00E35165" w:rsidP="00E35165">
            <w:pPr>
              <w:rPr>
                <w:rFonts w:ascii="Times New Roman" w:hAnsi="Times New Roman" w:cs="Times New Roman"/>
                <w:sz w:val="24"/>
                <w:szCs w:val="24"/>
              </w:rPr>
            </w:pPr>
          </w:p>
        </w:tc>
        <w:tc>
          <w:tcPr>
            <w:tcW w:w="1368" w:type="dxa"/>
          </w:tcPr>
          <w:p w14:paraId="460A48C1" w14:textId="77777777" w:rsidR="00E35165" w:rsidRDefault="00E35165" w:rsidP="00E35165">
            <w:pPr>
              <w:rPr>
                <w:rFonts w:ascii="Times New Roman" w:hAnsi="Times New Roman" w:cs="Times New Roman"/>
                <w:sz w:val="24"/>
                <w:szCs w:val="24"/>
              </w:rPr>
            </w:pPr>
          </w:p>
        </w:tc>
      </w:tr>
      <w:tr w:rsidR="00E35165" w14:paraId="6C31881A" w14:textId="77777777" w:rsidTr="00E35165">
        <w:tc>
          <w:tcPr>
            <w:tcW w:w="1368" w:type="dxa"/>
          </w:tcPr>
          <w:p w14:paraId="79C25C37" w14:textId="428A4FDE" w:rsidR="00E35165" w:rsidRDefault="00E35165" w:rsidP="00E35165">
            <w:pPr>
              <w:rPr>
                <w:rFonts w:ascii="Times New Roman" w:hAnsi="Times New Roman" w:cs="Times New Roman"/>
                <w:sz w:val="24"/>
                <w:szCs w:val="24"/>
              </w:rPr>
            </w:pPr>
            <w:r>
              <w:rPr>
                <w:rFonts w:ascii="Times New Roman" w:hAnsi="Times New Roman" w:cs="Times New Roman"/>
                <w:sz w:val="24"/>
                <w:szCs w:val="24"/>
              </w:rPr>
              <w:lastRenderedPageBreak/>
              <w:t>Khon-6</w:t>
            </w:r>
          </w:p>
        </w:tc>
        <w:tc>
          <w:tcPr>
            <w:tcW w:w="1368" w:type="dxa"/>
          </w:tcPr>
          <w:p w14:paraId="3058A038" w14:textId="77777777" w:rsidR="00E35165" w:rsidRDefault="00E35165" w:rsidP="00E35165">
            <w:pPr>
              <w:rPr>
                <w:rFonts w:ascii="Times New Roman" w:hAnsi="Times New Roman" w:cs="Times New Roman"/>
                <w:sz w:val="24"/>
                <w:szCs w:val="24"/>
              </w:rPr>
            </w:pPr>
          </w:p>
        </w:tc>
        <w:tc>
          <w:tcPr>
            <w:tcW w:w="1368" w:type="dxa"/>
          </w:tcPr>
          <w:p w14:paraId="53075018" w14:textId="77777777" w:rsidR="00E35165" w:rsidRDefault="00E35165" w:rsidP="00E35165">
            <w:pPr>
              <w:rPr>
                <w:rFonts w:ascii="Times New Roman" w:hAnsi="Times New Roman" w:cs="Times New Roman"/>
                <w:sz w:val="24"/>
                <w:szCs w:val="24"/>
              </w:rPr>
            </w:pPr>
          </w:p>
        </w:tc>
        <w:tc>
          <w:tcPr>
            <w:tcW w:w="1368" w:type="dxa"/>
          </w:tcPr>
          <w:p w14:paraId="5A989B0F" w14:textId="77777777" w:rsidR="00E35165" w:rsidRDefault="00E35165" w:rsidP="00E35165">
            <w:pPr>
              <w:rPr>
                <w:rFonts w:ascii="Times New Roman" w:hAnsi="Times New Roman" w:cs="Times New Roman"/>
                <w:sz w:val="24"/>
                <w:szCs w:val="24"/>
              </w:rPr>
            </w:pPr>
          </w:p>
        </w:tc>
        <w:tc>
          <w:tcPr>
            <w:tcW w:w="1368" w:type="dxa"/>
          </w:tcPr>
          <w:p w14:paraId="2B816F55" w14:textId="77777777" w:rsidR="00E35165" w:rsidRDefault="00E35165" w:rsidP="00E35165">
            <w:pPr>
              <w:rPr>
                <w:rFonts w:ascii="Times New Roman" w:hAnsi="Times New Roman" w:cs="Times New Roman"/>
                <w:sz w:val="24"/>
                <w:szCs w:val="24"/>
              </w:rPr>
            </w:pPr>
          </w:p>
        </w:tc>
        <w:tc>
          <w:tcPr>
            <w:tcW w:w="1368" w:type="dxa"/>
          </w:tcPr>
          <w:p w14:paraId="1F98E466" w14:textId="77777777" w:rsidR="00E35165" w:rsidRDefault="00E35165" w:rsidP="00E35165">
            <w:pPr>
              <w:rPr>
                <w:rFonts w:ascii="Times New Roman" w:hAnsi="Times New Roman" w:cs="Times New Roman"/>
                <w:sz w:val="24"/>
                <w:szCs w:val="24"/>
              </w:rPr>
            </w:pPr>
          </w:p>
        </w:tc>
        <w:tc>
          <w:tcPr>
            <w:tcW w:w="1368" w:type="dxa"/>
          </w:tcPr>
          <w:p w14:paraId="477EF2B3" w14:textId="77777777" w:rsidR="00E35165" w:rsidRDefault="00E35165" w:rsidP="00E35165">
            <w:pPr>
              <w:rPr>
                <w:rFonts w:ascii="Times New Roman" w:hAnsi="Times New Roman" w:cs="Times New Roman"/>
                <w:sz w:val="24"/>
                <w:szCs w:val="24"/>
              </w:rPr>
            </w:pPr>
          </w:p>
        </w:tc>
      </w:tr>
    </w:tbl>
    <w:p w14:paraId="54BC9F03" w14:textId="77777777" w:rsidR="00E35165" w:rsidRDefault="00E35165" w:rsidP="00E35165">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 xml:space="preserve">Table 1: Khon-2 thru Khon-6 ELFO States </w:t>
      </w:r>
    </w:p>
    <w:p w14:paraId="3A006D09" w14:textId="4A348925" w:rsidR="00E35165" w:rsidRDefault="00E35165" w:rsidP="00E35165">
      <w:pPr>
        <w:autoSpaceDE w:val="0"/>
        <w:autoSpaceDN w:val="0"/>
        <w:adjustRightInd w:val="0"/>
        <w:spacing w:after="0" w:line="240" w:lineRule="auto"/>
        <w:jc w:val="center"/>
        <w:rPr>
          <w:rFonts w:ascii="Calibri" w:hAnsi="Calibri" w:cs="Calibri"/>
          <w:color w:val="4472C5"/>
        </w:rPr>
      </w:pPr>
      <w:proofErr w:type="spellStart"/>
      <w:r>
        <w:rPr>
          <w:rFonts w:ascii="Calibri" w:hAnsi="Calibri" w:cs="Calibri"/>
          <w:color w:val="4472C5"/>
        </w:rPr>
        <w:t>wrt</w:t>
      </w:r>
      <w:proofErr w:type="spellEnd"/>
      <w:r>
        <w:rPr>
          <w:rFonts w:ascii="Calibri" w:hAnsi="Calibri" w:cs="Calibri"/>
          <w:color w:val="4472C5"/>
        </w:rPr>
        <w:t xml:space="preserve"> Moon Centered J2000 Inertial Reference Frame at Feb 1, </w:t>
      </w:r>
      <w:proofErr w:type="gramStart"/>
      <w:r>
        <w:rPr>
          <w:rFonts w:ascii="Calibri" w:hAnsi="Calibri" w:cs="Calibri"/>
          <w:color w:val="4472C5"/>
        </w:rPr>
        <w:t>2027</w:t>
      </w:r>
      <w:proofErr w:type="gramEnd"/>
      <w:r>
        <w:rPr>
          <w:rFonts w:ascii="Calibri" w:hAnsi="Calibri" w:cs="Calibri"/>
          <w:color w:val="4472C5"/>
        </w:rPr>
        <w:t xml:space="preserve"> 0:00 UTC</w:t>
      </w:r>
    </w:p>
    <w:p w14:paraId="5C7E1B38" w14:textId="77777777" w:rsidR="008B7DC9" w:rsidRDefault="008B7DC9" w:rsidP="00E35165">
      <w:pPr>
        <w:autoSpaceDE w:val="0"/>
        <w:autoSpaceDN w:val="0"/>
        <w:adjustRightInd w:val="0"/>
        <w:spacing w:after="0" w:line="240" w:lineRule="auto"/>
        <w:jc w:val="center"/>
        <w:rPr>
          <w:rFonts w:ascii="Times New Roman" w:hAnsi="Times New Roman" w:cs="Times New Roman"/>
          <w:sz w:val="24"/>
          <w:szCs w:val="24"/>
        </w:rPr>
      </w:pPr>
    </w:p>
    <w:p w14:paraId="75DAA8B7" w14:textId="655B69E0" w:rsidR="00C14EF9" w:rsidRDefault="006F315C">
      <w:pPr>
        <w:rPr>
          <w:rFonts w:ascii="Calibri" w:hAnsi="Calibri" w:cs="Calibri"/>
          <w:color w:val="4472C5"/>
        </w:rPr>
      </w:pPr>
      <w:r>
        <w:rPr>
          <w:rFonts w:ascii="Calibri" w:hAnsi="Calibri" w:cs="Calibri"/>
          <w:color w:val="4472C5"/>
        </w:rPr>
        <w:t>A s</w:t>
      </w:r>
      <w:r w:rsidR="00B76A68">
        <w:rPr>
          <w:rFonts w:ascii="Calibri" w:hAnsi="Calibri" w:cs="Calibri"/>
          <w:color w:val="4472C5"/>
        </w:rPr>
        <w:t xml:space="preserve">imulation of the Khon 2-6 ELFO constellation </w:t>
      </w:r>
      <w:r>
        <w:rPr>
          <w:rFonts w:ascii="Calibri" w:hAnsi="Calibri" w:cs="Calibri"/>
          <w:color w:val="4472C5"/>
        </w:rPr>
        <w:t xml:space="preserve">trajectory </w:t>
      </w:r>
      <w:r w:rsidR="00B76A68">
        <w:rPr>
          <w:rFonts w:ascii="Calibri" w:hAnsi="Calibri" w:cs="Calibri"/>
          <w:color w:val="4472C5"/>
        </w:rPr>
        <w:t xml:space="preserve">was conducted for a period starting from the initial reference epoch given in Table 1.  The satellite orbits are model with N-body gravity </w:t>
      </w:r>
      <w:r>
        <w:rPr>
          <w:rFonts w:ascii="Calibri" w:hAnsi="Calibri" w:cs="Calibri"/>
          <w:color w:val="4472C5"/>
        </w:rPr>
        <w:t>for</w:t>
      </w:r>
      <w:r w:rsidR="00B76A68">
        <w:rPr>
          <w:rFonts w:ascii="Calibri" w:hAnsi="Calibri" w:cs="Calibri"/>
          <w:color w:val="4472C5"/>
        </w:rPr>
        <w:t xml:space="preserve"> the Sun, Earth, and </w:t>
      </w:r>
      <w:r>
        <w:rPr>
          <w:rFonts w:ascii="Calibri" w:hAnsi="Calibri" w:cs="Calibri"/>
          <w:color w:val="4472C5"/>
        </w:rPr>
        <w:t>using the</w:t>
      </w:r>
      <w:r w:rsidR="00B76A68">
        <w:rPr>
          <w:rFonts w:ascii="Calibri" w:hAnsi="Calibri" w:cs="Calibri"/>
          <w:color w:val="4472C5"/>
        </w:rPr>
        <w:t xml:space="preserve"> GRAIL </w:t>
      </w:r>
      <w:r w:rsidR="00B76A68" w:rsidRPr="00B76A68">
        <w:rPr>
          <w:rFonts w:ascii="Calibri" w:hAnsi="Calibri" w:cs="Calibri"/>
          <w:color w:val="4472C5"/>
        </w:rPr>
        <w:t>GRGM1200B</w:t>
      </w:r>
      <w:r w:rsidR="00B76A68">
        <w:rPr>
          <w:rFonts w:ascii="Calibri" w:hAnsi="Calibri" w:cs="Calibri"/>
          <w:color w:val="4472C5"/>
        </w:rPr>
        <w:t xml:space="preserve"> 100x100 degree and order gravity model</w:t>
      </w:r>
      <w:r>
        <w:rPr>
          <w:rFonts w:ascii="Calibri" w:hAnsi="Calibri" w:cs="Calibri"/>
          <w:color w:val="4472C5"/>
        </w:rPr>
        <w:t xml:space="preserve"> for the Moon.  Figure 2 shows the orbit geometry over a 1-year period from the initial reference epoch with no station-keeping, demonstrating that the orbits are inherently stable and require minimal station-keeping to remain in these respective orbits during the service interval.</w:t>
      </w:r>
    </w:p>
    <w:p w14:paraId="47616F93" w14:textId="00024661" w:rsidR="006F315C" w:rsidRDefault="006F315C">
      <w:pPr>
        <w:rPr>
          <w:rFonts w:ascii="Calibri" w:hAnsi="Calibri" w:cs="Calibri"/>
          <w:color w:val="4472C5"/>
        </w:rPr>
      </w:pPr>
    </w:p>
    <w:p w14:paraId="49278BC9" w14:textId="77777777" w:rsidR="006F315C" w:rsidRDefault="006F315C" w:rsidP="006F315C">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Figure 2: Khon-2 thru Khon-6 Elliptical Frozen Orbit Constellation</w:t>
      </w:r>
    </w:p>
    <w:p w14:paraId="66F37118" w14:textId="24404859" w:rsidR="006F315C" w:rsidRDefault="006F315C" w:rsidP="006F315C">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4472C5"/>
        </w:rPr>
        <w:t>1-Year Propagation with no Station-Keeping</w:t>
      </w:r>
    </w:p>
    <w:p w14:paraId="7252A0E5" w14:textId="51244CC8" w:rsidR="006F315C" w:rsidRDefault="006F315C">
      <w:pPr>
        <w:rPr>
          <w:rFonts w:ascii="Times New Roman" w:hAnsi="Times New Roman" w:cs="Times New Roman"/>
          <w:sz w:val="24"/>
          <w:szCs w:val="24"/>
        </w:rPr>
      </w:pPr>
    </w:p>
    <w:p w14:paraId="6464A893" w14:textId="77777777" w:rsidR="00003ABB" w:rsidRDefault="00003ABB" w:rsidP="00003ABB">
      <w:pPr>
        <w:autoSpaceDE w:val="0"/>
        <w:autoSpaceDN w:val="0"/>
        <w:adjustRightInd w:val="0"/>
        <w:spacing w:after="0" w:line="240" w:lineRule="auto"/>
        <w:rPr>
          <w:rFonts w:ascii="Calibri" w:hAnsi="Calibri" w:cs="Calibri"/>
          <w:color w:val="4472C5"/>
        </w:rPr>
      </w:pPr>
      <w:r>
        <w:rPr>
          <w:rFonts w:ascii="Calibri" w:hAnsi="Calibri" w:cs="Calibri"/>
          <w:color w:val="4472C5"/>
        </w:rPr>
        <w:t>The IM team performed additional analysis with the Georgia Tech Space Systems Design Laboratory to</w:t>
      </w:r>
    </w:p>
    <w:p w14:paraId="6D5144BA" w14:textId="2BA467BE" w:rsidR="00003ABB" w:rsidRDefault="00003ABB" w:rsidP="00003ABB">
      <w:pPr>
        <w:autoSpaceDE w:val="0"/>
        <w:autoSpaceDN w:val="0"/>
        <w:adjustRightInd w:val="0"/>
        <w:spacing w:after="0" w:line="240" w:lineRule="auto"/>
        <w:rPr>
          <w:rFonts w:ascii="Calibri" w:hAnsi="Calibri" w:cs="Calibri"/>
          <w:color w:val="4472C5"/>
        </w:rPr>
      </w:pPr>
      <w:r>
        <w:rPr>
          <w:rFonts w:ascii="Calibri" w:hAnsi="Calibri" w:cs="Calibri"/>
          <w:color w:val="4472C5"/>
        </w:rPr>
        <w:t>refine the operational metrics for the Khon network.  The orbit configuration was refined to provide GDOP coverage for each day within the lunar month.  On average we have 4 of 5 in view at one time within the LSP coverage zone, but there are times that that drops down to 3 where the GDOP increases.  The average GDOP for a lunar South Pole user is 4.3 over the lunar month.</w:t>
      </w:r>
    </w:p>
    <w:p w14:paraId="78A27550" w14:textId="30C05E1F" w:rsidR="006F315C" w:rsidRDefault="006F315C" w:rsidP="00003ABB">
      <w:pPr>
        <w:rPr>
          <w:rFonts w:ascii="Times New Roman" w:hAnsi="Times New Roman" w:cs="Times New Roman"/>
          <w:sz w:val="24"/>
          <w:szCs w:val="24"/>
        </w:rPr>
      </w:pPr>
    </w:p>
    <w:p w14:paraId="5EE787CD" w14:textId="227CB1FC" w:rsidR="00003ABB" w:rsidRDefault="00003ABB" w:rsidP="00003ABB">
      <w:pPr>
        <w:rPr>
          <w:rFonts w:ascii="Times New Roman" w:hAnsi="Times New Roman" w:cs="Times New Roman"/>
          <w:sz w:val="24"/>
          <w:szCs w:val="24"/>
        </w:rPr>
      </w:pPr>
      <w:r>
        <w:rPr>
          <w:noProof/>
        </w:rPr>
        <w:lastRenderedPageBreak/>
        <w:drawing>
          <wp:inline distT="0" distB="0" distL="0" distR="0" wp14:anchorId="60221750" wp14:editId="7CBE9CE9">
            <wp:extent cx="5943600" cy="435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8640"/>
                    </a:xfrm>
                    <a:prstGeom prst="rect">
                      <a:avLst/>
                    </a:prstGeom>
                  </pic:spPr>
                </pic:pic>
              </a:graphicData>
            </a:graphic>
          </wp:inline>
        </w:drawing>
      </w:r>
    </w:p>
    <w:p w14:paraId="25DF2B4A" w14:textId="27E895CB" w:rsidR="00003ABB" w:rsidRDefault="00003ABB" w:rsidP="00003ABB">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Figure 3: No of Satellites within Line of Site and GDOP Coverage for a Lunar Month</w:t>
      </w:r>
    </w:p>
    <w:p w14:paraId="3EFA270B" w14:textId="77777777" w:rsidR="00F4039F" w:rsidRDefault="00F4039F" w:rsidP="00003ABB">
      <w:pPr>
        <w:autoSpaceDE w:val="0"/>
        <w:autoSpaceDN w:val="0"/>
        <w:adjustRightInd w:val="0"/>
        <w:spacing w:after="0" w:line="240" w:lineRule="auto"/>
        <w:jc w:val="center"/>
        <w:rPr>
          <w:rFonts w:ascii="Calibri" w:hAnsi="Calibri" w:cs="Calibri"/>
          <w:color w:val="4472C5"/>
        </w:rPr>
      </w:pPr>
    </w:p>
    <w:p w14:paraId="20C75CD9" w14:textId="3908C122" w:rsidR="00F4039F" w:rsidRDefault="00F4039F" w:rsidP="00F4039F">
      <w:pPr>
        <w:autoSpaceDE w:val="0"/>
        <w:autoSpaceDN w:val="0"/>
        <w:adjustRightInd w:val="0"/>
        <w:spacing w:after="0" w:line="240" w:lineRule="auto"/>
        <w:rPr>
          <w:rFonts w:ascii="Calibri" w:hAnsi="Calibri" w:cs="Calibri"/>
          <w:color w:val="4472C5"/>
        </w:rPr>
      </w:pPr>
      <w:r>
        <w:rPr>
          <w:rFonts w:ascii="Calibri" w:hAnsi="Calibri" w:cs="Calibri"/>
          <w:color w:val="4472C5"/>
        </w:rPr>
        <w:t xml:space="preserve">GDOP coverage in this configuration shown in Figure 4 was determined to range from 20%-35% for </w:t>
      </w:r>
      <w:r w:rsidR="00B47353">
        <w:rPr>
          <w:rFonts w:ascii="Calibri" w:hAnsi="Calibri" w:cs="Calibri"/>
          <w:color w:val="4472C5"/>
        </w:rPr>
        <w:t>the worst-case</w:t>
      </w:r>
      <w:r>
        <w:rPr>
          <w:rFonts w:ascii="Calibri" w:hAnsi="Calibri" w:cs="Calibri"/>
          <w:color w:val="4472C5"/>
        </w:rPr>
        <w:t xml:space="preserve"> </w:t>
      </w:r>
      <w:proofErr w:type="gramStart"/>
      <w:r>
        <w:rPr>
          <w:rFonts w:ascii="Calibri" w:hAnsi="Calibri" w:cs="Calibri"/>
          <w:color w:val="4472C5"/>
        </w:rPr>
        <w:t>Earth day</w:t>
      </w:r>
      <w:proofErr w:type="gramEnd"/>
      <w:r>
        <w:rPr>
          <w:rFonts w:ascii="Calibri" w:hAnsi="Calibri" w:cs="Calibri"/>
          <w:color w:val="4472C5"/>
        </w:rPr>
        <w:t xml:space="preserve"> within the lunar month, for any fixed location within the service volume.  The arrangement is effective at minimizing gaps across the </w:t>
      </w:r>
      <w:proofErr w:type="gramStart"/>
      <w:r>
        <w:rPr>
          <w:rFonts w:ascii="Calibri" w:hAnsi="Calibri" w:cs="Calibri"/>
          <w:color w:val="4472C5"/>
        </w:rPr>
        <w:t>worst case</w:t>
      </w:r>
      <w:proofErr w:type="gramEnd"/>
      <w:r>
        <w:rPr>
          <w:rFonts w:ascii="Calibri" w:hAnsi="Calibri" w:cs="Calibri"/>
          <w:color w:val="4472C5"/>
        </w:rPr>
        <w:t xml:space="preserve"> coverage day, so that </w:t>
      </w:r>
      <w:r w:rsidR="00B47353">
        <w:rPr>
          <w:rFonts w:ascii="Calibri" w:hAnsi="Calibri" w:cs="Calibri"/>
          <w:color w:val="4472C5"/>
        </w:rPr>
        <w:t>1-</w:t>
      </w:r>
      <w:r>
        <w:rPr>
          <w:rFonts w:ascii="Calibri" w:hAnsi="Calibri" w:cs="Calibri"/>
          <w:color w:val="4472C5"/>
        </w:rPr>
        <w:t xml:space="preserve"> 3 opportunities for 5 hour EVA’s are possible each day</w:t>
      </w:r>
      <w:r w:rsidR="001C5FF5">
        <w:rPr>
          <w:rFonts w:ascii="Calibri" w:hAnsi="Calibri" w:cs="Calibri"/>
          <w:color w:val="4472C5"/>
        </w:rPr>
        <w:t xml:space="preserve"> as shown in Figure 5</w:t>
      </w:r>
      <w:r>
        <w:rPr>
          <w:rFonts w:ascii="Calibri" w:hAnsi="Calibri" w:cs="Calibri"/>
          <w:color w:val="4472C5"/>
        </w:rPr>
        <w:t>.  However, it was determine</w:t>
      </w:r>
      <w:r w:rsidR="001C5FF5">
        <w:rPr>
          <w:rFonts w:ascii="Calibri" w:hAnsi="Calibri" w:cs="Calibri"/>
          <w:color w:val="4472C5"/>
        </w:rPr>
        <w:t>d</w:t>
      </w:r>
      <w:r>
        <w:rPr>
          <w:rFonts w:ascii="Calibri" w:hAnsi="Calibri" w:cs="Calibri"/>
          <w:color w:val="4472C5"/>
        </w:rPr>
        <w:t xml:space="preserve"> that this configuration was not capable of meeting the coverage requirements specified in </w:t>
      </w:r>
      <w:r w:rsidRPr="00F4039F">
        <w:rPr>
          <w:rFonts w:ascii="Calibri" w:hAnsi="Calibri" w:cs="Calibri"/>
          <w:color w:val="4472C5"/>
        </w:rPr>
        <w:t>LCRNS.3.0130</w:t>
      </w:r>
      <w:r>
        <w:rPr>
          <w:rFonts w:ascii="Calibri" w:hAnsi="Calibri" w:cs="Calibri"/>
          <w:color w:val="4472C5"/>
        </w:rPr>
        <w:t>.  Other</w:t>
      </w:r>
      <w:r w:rsidR="001C5FF5">
        <w:rPr>
          <w:rFonts w:ascii="Calibri" w:hAnsi="Calibri" w:cs="Calibri"/>
          <w:color w:val="4472C5"/>
        </w:rPr>
        <w:t xml:space="preserve"> 5-satellite</w:t>
      </w:r>
      <w:r>
        <w:rPr>
          <w:rFonts w:ascii="Calibri" w:hAnsi="Calibri" w:cs="Calibri"/>
          <w:color w:val="4472C5"/>
        </w:rPr>
        <w:t xml:space="preserve"> orbit configurations were assessed which improved the coverage</w:t>
      </w:r>
      <w:r w:rsidR="001C5FF5">
        <w:rPr>
          <w:rFonts w:ascii="Calibri" w:hAnsi="Calibri" w:cs="Calibri"/>
          <w:color w:val="4472C5"/>
        </w:rPr>
        <w:t xml:space="preserve"> overall, however the station-keeping Delta-V proved to be prohibitively large and/or gaps on the worst case </w:t>
      </w:r>
      <w:proofErr w:type="gramStart"/>
      <w:r w:rsidR="001C5FF5">
        <w:rPr>
          <w:rFonts w:ascii="Calibri" w:hAnsi="Calibri" w:cs="Calibri"/>
          <w:color w:val="4472C5"/>
        </w:rPr>
        <w:t>Earth day</w:t>
      </w:r>
      <w:proofErr w:type="gramEnd"/>
      <w:r w:rsidR="001C5FF5">
        <w:rPr>
          <w:rFonts w:ascii="Calibri" w:hAnsi="Calibri" w:cs="Calibri"/>
          <w:color w:val="4472C5"/>
        </w:rPr>
        <w:t xml:space="preserve"> always persisted.</w:t>
      </w:r>
    </w:p>
    <w:p w14:paraId="0BAB87A5" w14:textId="77777777" w:rsidR="001C5FF5" w:rsidRDefault="001C5FF5" w:rsidP="00F4039F">
      <w:pPr>
        <w:autoSpaceDE w:val="0"/>
        <w:autoSpaceDN w:val="0"/>
        <w:adjustRightInd w:val="0"/>
        <w:spacing w:after="0" w:line="240" w:lineRule="auto"/>
        <w:rPr>
          <w:rFonts w:ascii="Calibri" w:hAnsi="Calibri" w:cs="Calibri"/>
          <w:color w:val="4472C5"/>
        </w:rPr>
      </w:pPr>
    </w:p>
    <w:p w14:paraId="24C4C4C6" w14:textId="59999261" w:rsidR="00003ABB" w:rsidRDefault="001C5FF5" w:rsidP="00003ABB">
      <w:pPr>
        <w:rPr>
          <w:rFonts w:ascii="Times New Roman" w:hAnsi="Times New Roman" w:cs="Times New Roman"/>
          <w:sz w:val="24"/>
          <w:szCs w:val="24"/>
        </w:rPr>
      </w:pPr>
      <w:r>
        <w:rPr>
          <w:noProof/>
        </w:rPr>
        <w:lastRenderedPageBreak/>
        <w:drawing>
          <wp:inline distT="0" distB="0" distL="0" distR="0" wp14:anchorId="360CDA15" wp14:editId="14CD6B97">
            <wp:extent cx="5943600" cy="421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1955"/>
                    </a:xfrm>
                    <a:prstGeom prst="rect">
                      <a:avLst/>
                    </a:prstGeom>
                  </pic:spPr>
                </pic:pic>
              </a:graphicData>
            </a:graphic>
          </wp:inline>
        </w:drawing>
      </w:r>
    </w:p>
    <w:p w14:paraId="2C9F6F1D" w14:textId="5CDC9532" w:rsidR="001C5FF5" w:rsidRDefault="001C5FF5" w:rsidP="001C5FF5">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 xml:space="preserve">Figure 4: GDOP Coverage for the </w:t>
      </w:r>
      <w:proofErr w:type="gramStart"/>
      <w:r>
        <w:rPr>
          <w:rFonts w:ascii="Calibri" w:hAnsi="Calibri" w:cs="Calibri"/>
          <w:color w:val="4472C5"/>
        </w:rPr>
        <w:t>Worst Case</w:t>
      </w:r>
      <w:proofErr w:type="gramEnd"/>
      <w:r>
        <w:rPr>
          <w:rFonts w:ascii="Calibri" w:hAnsi="Calibri" w:cs="Calibri"/>
          <w:color w:val="4472C5"/>
        </w:rPr>
        <w:t xml:space="preserve"> Earth Day within the Lunar Month</w:t>
      </w:r>
    </w:p>
    <w:p w14:paraId="15548C6A" w14:textId="22945ECD" w:rsidR="001C5FF5" w:rsidRDefault="001C5FF5" w:rsidP="001C5FF5">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for 5-satellite ELFO configuration</w:t>
      </w:r>
    </w:p>
    <w:p w14:paraId="73916A14" w14:textId="77777777" w:rsidR="001C5FF5" w:rsidRDefault="001C5FF5" w:rsidP="00003ABB">
      <w:pPr>
        <w:rPr>
          <w:rFonts w:ascii="Times New Roman" w:hAnsi="Times New Roman" w:cs="Times New Roman"/>
          <w:sz w:val="24"/>
          <w:szCs w:val="24"/>
        </w:rPr>
      </w:pPr>
    </w:p>
    <w:p w14:paraId="0CEAD56D" w14:textId="60F86B53" w:rsidR="001C5FF5" w:rsidRDefault="003A7726" w:rsidP="00003ABB">
      <w:pPr>
        <w:rPr>
          <w:rFonts w:ascii="Times New Roman" w:hAnsi="Times New Roman" w:cs="Times New Roman"/>
          <w:sz w:val="24"/>
          <w:szCs w:val="24"/>
        </w:rPr>
      </w:pPr>
      <w:r>
        <w:rPr>
          <w:noProof/>
        </w:rPr>
        <w:lastRenderedPageBreak/>
        <w:drawing>
          <wp:inline distT="0" distB="0" distL="0" distR="0" wp14:anchorId="353A379A" wp14:editId="76920504">
            <wp:extent cx="5943600" cy="4463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3415"/>
                    </a:xfrm>
                    <a:prstGeom prst="rect">
                      <a:avLst/>
                    </a:prstGeom>
                  </pic:spPr>
                </pic:pic>
              </a:graphicData>
            </a:graphic>
          </wp:inline>
        </w:drawing>
      </w:r>
    </w:p>
    <w:p w14:paraId="5DB92131" w14:textId="131CBB0F" w:rsidR="001C5FF5" w:rsidRDefault="001C5FF5" w:rsidP="001C5FF5">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 xml:space="preserve">Figure 5: </w:t>
      </w:r>
      <w:r w:rsidR="0055099E">
        <w:rPr>
          <w:rFonts w:ascii="Calibri" w:hAnsi="Calibri" w:cs="Calibri"/>
          <w:color w:val="4472C5"/>
        </w:rPr>
        <w:t>EVA Opportunities</w:t>
      </w:r>
      <w:r>
        <w:rPr>
          <w:rFonts w:ascii="Calibri" w:hAnsi="Calibri" w:cs="Calibri"/>
          <w:color w:val="4472C5"/>
        </w:rPr>
        <w:t xml:space="preserve"> for the </w:t>
      </w:r>
      <w:proofErr w:type="gramStart"/>
      <w:r>
        <w:rPr>
          <w:rFonts w:ascii="Calibri" w:hAnsi="Calibri" w:cs="Calibri"/>
          <w:color w:val="4472C5"/>
        </w:rPr>
        <w:t>Worst Case</w:t>
      </w:r>
      <w:proofErr w:type="gramEnd"/>
      <w:r>
        <w:rPr>
          <w:rFonts w:ascii="Calibri" w:hAnsi="Calibri" w:cs="Calibri"/>
          <w:color w:val="4472C5"/>
        </w:rPr>
        <w:t xml:space="preserve"> Earth Day within the Lunar Month</w:t>
      </w:r>
    </w:p>
    <w:p w14:paraId="520433F5" w14:textId="77777777" w:rsidR="0055099E" w:rsidRDefault="0055099E" w:rsidP="0055099E">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for 5-satellite ELFO configuration</w:t>
      </w:r>
    </w:p>
    <w:p w14:paraId="5AED05CB" w14:textId="77777777" w:rsidR="0055099E" w:rsidRDefault="0055099E" w:rsidP="001C5FF5">
      <w:pPr>
        <w:autoSpaceDE w:val="0"/>
        <w:autoSpaceDN w:val="0"/>
        <w:adjustRightInd w:val="0"/>
        <w:spacing w:after="0" w:line="240" w:lineRule="auto"/>
        <w:jc w:val="center"/>
        <w:rPr>
          <w:rFonts w:ascii="Calibri" w:hAnsi="Calibri" w:cs="Calibri"/>
          <w:color w:val="4472C5"/>
        </w:rPr>
      </w:pPr>
    </w:p>
    <w:p w14:paraId="533BD451" w14:textId="67339975" w:rsidR="001C5FF5" w:rsidRDefault="0055099E" w:rsidP="00003ABB">
      <w:pPr>
        <w:rPr>
          <w:rFonts w:ascii="Calibri" w:hAnsi="Calibri" w:cs="Calibri"/>
          <w:color w:val="4472C5"/>
        </w:rPr>
      </w:pPr>
      <w:r>
        <w:rPr>
          <w:rFonts w:ascii="Calibri" w:hAnsi="Calibri" w:cs="Calibri"/>
          <w:color w:val="4472C5"/>
        </w:rPr>
        <w:t>For these reasons, it was determined that an additional PNT asset was necessary to adequately address the GDOP coverage requirements</w:t>
      </w:r>
      <w:r w:rsidR="00CD45FD" w:rsidRPr="00CD45FD">
        <w:rPr>
          <w:rFonts w:ascii="Calibri" w:hAnsi="Calibri" w:cs="Calibri"/>
          <w:color w:val="4472C5"/>
        </w:rPr>
        <w:t xml:space="preserve"> </w:t>
      </w:r>
      <w:r w:rsidR="00CD45FD">
        <w:rPr>
          <w:rFonts w:ascii="Calibri" w:hAnsi="Calibri" w:cs="Calibri"/>
          <w:color w:val="4472C5"/>
        </w:rPr>
        <w:t xml:space="preserve">specified in </w:t>
      </w:r>
      <w:r w:rsidR="00CD45FD" w:rsidRPr="00F4039F">
        <w:rPr>
          <w:rFonts w:ascii="Calibri" w:hAnsi="Calibri" w:cs="Calibri"/>
          <w:color w:val="4472C5"/>
        </w:rPr>
        <w:t>LCRNS.3.0130</w:t>
      </w:r>
      <w:r>
        <w:rPr>
          <w:rFonts w:ascii="Calibri" w:hAnsi="Calibri" w:cs="Calibri"/>
          <w:color w:val="4472C5"/>
        </w:rPr>
        <w:t xml:space="preserve">.  An additional </w:t>
      </w:r>
      <w:r w:rsidR="00CD45FD">
        <w:rPr>
          <w:rFonts w:ascii="Calibri" w:hAnsi="Calibri" w:cs="Calibri"/>
          <w:color w:val="4472C5"/>
        </w:rPr>
        <w:t xml:space="preserve">Khon-7 </w:t>
      </w:r>
      <w:r>
        <w:rPr>
          <w:rFonts w:ascii="Calibri" w:hAnsi="Calibri" w:cs="Calibri"/>
          <w:color w:val="4472C5"/>
        </w:rPr>
        <w:t>satellite</w:t>
      </w:r>
      <w:r w:rsidR="00CD45FD">
        <w:rPr>
          <w:rFonts w:ascii="Calibri" w:hAnsi="Calibri" w:cs="Calibri"/>
          <w:color w:val="4472C5"/>
        </w:rPr>
        <w:t xml:space="preserve">, identical to Khon-2, was added the constellation in an ELFO plane with a phased offset from Khon-3.  Figure 6 shows the constellation configuration for Khon2-Kohn7 ELFO geometry.  Table 2 provides the full Cartesian state for the full 6-satellite PNT constellation in a Moon centered J2000 inertial reference frame for a common epoch at Feb 1, </w:t>
      </w:r>
      <w:proofErr w:type="gramStart"/>
      <w:r w:rsidR="00CD45FD">
        <w:rPr>
          <w:rFonts w:ascii="Calibri" w:hAnsi="Calibri" w:cs="Calibri"/>
          <w:color w:val="4472C5"/>
        </w:rPr>
        <w:t>2027</w:t>
      </w:r>
      <w:proofErr w:type="gramEnd"/>
      <w:r w:rsidR="00CD45FD">
        <w:rPr>
          <w:rFonts w:ascii="Calibri" w:hAnsi="Calibri" w:cs="Calibri"/>
          <w:color w:val="4472C5"/>
        </w:rPr>
        <w:t xml:space="preserve"> 0:00 UTC.  </w:t>
      </w:r>
    </w:p>
    <w:p w14:paraId="4192FE89" w14:textId="7498BF5B" w:rsidR="008B7DC9" w:rsidRDefault="008B7DC9" w:rsidP="00003ABB">
      <w:pPr>
        <w:rPr>
          <w:rFonts w:ascii="Calibri" w:hAnsi="Calibri" w:cs="Calibri"/>
          <w:color w:val="4472C5"/>
        </w:rPr>
      </w:pPr>
      <w:r>
        <w:rPr>
          <w:noProof/>
        </w:rPr>
        <w:lastRenderedPageBreak/>
        <w:drawing>
          <wp:inline distT="0" distB="0" distL="0" distR="0" wp14:anchorId="22F2085C" wp14:editId="2A61FDA7">
            <wp:extent cx="5943600" cy="6549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49390"/>
                    </a:xfrm>
                    <a:prstGeom prst="rect">
                      <a:avLst/>
                    </a:prstGeom>
                  </pic:spPr>
                </pic:pic>
              </a:graphicData>
            </a:graphic>
          </wp:inline>
        </w:drawing>
      </w:r>
    </w:p>
    <w:p w14:paraId="222996CD" w14:textId="393C8A5A" w:rsidR="00CD45FD" w:rsidRDefault="00CD45FD" w:rsidP="00CD45FD">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color w:val="4472C5"/>
        </w:rPr>
        <w:t>Figure 6: Khon-2 thru Khon-7 Elliptical Frozen Orbit Constellation</w:t>
      </w:r>
    </w:p>
    <w:p w14:paraId="2B4B498F" w14:textId="77777777" w:rsidR="00CD45FD" w:rsidRPr="00D9523E" w:rsidRDefault="00CD45FD" w:rsidP="00CD45F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D45FD" w14:paraId="7095B16C" w14:textId="77777777" w:rsidTr="00386231">
        <w:tc>
          <w:tcPr>
            <w:tcW w:w="1368" w:type="dxa"/>
          </w:tcPr>
          <w:p w14:paraId="0251C97F" w14:textId="77777777" w:rsidR="00CD45FD" w:rsidRDefault="00CD45FD" w:rsidP="00386231">
            <w:pPr>
              <w:rPr>
                <w:rFonts w:ascii="Times New Roman" w:hAnsi="Times New Roman" w:cs="Times New Roman"/>
                <w:sz w:val="24"/>
                <w:szCs w:val="24"/>
              </w:rPr>
            </w:pPr>
          </w:p>
        </w:tc>
        <w:tc>
          <w:tcPr>
            <w:tcW w:w="1368" w:type="dxa"/>
          </w:tcPr>
          <w:p w14:paraId="16ABB8BF"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Rx (km)</w:t>
            </w:r>
          </w:p>
        </w:tc>
        <w:tc>
          <w:tcPr>
            <w:tcW w:w="1368" w:type="dxa"/>
          </w:tcPr>
          <w:p w14:paraId="54DB464A"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Ry (km)</w:t>
            </w:r>
          </w:p>
        </w:tc>
        <w:tc>
          <w:tcPr>
            <w:tcW w:w="1368" w:type="dxa"/>
          </w:tcPr>
          <w:p w14:paraId="7B2459A0"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Rz (km)</w:t>
            </w:r>
          </w:p>
        </w:tc>
        <w:tc>
          <w:tcPr>
            <w:tcW w:w="1368" w:type="dxa"/>
          </w:tcPr>
          <w:p w14:paraId="3C8F39AC"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Vx (km/s)</w:t>
            </w:r>
          </w:p>
        </w:tc>
        <w:tc>
          <w:tcPr>
            <w:tcW w:w="1368" w:type="dxa"/>
          </w:tcPr>
          <w:p w14:paraId="5DA460B6" w14:textId="77777777" w:rsidR="00CD45FD" w:rsidRDefault="00CD45FD" w:rsidP="00386231">
            <w:pPr>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(km/s)</w:t>
            </w:r>
          </w:p>
        </w:tc>
        <w:tc>
          <w:tcPr>
            <w:tcW w:w="1368" w:type="dxa"/>
          </w:tcPr>
          <w:p w14:paraId="061F0F2C" w14:textId="77777777" w:rsidR="00CD45FD" w:rsidRDefault="00CD45FD" w:rsidP="00386231">
            <w:pPr>
              <w:rPr>
                <w:rFonts w:ascii="Times New Roman" w:hAnsi="Times New Roman" w:cs="Times New Roman"/>
                <w:sz w:val="24"/>
                <w:szCs w:val="24"/>
              </w:rPr>
            </w:pPr>
            <w:proofErr w:type="spellStart"/>
            <w:r>
              <w:rPr>
                <w:rFonts w:ascii="Times New Roman" w:hAnsi="Times New Roman" w:cs="Times New Roman"/>
                <w:sz w:val="24"/>
                <w:szCs w:val="24"/>
              </w:rPr>
              <w:t>Vz</w:t>
            </w:r>
            <w:proofErr w:type="spellEnd"/>
            <w:r>
              <w:rPr>
                <w:rFonts w:ascii="Times New Roman" w:hAnsi="Times New Roman" w:cs="Times New Roman"/>
                <w:sz w:val="24"/>
                <w:szCs w:val="24"/>
              </w:rPr>
              <w:t xml:space="preserve"> (km/s)</w:t>
            </w:r>
          </w:p>
        </w:tc>
      </w:tr>
      <w:tr w:rsidR="00CD45FD" w14:paraId="06CCEBD1" w14:textId="77777777" w:rsidTr="00386231">
        <w:tc>
          <w:tcPr>
            <w:tcW w:w="1368" w:type="dxa"/>
          </w:tcPr>
          <w:p w14:paraId="39C45D0B"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Khon-2</w:t>
            </w:r>
          </w:p>
        </w:tc>
        <w:tc>
          <w:tcPr>
            <w:tcW w:w="1368" w:type="dxa"/>
          </w:tcPr>
          <w:p w14:paraId="3D323C8C" w14:textId="77777777" w:rsidR="00CD45FD" w:rsidRDefault="00CD45FD" w:rsidP="00386231">
            <w:pPr>
              <w:rPr>
                <w:rFonts w:ascii="Times New Roman" w:hAnsi="Times New Roman" w:cs="Times New Roman"/>
                <w:sz w:val="24"/>
                <w:szCs w:val="24"/>
              </w:rPr>
            </w:pPr>
          </w:p>
        </w:tc>
        <w:tc>
          <w:tcPr>
            <w:tcW w:w="1368" w:type="dxa"/>
          </w:tcPr>
          <w:p w14:paraId="4B49A0A0" w14:textId="77777777" w:rsidR="00CD45FD" w:rsidRDefault="00CD45FD" w:rsidP="00386231">
            <w:pPr>
              <w:rPr>
                <w:rFonts w:ascii="Times New Roman" w:hAnsi="Times New Roman" w:cs="Times New Roman"/>
                <w:sz w:val="24"/>
                <w:szCs w:val="24"/>
              </w:rPr>
            </w:pPr>
          </w:p>
        </w:tc>
        <w:tc>
          <w:tcPr>
            <w:tcW w:w="1368" w:type="dxa"/>
          </w:tcPr>
          <w:p w14:paraId="62A3E4D4" w14:textId="77777777" w:rsidR="00CD45FD" w:rsidRDefault="00CD45FD" w:rsidP="00386231">
            <w:pPr>
              <w:rPr>
                <w:rFonts w:ascii="Times New Roman" w:hAnsi="Times New Roman" w:cs="Times New Roman"/>
                <w:sz w:val="24"/>
                <w:szCs w:val="24"/>
              </w:rPr>
            </w:pPr>
          </w:p>
        </w:tc>
        <w:tc>
          <w:tcPr>
            <w:tcW w:w="1368" w:type="dxa"/>
          </w:tcPr>
          <w:p w14:paraId="448E7687" w14:textId="77777777" w:rsidR="00CD45FD" w:rsidRDefault="00CD45FD" w:rsidP="00386231">
            <w:pPr>
              <w:rPr>
                <w:rFonts w:ascii="Times New Roman" w:hAnsi="Times New Roman" w:cs="Times New Roman"/>
                <w:sz w:val="24"/>
                <w:szCs w:val="24"/>
              </w:rPr>
            </w:pPr>
          </w:p>
        </w:tc>
        <w:tc>
          <w:tcPr>
            <w:tcW w:w="1368" w:type="dxa"/>
          </w:tcPr>
          <w:p w14:paraId="2865E6E5" w14:textId="77777777" w:rsidR="00CD45FD" w:rsidRDefault="00CD45FD" w:rsidP="00386231">
            <w:pPr>
              <w:rPr>
                <w:rFonts w:ascii="Times New Roman" w:hAnsi="Times New Roman" w:cs="Times New Roman"/>
                <w:sz w:val="24"/>
                <w:szCs w:val="24"/>
              </w:rPr>
            </w:pPr>
          </w:p>
        </w:tc>
        <w:tc>
          <w:tcPr>
            <w:tcW w:w="1368" w:type="dxa"/>
          </w:tcPr>
          <w:p w14:paraId="6857AE77" w14:textId="77777777" w:rsidR="00CD45FD" w:rsidRDefault="00CD45FD" w:rsidP="00386231">
            <w:pPr>
              <w:rPr>
                <w:rFonts w:ascii="Times New Roman" w:hAnsi="Times New Roman" w:cs="Times New Roman"/>
                <w:sz w:val="24"/>
                <w:szCs w:val="24"/>
              </w:rPr>
            </w:pPr>
          </w:p>
        </w:tc>
      </w:tr>
      <w:tr w:rsidR="00CD45FD" w14:paraId="471FE8D3" w14:textId="77777777" w:rsidTr="00386231">
        <w:tc>
          <w:tcPr>
            <w:tcW w:w="1368" w:type="dxa"/>
          </w:tcPr>
          <w:p w14:paraId="7E7F6991"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Khon-3</w:t>
            </w:r>
          </w:p>
        </w:tc>
        <w:tc>
          <w:tcPr>
            <w:tcW w:w="1368" w:type="dxa"/>
          </w:tcPr>
          <w:p w14:paraId="7901EC2A" w14:textId="77777777" w:rsidR="00CD45FD" w:rsidRDefault="00CD45FD" w:rsidP="00386231">
            <w:pPr>
              <w:rPr>
                <w:rFonts w:ascii="Times New Roman" w:hAnsi="Times New Roman" w:cs="Times New Roman"/>
                <w:sz w:val="24"/>
                <w:szCs w:val="24"/>
              </w:rPr>
            </w:pPr>
          </w:p>
        </w:tc>
        <w:tc>
          <w:tcPr>
            <w:tcW w:w="1368" w:type="dxa"/>
          </w:tcPr>
          <w:p w14:paraId="59CDF746" w14:textId="77777777" w:rsidR="00CD45FD" w:rsidRDefault="00CD45FD" w:rsidP="00386231">
            <w:pPr>
              <w:rPr>
                <w:rFonts w:ascii="Times New Roman" w:hAnsi="Times New Roman" w:cs="Times New Roman"/>
                <w:sz w:val="24"/>
                <w:szCs w:val="24"/>
              </w:rPr>
            </w:pPr>
          </w:p>
        </w:tc>
        <w:tc>
          <w:tcPr>
            <w:tcW w:w="1368" w:type="dxa"/>
          </w:tcPr>
          <w:p w14:paraId="4D94278C" w14:textId="77777777" w:rsidR="00CD45FD" w:rsidRDefault="00CD45FD" w:rsidP="00386231">
            <w:pPr>
              <w:rPr>
                <w:rFonts w:ascii="Times New Roman" w:hAnsi="Times New Roman" w:cs="Times New Roman"/>
                <w:sz w:val="24"/>
                <w:szCs w:val="24"/>
              </w:rPr>
            </w:pPr>
          </w:p>
        </w:tc>
        <w:tc>
          <w:tcPr>
            <w:tcW w:w="1368" w:type="dxa"/>
          </w:tcPr>
          <w:p w14:paraId="47BE0E02" w14:textId="77777777" w:rsidR="00CD45FD" w:rsidRDefault="00CD45FD" w:rsidP="00386231">
            <w:pPr>
              <w:rPr>
                <w:rFonts w:ascii="Times New Roman" w:hAnsi="Times New Roman" w:cs="Times New Roman"/>
                <w:sz w:val="24"/>
                <w:szCs w:val="24"/>
              </w:rPr>
            </w:pPr>
          </w:p>
        </w:tc>
        <w:tc>
          <w:tcPr>
            <w:tcW w:w="1368" w:type="dxa"/>
          </w:tcPr>
          <w:p w14:paraId="612C4EFF" w14:textId="77777777" w:rsidR="00CD45FD" w:rsidRDefault="00CD45FD" w:rsidP="00386231">
            <w:pPr>
              <w:rPr>
                <w:rFonts w:ascii="Times New Roman" w:hAnsi="Times New Roman" w:cs="Times New Roman"/>
                <w:sz w:val="24"/>
                <w:szCs w:val="24"/>
              </w:rPr>
            </w:pPr>
          </w:p>
        </w:tc>
        <w:tc>
          <w:tcPr>
            <w:tcW w:w="1368" w:type="dxa"/>
          </w:tcPr>
          <w:p w14:paraId="7BDF7888" w14:textId="77777777" w:rsidR="00CD45FD" w:rsidRDefault="00CD45FD" w:rsidP="00386231">
            <w:pPr>
              <w:rPr>
                <w:rFonts w:ascii="Times New Roman" w:hAnsi="Times New Roman" w:cs="Times New Roman"/>
                <w:sz w:val="24"/>
                <w:szCs w:val="24"/>
              </w:rPr>
            </w:pPr>
          </w:p>
        </w:tc>
      </w:tr>
      <w:tr w:rsidR="00CD45FD" w14:paraId="48C4F9BE" w14:textId="77777777" w:rsidTr="00386231">
        <w:tc>
          <w:tcPr>
            <w:tcW w:w="1368" w:type="dxa"/>
          </w:tcPr>
          <w:p w14:paraId="2E33C464"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Khon-4</w:t>
            </w:r>
          </w:p>
        </w:tc>
        <w:tc>
          <w:tcPr>
            <w:tcW w:w="1368" w:type="dxa"/>
          </w:tcPr>
          <w:p w14:paraId="1301ECB9" w14:textId="77777777" w:rsidR="00CD45FD" w:rsidRDefault="00CD45FD" w:rsidP="00386231">
            <w:pPr>
              <w:rPr>
                <w:rFonts w:ascii="Times New Roman" w:hAnsi="Times New Roman" w:cs="Times New Roman"/>
                <w:sz w:val="24"/>
                <w:szCs w:val="24"/>
              </w:rPr>
            </w:pPr>
          </w:p>
        </w:tc>
        <w:tc>
          <w:tcPr>
            <w:tcW w:w="1368" w:type="dxa"/>
          </w:tcPr>
          <w:p w14:paraId="4BE3381E" w14:textId="77777777" w:rsidR="00CD45FD" w:rsidRDefault="00CD45FD" w:rsidP="00386231">
            <w:pPr>
              <w:rPr>
                <w:rFonts w:ascii="Times New Roman" w:hAnsi="Times New Roman" w:cs="Times New Roman"/>
                <w:sz w:val="24"/>
                <w:szCs w:val="24"/>
              </w:rPr>
            </w:pPr>
          </w:p>
        </w:tc>
        <w:tc>
          <w:tcPr>
            <w:tcW w:w="1368" w:type="dxa"/>
          </w:tcPr>
          <w:p w14:paraId="66ECB89A" w14:textId="77777777" w:rsidR="00CD45FD" w:rsidRDefault="00CD45FD" w:rsidP="00386231">
            <w:pPr>
              <w:rPr>
                <w:rFonts w:ascii="Times New Roman" w:hAnsi="Times New Roman" w:cs="Times New Roman"/>
                <w:sz w:val="24"/>
                <w:szCs w:val="24"/>
              </w:rPr>
            </w:pPr>
          </w:p>
        </w:tc>
        <w:tc>
          <w:tcPr>
            <w:tcW w:w="1368" w:type="dxa"/>
          </w:tcPr>
          <w:p w14:paraId="2272E6C1" w14:textId="77777777" w:rsidR="00CD45FD" w:rsidRDefault="00CD45FD" w:rsidP="00386231">
            <w:pPr>
              <w:rPr>
                <w:rFonts w:ascii="Times New Roman" w:hAnsi="Times New Roman" w:cs="Times New Roman"/>
                <w:sz w:val="24"/>
                <w:szCs w:val="24"/>
              </w:rPr>
            </w:pPr>
          </w:p>
        </w:tc>
        <w:tc>
          <w:tcPr>
            <w:tcW w:w="1368" w:type="dxa"/>
          </w:tcPr>
          <w:p w14:paraId="2D0B48CA" w14:textId="77777777" w:rsidR="00CD45FD" w:rsidRDefault="00CD45FD" w:rsidP="00386231">
            <w:pPr>
              <w:rPr>
                <w:rFonts w:ascii="Times New Roman" w:hAnsi="Times New Roman" w:cs="Times New Roman"/>
                <w:sz w:val="24"/>
                <w:szCs w:val="24"/>
              </w:rPr>
            </w:pPr>
          </w:p>
        </w:tc>
        <w:tc>
          <w:tcPr>
            <w:tcW w:w="1368" w:type="dxa"/>
          </w:tcPr>
          <w:p w14:paraId="24F43C96" w14:textId="77777777" w:rsidR="00CD45FD" w:rsidRDefault="00CD45FD" w:rsidP="00386231">
            <w:pPr>
              <w:rPr>
                <w:rFonts w:ascii="Times New Roman" w:hAnsi="Times New Roman" w:cs="Times New Roman"/>
                <w:sz w:val="24"/>
                <w:szCs w:val="24"/>
              </w:rPr>
            </w:pPr>
          </w:p>
        </w:tc>
      </w:tr>
      <w:tr w:rsidR="00CD45FD" w14:paraId="11975F5F" w14:textId="77777777" w:rsidTr="00386231">
        <w:tc>
          <w:tcPr>
            <w:tcW w:w="1368" w:type="dxa"/>
          </w:tcPr>
          <w:p w14:paraId="47ADD127"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Khon-5</w:t>
            </w:r>
          </w:p>
        </w:tc>
        <w:tc>
          <w:tcPr>
            <w:tcW w:w="1368" w:type="dxa"/>
          </w:tcPr>
          <w:p w14:paraId="723DAAEB" w14:textId="77777777" w:rsidR="00CD45FD" w:rsidRDefault="00CD45FD" w:rsidP="00386231">
            <w:pPr>
              <w:rPr>
                <w:rFonts w:ascii="Times New Roman" w:hAnsi="Times New Roman" w:cs="Times New Roman"/>
                <w:sz w:val="24"/>
                <w:szCs w:val="24"/>
              </w:rPr>
            </w:pPr>
          </w:p>
        </w:tc>
        <w:tc>
          <w:tcPr>
            <w:tcW w:w="1368" w:type="dxa"/>
          </w:tcPr>
          <w:p w14:paraId="42D2ECD6" w14:textId="77777777" w:rsidR="00CD45FD" w:rsidRDefault="00CD45FD" w:rsidP="00386231">
            <w:pPr>
              <w:rPr>
                <w:rFonts w:ascii="Times New Roman" w:hAnsi="Times New Roman" w:cs="Times New Roman"/>
                <w:sz w:val="24"/>
                <w:szCs w:val="24"/>
              </w:rPr>
            </w:pPr>
          </w:p>
        </w:tc>
        <w:tc>
          <w:tcPr>
            <w:tcW w:w="1368" w:type="dxa"/>
          </w:tcPr>
          <w:p w14:paraId="30D4A423" w14:textId="77777777" w:rsidR="00CD45FD" w:rsidRDefault="00CD45FD" w:rsidP="00386231">
            <w:pPr>
              <w:rPr>
                <w:rFonts w:ascii="Times New Roman" w:hAnsi="Times New Roman" w:cs="Times New Roman"/>
                <w:sz w:val="24"/>
                <w:szCs w:val="24"/>
              </w:rPr>
            </w:pPr>
          </w:p>
        </w:tc>
        <w:tc>
          <w:tcPr>
            <w:tcW w:w="1368" w:type="dxa"/>
          </w:tcPr>
          <w:p w14:paraId="68A996BF" w14:textId="77777777" w:rsidR="00CD45FD" w:rsidRDefault="00CD45FD" w:rsidP="00386231">
            <w:pPr>
              <w:rPr>
                <w:rFonts w:ascii="Times New Roman" w:hAnsi="Times New Roman" w:cs="Times New Roman"/>
                <w:sz w:val="24"/>
                <w:szCs w:val="24"/>
              </w:rPr>
            </w:pPr>
          </w:p>
        </w:tc>
        <w:tc>
          <w:tcPr>
            <w:tcW w:w="1368" w:type="dxa"/>
          </w:tcPr>
          <w:p w14:paraId="4D091AE4" w14:textId="77777777" w:rsidR="00CD45FD" w:rsidRDefault="00CD45FD" w:rsidP="00386231">
            <w:pPr>
              <w:rPr>
                <w:rFonts w:ascii="Times New Roman" w:hAnsi="Times New Roman" w:cs="Times New Roman"/>
                <w:sz w:val="24"/>
                <w:szCs w:val="24"/>
              </w:rPr>
            </w:pPr>
          </w:p>
        </w:tc>
        <w:tc>
          <w:tcPr>
            <w:tcW w:w="1368" w:type="dxa"/>
          </w:tcPr>
          <w:p w14:paraId="7159802E" w14:textId="77777777" w:rsidR="00CD45FD" w:rsidRDefault="00CD45FD" w:rsidP="00386231">
            <w:pPr>
              <w:rPr>
                <w:rFonts w:ascii="Times New Roman" w:hAnsi="Times New Roman" w:cs="Times New Roman"/>
                <w:sz w:val="24"/>
                <w:szCs w:val="24"/>
              </w:rPr>
            </w:pPr>
          </w:p>
        </w:tc>
      </w:tr>
      <w:tr w:rsidR="00CD45FD" w14:paraId="68B097A1" w14:textId="77777777" w:rsidTr="00386231">
        <w:tc>
          <w:tcPr>
            <w:tcW w:w="1368" w:type="dxa"/>
          </w:tcPr>
          <w:p w14:paraId="77328052" w14:textId="77777777" w:rsidR="00CD45FD" w:rsidRDefault="00CD45FD" w:rsidP="00386231">
            <w:pPr>
              <w:rPr>
                <w:rFonts w:ascii="Times New Roman" w:hAnsi="Times New Roman" w:cs="Times New Roman"/>
                <w:sz w:val="24"/>
                <w:szCs w:val="24"/>
              </w:rPr>
            </w:pPr>
            <w:r>
              <w:rPr>
                <w:rFonts w:ascii="Times New Roman" w:hAnsi="Times New Roman" w:cs="Times New Roman"/>
                <w:sz w:val="24"/>
                <w:szCs w:val="24"/>
              </w:rPr>
              <w:t>Khon-6</w:t>
            </w:r>
          </w:p>
        </w:tc>
        <w:tc>
          <w:tcPr>
            <w:tcW w:w="1368" w:type="dxa"/>
          </w:tcPr>
          <w:p w14:paraId="6771CE8F" w14:textId="77777777" w:rsidR="00CD45FD" w:rsidRDefault="00CD45FD" w:rsidP="00386231">
            <w:pPr>
              <w:rPr>
                <w:rFonts w:ascii="Times New Roman" w:hAnsi="Times New Roman" w:cs="Times New Roman"/>
                <w:sz w:val="24"/>
                <w:szCs w:val="24"/>
              </w:rPr>
            </w:pPr>
          </w:p>
        </w:tc>
        <w:tc>
          <w:tcPr>
            <w:tcW w:w="1368" w:type="dxa"/>
          </w:tcPr>
          <w:p w14:paraId="140E3F0F" w14:textId="77777777" w:rsidR="00CD45FD" w:rsidRDefault="00CD45FD" w:rsidP="00386231">
            <w:pPr>
              <w:rPr>
                <w:rFonts w:ascii="Times New Roman" w:hAnsi="Times New Roman" w:cs="Times New Roman"/>
                <w:sz w:val="24"/>
                <w:szCs w:val="24"/>
              </w:rPr>
            </w:pPr>
          </w:p>
        </w:tc>
        <w:tc>
          <w:tcPr>
            <w:tcW w:w="1368" w:type="dxa"/>
          </w:tcPr>
          <w:p w14:paraId="0195E6A3" w14:textId="77777777" w:rsidR="00CD45FD" w:rsidRDefault="00CD45FD" w:rsidP="00386231">
            <w:pPr>
              <w:rPr>
                <w:rFonts w:ascii="Times New Roman" w:hAnsi="Times New Roman" w:cs="Times New Roman"/>
                <w:sz w:val="24"/>
                <w:szCs w:val="24"/>
              </w:rPr>
            </w:pPr>
          </w:p>
        </w:tc>
        <w:tc>
          <w:tcPr>
            <w:tcW w:w="1368" w:type="dxa"/>
          </w:tcPr>
          <w:p w14:paraId="6EBDB9ED" w14:textId="77777777" w:rsidR="00CD45FD" w:rsidRDefault="00CD45FD" w:rsidP="00386231">
            <w:pPr>
              <w:rPr>
                <w:rFonts w:ascii="Times New Roman" w:hAnsi="Times New Roman" w:cs="Times New Roman"/>
                <w:sz w:val="24"/>
                <w:szCs w:val="24"/>
              </w:rPr>
            </w:pPr>
          </w:p>
        </w:tc>
        <w:tc>
          <w:tcPr>
            <w:tcW w:w="1368" w:type="dxa"/>
          </w:tcPr>
          <w:p w14:paraId="7F92BA92" w14:textId="77777777" w:rsidR="00CD45FD" w:rsidRDefault="00CD45FD" w:rsidP="00386231">
            <w:pPr>
              <w:rPr>
                <w:rFonts w:ascii="Times New Roman" w:hAnsi="Times New Roman" w:cs="Times New Roman"/>
                <w:sz w:val="24"/>
                <w:szCs w:val="24"/>
              </w:rPr>
            </w:pPr>
          </w:p>
        </w:tc>
        <w:tc>
          <w:tcPr>
            <w:tcW w:w="1368" w:type="dxa"/>
          </w:tcPr>
          <w:p w14:paraId="3B0C79FC" w14:textId="77777777" w:rsidR="00CD45FD" w:rsidRDefault="00CD45FD" w:rsidP="00386231">
            <w:pPr>
              <w:rPr>
                <w:rFonts w:ascii="Times New Roman" w:hAnsi="Times New Roman" w:cs="Times New Roman"/>
                <w:sz w:val="24"/>
                <w:szCs w:val="24"/>
              </w:rPr>
            </w:pPr>
          </w:p>
        </w:tc>
      </w:tr>
      <w:tr w:rsidR="00CD45FD" w14:paraId="3EB1E4B9" w14:textId="77777777" w:rsidTr="00386231">
        <w:tc>
          <w:tcPr>
            <w:tcW w:w="1368" w:type="dxa"/>
          </w:tcPr>
          <w:p w14:paraId="0012AF12" w14:textId="42571419" w:rsidR="00CD45FD" w:rsidRDefault="00CD45FD" w:rsidP="00386231">
            <w:pPr>
              <w:rPr>
                <w:rFonts w:ascii="Times New Roman" w:hAnsi="Times New Roman" w:cs="Times New Roman"/>
                <w:sz w:val="24"/>
                <w:szCs w:val="24"/>
              </w:rPr>
            </w:pPr>
            <w:r>
              <w:rPr>
                <w:rFonts w:ascii="Times New Roman" w:hAnsi="Times New Roman" w:cs="Times New Roman"/>
                <w:sz w:val="24"/>
                <w:szCs w:val="24"/>
              </w:rPr>
              <w:lastRenderedPageBreak/>
              <w:t>Khon-7</w:t>
            </w:r>
          </w:p>
        </w:tc>
        <w:tc>
          <w:tcPr>
            <w:tcW w:w="1368" w:type="dxa"/>
          </w:tcPr>
          <w:p w14:paraId="67D2F03F" w14:textId="77777777" w:rsidR="00CD45FD" w:rsidRDefault="00CD45FD" w:rsidP="00386231">
            <w:pPr>
              <w:rPr>
                <w:rFonts w:ascii="Times New Roman" w:hAnsi="Times New Roman" w:cs="Times New Roman"/>
                <w:sz w:val="24"/>
                <w:szCs w:val="24"/>
              </w:rPr>
            </w:pPr>
          </w:p>
        </w:tc>
        <w:tc>
          <w:tcPr>
            <w:tcW w:w="1368" w:type="dxa"/>
          </w:tcPr>
          <w:p w14:paraId="22578F42" w14:textId="77777777" w:rsidR="00CD45FD" w:rsidRDefault="00CD45FD" w:rsidP="00386231">
            <w:pPr>
              <w:rPr>
                <w:rFonts w:ascii="Times New Roman" w:hAnsi="Times New Roman" w:cs="Times New Roman"/>
                <w:sz w:val="24"/>
                <w:szCs w:val="24"/>
              </w:rPr>
            </w:pPr>
          </w:p>
        </w:tc>
        <w:tc>
          <w:tcPr>
            <w:tcW w:w="1368" w:type="dxa"/>
          </w:tcPr>
          <w:p w14:paraId="141FAD72" w14:textId="77777777" w:rsidR="00CD45FD" w:rsidRDefault="00CD45FD" w:rsidP="00386231">
            <w:pPr>
              <w:rPr>
                <w:rFonts w:ascii="Times New Roman" w:hAnsi="Times New Roman" w:cs="Times New Roman"/>
                <w:sz w:val="24"/>
                <w:szCs w:val="24"/>
              </w:rPr>
            </w:pPr>
          </w:p>
        </w:tc>
        <w:tc>
          <w:tcPr>
            <w:tcW w:w="1368" w:type="dxa"/>
          </w:tcPr>
          <w:p w14:paraId="1E4DB96B" w14:textId="77777777" w:rsidR="00CD45FD" w:rsidRDefault="00CD45FD" w:rsidP="00386231">
            <w:pPr>
              <w:rPr>
                <w:rFonts w:ascii="Times New Roman" w:hAnsi="Times New Roman" w:cs="Times New Roman"/>
                <w:sz w:val="24"/>
                <w:szCs w:val="24"/>
              </w:rPr>
            </w:pPr>
          </w:p>
        </w:tc>
        <w:tc>
          <w:tcPr>
            <w:tcW w:w="1368" w:type="dxa"/>
          </w:tcPr>
          <w:p w14:paraId="26CF10E5" w14:textId="77777777" w:rsidR="00CD45FD" w:rsidRDefault="00CD45FD" w:rsidP="00386231">
            <w:pPr>
              <w:rPr>
                <w:rFonts w:ascii="Times New Roman" w:hAnsi="Times New Roman" w:cs="Times New Roman"/>
                <w:sz w:val="24"/>
                <w:szCs w:val="24"/>
              </w:rPr>
            </w:pPr>
          </w:p>
        </w:tc>
        <w:tc>
          <w:tcPr>
            <w:tcW w:w="1368" w:type="dxa"/>
          </w:tcPr>
          <w:p w14:paraId="70C7DE8E" w14:textId="77777777" w:rsidR="00CD45FD" w:rsidRDefault="00CD45FD" w:rsidP="00386231">
            <w:pPr>
              <w:rPr>
                <w:rFonts w:ascii="Times New Roman" w:hAnsi="Times New Roman" w:cs="Times New Roman"/>
                <w:sz w:val="24"/>
                <w:szCs w:val="24"/>
              </w:rPr>
            </w:pPr>
          </w:p>
        </w:tc>
      </w:tr>
    </w:tbl>
    <w:p w14:paraId="59B5E895" w14:textId="4B6C32AF" w:rsidR="00CD45FD" w:rsidRDefault="00CD45FD" w:rsidP="00CD45FD">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 xml:space="preserve">Table 2: Khon-2 thru Khon-7 ELFO States </w:t>
      </w:r>
    </w:p>
    <w:p w14:paraId="32A887F4" w14:textId="77777777" w:rsidR="00CD45FD" w:rsidRDefault="00CD45FD" w:rsidP="00CD45FD">
      <w:pPr>
        <w:autoSpaceDE w:val="0"/>
        <w:autoSpaceDN w:val="0"/>
        <w:adjustRightInd w:val="0"/>
        <w:spacing w:after="0" w:line="240" w:lineRule="auto"/>
        <w:jc w:val="center"/>
        <w:rPr>
          <w:rFonts w:ascii="Times New Roman" w:hAnsi="Times New Roman" w:cs="Times New Roman"/>
          <w:sz w:val="24"/>
          <w:szCs w:val="24"/>
        </w:rPr>
      </w:pPr>
      <w:proofErr w:type="spellStart"/>
      <w:r>
        <w:rPr>
          <w:rFonts w:ascii="Calibri" w:hAnsi="Calibri" w:cs="Calibri"/>
          <w:color w:val="4472C5"/>
        </w:rPr>
        <w:t>wrt</w:t>
      </w:r>
      <w:proofErr w:type="spellEnd"/>
      <w:r>
        <w:rPr>
          <w:rFonts w:ascii="Calibri" w:hAnsi="Calibri" w:cs="Calibri"/>
          <w:color w:val="4472C5"/>
        </w:rPr>
        <w:t xml:space="preserve"> Moon Centered J2000 Inertial Reference Frame at Feb 1, </w:t>
      </w:r>
      <w:proofErr w:type="gramStart"/>
      <w:r>
        <w:rPr>
          <w:rFonts w:ascii="Calibri" w:hAnsi="Calibri" w:cs="Calibri"/>
          <w:color w:val="4472C5"/>
        </w:rPr>
        <w:t>2027</w:t>
      </w:r>
      <w:proofErr w:type="gramEnd"/>
      <w:r>
        <w:rPr>
          <w:rFonts w:ascii="Calibri" w:hAnsi="Calibri" w:cs="Calibri"/>
          <w:color w:val="4472C5"/>
        </w:rPr>
        <w:t xml:space="preserve"> 0:00 UTC</w:t>
      </w:r>
    </w:p>
    <w:p w14:paraId="1718816B" w14:textId="30047CC6" w:rsidR="00CD45FD" w:rsidRDefault="00CD45FD" w:rsidP="00003ABB">
      <w:pPr>
        <w:rPr>
          <w:rFonts w:ascii="Times New Roman" w:hAnsi="Times New Roman" w:cs="Times New Roman"/>
          <w:sz w:val="24"/>
          <w:szCs w:val="24"/>
        </w:rPr>
      </w:pPr>
    </w:p>
    <w:p w14:paraId="37338661" w14:textId="1A9F57B1" w:rsidR="00CD45FD" w:rsidRDefault="00CD45FD" w:rsidP="00003ABB">
      <w:pPr>
        <w:rPr>
          <w:rFonts w:ascii="Calibri" w:hAnsi="Calibri" w:cs="Calibri"/>
          <w:color w:val="4472C5"/>
        </w:rPr>
      </w:pPr>
      <w:r>
        <w:rPr>
          <w:rFonts w:ascii="Calibri" w:hAnsi="Calibri" w:cs="Calibri"/>
          <w:color w:val="4472C5"/>
        </w:rPr>
        <w:t xml:space="preserve">The </w:t>
      </w:r>
      <w:r w:rsidR="00B47353">
        <w:rPr>
          <w:rFonts w:ascii="Calibri" w:hAnsi="Calibri" w:cs="Calibri"/>
          <w:color w:val="4472C5"/>
        </w:rPr>
        <w:t xml:space="preserve">6-satllite </w:t>
      </w:r>
      <w:r>
        <w:rPr>
          <w:rFonts w:ascii="Calibri" w:hAnsi="Calibri" w:cs="Calibri"/>
          <w:color w:val="4472C5"/>
        </w:rPr>
        <w:t xml:space="preserve">orbit configuration </w:t>
      </w:r>
      <w:r w:rsidR="00B47353">
        <w:rPr>
          <w:rFonts w:ascii="Calibri" w:hAnsi="Calibri" w:cs="Calibri"/>
          <w:color w:val="4472C5"/>
        </w:rPr>
        <w:t xml:space="preserve">provides on </w:t>
      </w:r>
      <w:r>
        <w:rPr>
          <w:rFonts w:ascii="Calibri" w:hAnsi="Calibri" w:cs="Calibri"/>
          <w:color w:val="4472C5"/>
        </w:rPr>
        <w:t xml:space="preserve">average </w:t>
      </w:r>
      <w:r w:rsidR="00B47353">
        <w:rPr>
          <w:rFonts w:ascii="Calibri" w:hAnsi="Calibri" w:cs="Calibri"/>
          <w:color w:val="4472C5"/>
        </w:rPr>
        <w:t>5 of 6 satellites</w:t>
      </w:r>
      <w:r>
        <w:rPr>
          <w:rFonts w:ascii="Calibri" w:hAnsi="Calibri" w:cs="Calibri"/>
          <w:color w:val="4472C5"/>
        </w:rPr>
        <w:t xml:space="preserve"> in view at one time within the LSP coverage zone, but there are times that that drops down to </w:t>
      </w:r>
      <w:r w:rsidR="00B47353">
        <w:rPr>
          <w:rFonts w:ascii="Calibri" w:hAnsi="Calibri" w:cs="Calibri"/>
          <w:color w:val="4472C5"/>
        </w:rPr>
        <w:t>4</w:t>
      </w:r>
      <w:r>
        <w:rPr>
          <w:rFonts w:ascii="Calibri" w:hAnsi="Calibri" w:cs="Calibri"/>
          <w:color w:val="4472C5"/>
        </w:rPr>
        <w:t xml:space="preserve"> where the GDOP increases.  The average GDOP for a lunar South Pole user is </w:t>
      </w:r>
      <w:r w:rsidR="00B47353">
        <w:rPr>
          <w:rFonts w:ascii="Calibri" w:hAnsi="Calibri" w:cs="Calibri"/>
          <w:color w:val="4472C5"/>
        </w:rPr>
        <w:t>improved to 3.9</w:t>
      </w:r>
      <w:r>
        <w:rPr>
          <w:rFonts w:ascii="Calibri" w:hAnsi="Calibri" w:cs="Calibri"/>
          <w:color w:val="4472C5"/>
        </w:rPr>
        <w:t xml:space="preserve"> over the lunar month.</w:t>
      </w:r>
    </w:p>
    <w:p w14:paraId="6DF3D79F" w14:textId="7FE499E4" w:rsidR="00B47353" w:rsidRDefault="00B47353" w:rsidP="00003ABB">
      <w:pPr>
        <w:rPr>
          <w:rFonts w:ascii="Calibri" w:hAnsi="Calibri" w:cs="Calibri"/>
          <w:color w:val="4472C5"/>
        </w:rPr>
      </w:pPr>
      <w:r>
        <w:rPr>
          <w:noProof/>
        </w:rPr>
        <w:drawing>
          <wp:inline distT="0" distB="0" distL="0" distR="0" wp14:anchorId="7FF0BBE8" wp14:editId="1F078CC3">
            <wp:extent cx="5943600" cy="4472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2940"/>
                    </a:xfrm>
                    <a:prstGeom prst="rect">
                      <a:avLst/>
                    </a:prstGeom>
                  </pic:spPr>
                </pic:pic>
              </a:graphicData>
            </a:graphic>
          </wp:inline>
        </w:drawing>
      </w:r>
    </w:p>
    <w:p w14:paraId="7B2E1621" w14:textId="7FAFD7E6" w:rsidR="00B47353" w:rsidRDefault="00B47353" w:rsidP="00B47353">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Figure 7: No of Satellites within Line of Site and GDOP Coverage for a Lunar Month</w:t>
      </w:r>
    </w:p>
    <w:p w14:paraId="17FA8233" w14:textId="7EEE7B7D" w:rsidR="00B47353" w:rsidRDefault="00B47353" w:rsidP="00B47353">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with the Final 6-satellite ELFO Configuration</w:t>
      </w:r>
    </w:p>
    <w:p w14:paraId="0DAF286A" w14:textId="77777777" w:rsidR="00B47353" w:rsidRDefault="00B47353" w:rsidP="00B47353">
      <w:pPr>
        <w:autoSpaceDE w:val="0"/>
        <w:autoSpaceDN w:val="0"/>
        <w:adjustRightInd w:val="0"/>
        <w:spacing w:after="0" w:line="240" w:lineRule="auto"/>
        <w:rPr>
          <w:rFonts w:ascii="Calibri" w:hAnsi="Calibri" w:cs="Calibri"/>
          <w:color w:val="4472C5"/>
        </w:rPr>
      </w:pPr>
    </w:p>
    <w:p w14:paraId="35A51EE7" w14:textId="77777777" w:rsidR="00B47353" w:rsidRDefault="00B47353" w:rsidP="00B47353">
      <w:pPr>
        <w:autoSpaceDE w:val="0"/>
        <w:autoSpaceDN w:val="0"/>
        <w:adjustRightInd w:val="0"/>
        <w:spacing w:after="0" w:line="240" w:lineRule="auto"/>
        <w:rPr>
          <w:rFonts w:ascii="Calibri" w:hAnsi="Calibri" w:cs="Calibri"/>
          <w:color w:val="4472C5"/>
        </w:rPr>
      </w:pPr>
    </w:p>
    <w:p w14:paraId="21336134" w14:textId="5AE4733A" w:rsidR="00B47353" w:rsidRDefault="00B47353" w:rsidP="00B47353">
      <w:pPr>
        <w:autoSpaceDE w:val="0"/>
        <w:autoSpaceDN w:val="0"/>
        <w:adjustRightInd w:val="0"/>
        <w:spacing w:after="0" w:line="240" w:lineRule="auto"/>
        <w:rPr>
          <w:rFonts w:ascii="Calibri" w:hAnsi="Calibri" w:cs="Calibri"/>
          <w:color w:val="4472C5"/>
        </w:rPr>
      </w:pPr>
      <w:r>
        <w:rPr>
          <w:noProof/>
        </w:rPr>
        <w:lastRenderedPageBreak/>
        <w:drawing>
          <wp:inline distT="0" distB="0" distL="0" distR="0" wp14:anchorId="09256F5C" wp14:editId="52514CAD">
            <wp:extent cx="5943600" cy="4350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0385"/>
                    </a:xfrm>
                    <a:prstGeom prst="rect">
                      <a:avLst/>
                    </a:prstGeom>
                  </pic:spPr>
                </pic:pic>
              </a:graphicData>
            </a:graphic>
          </wp:inline>
        </w:drawing>
      </w:r>
    </w:p>
    <w:p w14:paraId="37ADE25C" w14:textId="5697806D" w:rsidR="00B47353" w:rsidRDefault="00B47353" w:rsidP="00B47353">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 xml:space="preserve">Figure 8: GDOP Coverage for the </w:t>
      </w:r>
      <w:proofErr w:type="gramStart"/>
      <w:r>
        <w:rPr>
          <w:rFonts w:ascii="Calibri" w:hAnsi="Calibri" w:cs="Calibri"/>
          <w:color w:val="4472C5"/>
        </w:rPr>
        <w:t>Worst Case</w:t>
      </w:r>
      <w:proofErr w:type="gramEnd"/>
      <w:r>
        <w:rPr>
          <w:rFonts w:ascii="Calibri" w:hAnsi="Calibri" w:cs="Calibri"/>
          <w:color w:val="4472C5"/>
        </w:rPr>
        <w:t xml:space="preserve"> Earth Day within the Lunar Month</w:t>
      </w:r>
    </w:p>
    <w:p w14:paraId="24D1B1A6" w14:textId="1685F51C" w:rsidR="00B47353" w:rsidRDefault="00B47353" w:rsidP="00B47353">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for 6-satellite ELFO configuration</w:t>
      </w:r>
    </w:p>
    <w:p w14:paraId="34D3AD58" w14:textId="77777777" w:rsidR="00B47353" w:rsidRDefault="00B47353" w:rsidP="00B47353">
      <w:pPr>
        <w:autoSpaceDE w:val="0"/>
        <w:autoSpaceDN w:val="0"/>
        <w:adjustRightInd w:val="0"/>
        <w:spacing w:after="0" w:line="240" w:lineRule="auto"/>
        <w:rPr>
          <w:rFonts w:ascii="Calibri" w:hAnsi="Calibri" w:cs="Calibri"/>
          <w:color w:val="4472C5"/>
        </w:rPr>
      </w:pPr>
    </w:p>
    <w:p w14:paraId="29B57A16" w14:textId="10CDAD97" w:rsidR="003A7726" w:rsidRDefault="003A7726" w:rsidP="003A7726">
      <w:pPr>
        <w:autoSpaceDE w:val="0"/>
        <w:autoSpaceDN w:val="0"/>
        <w:adjustRightInd w:val="0"/>
        <w:spacing w:after="0" w:line="240" w:lineRule="auto"/>
        <w:rPr>
          <w:rFonts w:ascii="Calibri" w:hAnsi="Calibri" w:cs="Calibri"/>
          <w:color w:val="4472C5"/>
        </w:rPr>
      </w:pPr>
      <w:r>
        <w:rPr>
          <w:rFonts w:ascii="Calibri" w:hAnsi="Calibri" w:cs="Calibri"/>
          <w:color w:val="4472C5"/>
        </w:rPr>
        <w:t xml:space="preserve">GDOP coverage in this final configuration is shown in Figure 8 was determined to range from 35%-65% for the worst-case </w:t>
      </w:r>
      <w:proofErr w:type="gramStart"/>
      <w:r>
        <w:rPr>
          <w:rFonts w:ascii="Calibri" w:hAnsi="Calibri" w:cs="Calibri"/>
          <w:color w:val="4472C5"/>
        </w:rPr>
        <w:t>Earth day</w:t>
      </w:r>
      <w:proofErr w:type="gramEnd"/>
      <w:r>
        <w:rPr>
          <w:rFonts w:ascii="Calibri" w:hAnsi="Calibri" w:cs="Calibri"/>
          <w:color w:val="4472C5"/>
        </w:rPr>
        <w:t xml:space="preserve"> within the lunar month, for any fixed location within the service volume.  </w:t>
      </w:r>
      <w:r w:rsidR="00670D21">
        <w:rPr>
          <w:rFonts w:ascii="Calibri" w:hAnsi="Calibri" w:cs="Calibri"/>
          <w:color w:val="4472C5"/>
        </w:rPr>
        <w:t xml:space="preserve">Figures 9 shows the opportunities to support </w:t>
      </w:r>
      <w:proofErr w:type="gramStart"/>
      <w:r w:rsidR="00670D21">
        <w:rPr>
          <w:rFonts w:ascii="Calibri" w:hAnsi="Calibri" w:cs="Calibri"/>
          <w:color w:val="4472C5"/>
        </w:rPr>
        <w:t>EVA’s</w:t>
      </w:r>
      <w:proofErr w:type="gramEnd"/>
      <w:r w:rsidR="00670D21">
        <w:rPr>
          <w:rFonts w:ascii="Calibri" w:hAnsi="Calibri" w:cs="Calibri"/>
          <w:color w:val="4472C5"/>
        </w:rPr>
        <w:t xml:space="preserve"> for a typical coverage day within this configuration; three or four 5 hour windows exist with continuous performance with GDOP&lt;6 is generally available every Earth day.  </w:t>
      </w:r>
      <w:r>
        <w:rPr>
          <w:rFonts w:ascii="Calibri" w:hAnsi="Calibri" w:cs="Calibri"/>
          <w:color w:val="4472C5"/>
        </w:rPr>
        <w:t>For this configuration, the worst-case coverage gaps occur on day 22.  Figure</w:t>
      </w:r>
      <w:r w:rsidR="00670D21">
        <w:rPr>
          <w:rFonts w:ascii="Calibri" w:hAnsi="Calibri" w:cs="Calibri"/>
          <w:color w:val="4472C5"/>
        </w:rPr>
        <w:t xml:space="preserve"> 10 </w:t>
      </w:r>
      <w:r>
        <w:rPr>
          <w:rFonts w:ascii="Calibri" w:hAnsi="Calibri" w:cs="Calibri"/>
          <w:color w:val="4472C5"/>
        </w:rPr>
        <w:t xml:space="preserve">shows the opportunities to support </w:t>
      </w:r>
      <w:proofErr w:type="gramStart"/>
      <w:r>
        <w:rPr>
          <w:rFonts w:ascii="Calibri" w:hAnsi="Calibri" w:cs="Calibri"/>
          <w:color w:val="4472C5"/>
        </w:rPr>
        <w:t>EVA’s</w:t>
      </w:r>
      <w:proofErr w:type="gramEnd"/>
      <w:r>
        <w:rPr>
          <w:rFonts w:ascii="Calibri" w:hAnsi="Calibri" w:cs="Calibri"/>
          <w:color w:val="4472C5"/>
        </w:rPr>
        <w:t xml:space="preserve"> </w:t>
      </w:r>
      <w:r w:rsidR="00670D21">
        <w:rPr>
          <w:rFonts w:ascii="Calibri" w:hAnsi="Calibri" w:cs="Calibri"/>
          <w:color w:val="4472C5"/>
        </w:rPr>
        <w:t xml:space="preserve">for a </w:t>
      </w:r>
      <w:r>
        <w:rPr>
          <w:rFonts w:ascii="Calibri" w:hAnsi="Calibri" w:cs="Calibri"/>
          <w:color w:val="4472C5"/>
        </w:rPr>
        <w:t>worst case condition.</w:t>
      </w:r>
      <w:r w:rsidR="00670D21">
        <w:rPr>
          <w:rFonts w:ascii="Calibri" w:hAnsi="Calibri" w:cs="Calibri"/>
          <w:color w:val="4472C5"/>
        </w:rPr>
        <w:t xml:space="preserve">  There are two </w:t>
      </w:r>
      <w:proofErr w:type="gramStart"/>
      <w:r w:rsidR="00670D21">
        <w:rPr>
          <w:rFonts w:ascii="Calibri" w:hAnsi="Calibri" w:cs="Calibri"/>
          <w:color w:val="4472C5"/>
        </w:rPr>
        <w:t>4 hour</w:t>
      </w:r>
      <w:proofErr w:type="gramEnd"/>
      <w:r w:rsidR="00670D21">
        <w:rPr>
          <w:rFonts w:ascii="Calibri" w:hAnsi="Calibri" w:cs="Calibri"/>
          <w:color w:val="4472C5"/>
        </w:rPr>
        <w:t xml:space="preserve"> windows with continuous performance with GDOP&lt;6, but the contingency hour specified in </w:t>
      </w:r>
      <w:r w:rsidR="00670D21" w:rsidRPr="00670D21">
        <w:rPr>
          <w:rFonts w:ascii="Calibri" w:hAnsi="Calibri" w:cs="Calibri"/>
          <w:color w:val="4472C5"/>
        </w:rPr>
        <w:t>LCRNS.3.0240</w:t>
      </w:r>
      <w:r w:rsidR="00670D21">
        <w:rPr>
          <w:rFonts w:ascii="Calibri" w:hAnsi="Calibri" w:cs="Calibri"/>
          <w:color w:val="4472C5"/>
        </w:rPr>
        <w:t xml:space="preserve"> is not supported in this worst case.</w:t>
      </w:r>
    </w:p>
    <w:p w14:paraId="6E344DFF" w14:textId="60C9D47D" w:rsidR="003A7726" w:rsidRDefault="00670D21" w:rsidP="003A7726">
      <w:pPr>
        <w:autoSpaceDE w:val="0"/>
        <w:autoSpaceDN w:val="0"/>
        <w:adjustRightInd w:val="0"/>
        <w:spacing w:after="0" w:line="240" w:lineRule="auto"/>
        <w:rPr>
          <w:rFonts w:ascii="Calibri" w:hAnsi="Calibri" w:cs="Calibri"/>
          <w:color w:val="4472C5"/>
        </w:rPr>
      </w:pPr>
      <w:r>
        <w:rPr>
          <w:noProof/>
        </w:rPr>
        <w:lastRenderedPageBreak/>
        <w:drawing>
          <wp:inline distT="0" distB="0" distL="0" distR="0" wp14:anchorId="39E9AF77" wp14:editId="47C9E754">
            <wp:extent cx="5943600" cy="442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9125"/>
                    </a:xfrm>
                    <a:prstGeom prst="rect">
                      <a:avLst/>
                    </a:prstGeom>
                  </pic:spPr>
                </pic:pic>
              </a:graphicData>
            </a:graphic>
          </wp:inline>
        </w:drawing>
      </w:r>
    </w:p>
    <w:p w14:paraId="1452EF6E" w14:textId="0DCE5D61" w:rsidR="003A7726" w:rsidRDefault="003A7726" w:rsidP="003A7726">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Figure 9: EVA Opportunities for the Typical Case Earth Day within the Lunar Month</w:t>
      </w:r>
    </w:p>
    <w:p w14:paraId="4CB7FE17" w14:textId="1503BF61" w:rsidR="003A7726" w:rsidRDefault="003A7726" w:rsidP="003A7726">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for 6-satellite ELFO configuration</w:t>
      </w:r>
    </w:p>
    <w:p w14:paraId="2CE6262A" w14:textId="77777777" w:rsidR="003A7726" w:rsidRDefault="003A7726" w:rsidP="003A7726">
      <w:pPr>
        <w:autoSpaceDE w:val="0"/>
        <w:autoSpaceDN w:val="0"/>
        <w:adjustRightInd w:val="0"/>
        <w:spacing w:after="0" w:line="240" w:lineRule="auto"/>
        <w:rPr>
          <w:rFonts w:ascii="Calibri" w:hAnsi="Calibri" w:cs="Calibri"/>
          <w:color w:val="4472C5"/>
        </w:rPr>
      </w:pPr>
    </w:p>
    <w:p w14:paraId="6B14626D" w14:textId="6C078B02" w:rsidR="003A7726" w:rsidRDefault="003A7726" w:rsidP="003A7726">
      <w:pPr>
        <w:autoSpaceDE w:val="0"/>
        <w:autoSpaceDN w:val="0"/>
        <w:adjustRightInd w:val="0"/>
        <w:spacing w:after="0" w:line="240" w:lineRule="auto"/>
        <w:rPr>
          <w:rFonts w:ascii="Calibri" w:hAnsi="Calibri" w:cs="Calibri"/>
          <w:color w:val="4472C5"/>
        </w:rPr>
      </w:pPr>
      <w:r>
        <w:rPr>
          <w:noProof/>
        </w:rPr>
        <w:lastRenderedPageBreak/>
        <w:drawing>
          <wp:inline distT="0" distB="0" distL="0" distR="0" wp14:anchorId="786CBCCA" wp14:editId="329F3781">
            <wp:extent cx="5943600" cy="438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3405"/>
                    </a:xfrm>
                    <a:prstGeom prst="rect">
                      <a:avLst/>
                    </a:prstGeom>
                  </pic:spPr>
                </pic:pic>
              </a:graphicData>
            </a:graphic>
          </wp:inline>
        </w:drawing>
      </w:r>
    </w:p>
    <w:p w14:paraId="0D9E9963" w14:textId="16FE399C" w:rsidR="003A7726" w:rsidRDefault="003A7726" w:rsidP="003A7726">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 xml:space="preserve">Figure 10: EVA Opportunities for the </w:t>
      </w:r>
      <w:proofErr w:type="gramStart"/>
      <w:r>
        <w:rPr>
          <w:rFonts w:ascii="Calibri" w:hAnsi="Calibri" w:cs="Calibri"/>
          <w:color w:val="4472C5"/>
        </w:rPr>
        <w:t>Worst Case</w:t>
      </w:r>
      <w:proofErr w:type="gramEnd"/>
      <w:r>
        <w:rPr>
          <w:rFonts w:ascii="Calibri" w:hAnsi="Calibri" w:cs="Calibri"/>
          <w:color w:val="4472C5"/>
        </w:rPr>
        <w:t xml:space="preserve"> Earth Day within the Lunar Month</w:t>
      </w:r>
    </w:p>
    <w:p w14:paraId="186F1800" w14:textId="433C88E9" w:rsidR="003A7726" w:rsidRDefault="003A7726" w:rsidP="003A7726">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for 6-satellite ELFO configuration</w:t>
      </w:r>
    </w:p>
    <w:p w14:paraId="0AC6F480" w14:textId="3D892730" w:rsidR="003A7726" w:rsidRDefault="003A7726" w:rsidP="003A7726">
      <w:pPr>
        <w:autoSpaceDE w:val="0"/>
        <w:autoSpaceDN w:val="0"/>
        <w:adjustRightInd w:val="0"/>
        <w:spacing w:after="0" w:line="240" w:lineRule="auto"/>
        <w:rPr>
          <w:rFonts w:ascii="Calibri" w:hAnsi="Calibri" w:cs="Calibri"/>
          <w:color w:val="4472C5"/>
        </w:rPr>
      </w:pPr>
    </w:p>
    <w:p w14:paraId="55851701" w14:textId="77777777" w:rsidR="0088330B" w:rsidRDefault="00670D21" w:rsidP="0088330B">
      <w:pPr>
        <w:autoSpaceDE w:val="0"/>
        <w:autoSpaceDN w:val="0"/>
        <w:adjustRightInd w:val="0"/>
        <w:spacing w:after="0" w:line="240" w:lineRule="auto"/>
        <w:rPr>
          <w:rFonts w:ascii="Calibri" w:hAnsi="Calibri" w:cs="Calibri"/>
          <w:color w:val="4472C5"/>
        </w:rPr>
      </w:pPr>
      <w:r>
        <w:rPr>
          <w:rFonts w:ascii="Calibri" w:hAnsi="Calibri" w:cs="Calibri"/>
          <w:color w:val="4472C5"/>
        </w:rPr>
        <w:t xml:space="preserve">To address intervals where </w:t>
      </w:r>
      <w:r w:rsidR="003F071F">
        <w:rPr>
          <w:rFonts w:ascii="Calibri" w:hAnsi="Calibri" w:cs="Calibri"/>
          <w:color w:val="4472C5"/>
        </w:rPr>
        <w:t xml:space="preserve">NASA operations require </w:t>
      </w:r>
      <w:r>
        <w:rPr>
          <w:rFonts w:ascii="Calibri" w:hAnsi="Calibri" w:cs="Calibri"/>
          <w:color w:val="4472C5"/>
        </w:rPr>
        <w:t xml:space="preserve">40% coverage </w:t>
      </w:r>
      <w:r w:rsidR="003F071F">
        <w:rPr>
          <w:rFonts w:ascii="Calibri" w:hAnsi="Calibri" w:cs="Calibri"/>
          <w:color w:val="4472C5"/>
        </w:rPr>
        <w:t xml:space="preserve">with GDOP&lt;6 and/or multiple 5-hour EVA windows with GDOP&lt;6 </w:t>
      </w:r>
      <w:r>
        <w:rPr>
          <w:rFonts w:ascii="Calibri" w:hAnsi="Calibri" w:cs="Calibri"/>
          <w:color w:val="4472C5"/>
        </w:rPr>
        <w:t xml:space="preserve">on a specific </w:t>
      </w:r>
      <w:proofErr w:type="gramStart"/>
      <w:r>
        <w:rPr>
          <w:rFonts w:ascii="Calibri" w:hAnsi="Calibri" w:cs="Calibri"/>
          <w:color w:val="4472C5"/>
        </w:rPr>
        <w:t>Earth day</w:t>
      </w:r>
      <w:proofErr w:type="gramEnd"/>
      <w:r w:rsidR="003F071F">
        <w:rPr>
          <w:rFonts w:ascii="Calibri" w:hAnsi="Calibri" w:cs="Calibri"/>
          <w:color w:val="4472C5"/>
        </w:rPr>
        <w:t xml:space="preserve">, </w:t>
      </w:r>
      <w:r>
        <w:rPr>
          <w:rFonts w:ascii="Calibri" w:hAnsi="Calibri" w:cs="Calibri"/>
          <w:color w:val="4472C5"/>
        </w:rPr>
        <w:t xml:space="preserve">capability does exist to </w:t>
      </w:r>
      <w:r w:rsidR="003F071F">
        <w:rPr>
          <w:rFonts w:ascii="Calibri" w:hAnsi="Calibri" w:cs="Calibri"/>
          <w:color w:val="4472C5"/>
        </w:rPr>
        <w:t>adjust the phasing of the satellites in their respective ELFO’s to ensure that coverage and performance can be provide when required.  Figure 11 shows an assessment of the operational delta-V needed to adjust the mean anomaly of an asset within a fixed time interval.</w:t>
      </w:r>
      <w:r w:rsidR="003A177B">
        <w:rPr>
          <w:rFonts w:ascii="Calibri" w:hAnsi="Calibri" w:cs="Calibri"/>
          <w:color w:val="4472C5"/>
        </w:rPr>
        <w:t xml:space="preserve">  </w:t>
      </w:r>
      <w:r w:rsidR="003A177B" w:rsidRPr="003A177B">
        <w:rPr>
          <w:rFonts w:ascii="Calibri" w:hAnsi="Calibri" w:cs="Calibri"/>
          <w:color w:val="4472C5"/>
        </w:rPr>
        <w:t xml:space="preserve">Assuming the orbit period </w:t>
      </w:r>
      <w:r w:rsidR="003A177B">
        <w:rPr>
          <w:rFonts w:ascii="Calibri" w:hAnsi="Calibri" w:cs="Calibri"/>
          <w:color w:val="4472C5"/>
        </w:rPr>
        <w:t xml:space="preserve">is adjusted </w:t>
      </w:r>
      <w:r w:rsidR="003A177B" w:rsidRPr="003A177B">
        <w:rPr>
          <w:rFonts w:ascii="Calibri" w:hAnsi="Calibri" w:cs="Calibri"/>
          <w:color w:val="4472C5"/>
        </w:rPr>
        <w:t xml:space="preserve">at perilune, we can achieve a </w:t>
      </w:r>
      <w:r w:rsidR="003A177B">
        <w:rPr>
          <w:rFonts w:ascii="Calibri" w:hAnsi="Calibri" w:cs="Calibri"/>
          <w:color w:val="4472C5"/>
        </w:rPr>
        <w:t>9</w:t>
      </w:r>
      <w:r w:rsidR="003A177B" w:rsidRPr="003A177B">
        <w:rPr>
          <w:rFonts w:ascii="Calibri" w:hAnsi="Calibri" w:cs="Calibri"/>
          <w:color w:val="4472C5"/>
        </w:rPr>
        <w:t xml:space="preserve">0-degree mean anomaly adjustment with ~20 m/s in </w:t>
      </w:r>
      <w:r w:rsidR="003A177B">
        <w:rPr>
          <w:rFonts w:ascii="Calibri" w:hAnsi="Calibri" w:cs="Calibri"/>
          <w:color w:val="4472C5"/>
        </w:rPr>
        <w:t>48</w:t>
      </w:r>
      <w:r w:rsidR="003A177B" w:rsidRPr="003A177B">
        <w:rPr>
          <w:rFonts w:ascii="Calibri" w:hAnsi="Calibri" w:cs="Calibri"/>
          <w:color w:val="4472C5"/>
        </w:rPr>
        <w:t xml:space="preserve"> hours</w:t>
      </w:r>
      <w:r w:rsidR="003A177B">
        <w:rPr>
          <w:rFonts w:ascii="Calibri" w:hAnsi="Calibri" w:cs="Calibri"/>
          <w:color w:val="4472C5"/>
        </w:rPr>
        <w:t>, or ~50 m/s in 24 hours.  Expecting that a minor mean anomaly adjustment (&lt;&lt; 90-degree) should be sufficient to provide the augment the configuration for ideal geometric coverage, this adjustment should be manageable with a 5-10 m/s correction -depending on the time available to make the adjustment.</w:t>
      </w:r>
      <w:r w:rsidR="0088330B">
        <w:rPr>
          <w:rFonts w:ascii="Calibri" w:hAnsi="Calibri" w:cs="Calibri"/>
          <w:color w:val="4472C5"/>
        </w:rPr>
        <w:t xml:space="preserve">  This supports the PNT services requirement of supporting at least two lunar surface EVAs lasting at least 4 hours nominally plus 1 hour contingency.</w:t>
      </w:r>
    </w:p>
    <w:p w14:paraId="51B13228" w14:textId="6DD0592D" w:rsidR="00670D21" w:rsidRDefault="00670D21" w:rsidP="003A7726">
      <w:pPr>
        <w:autoSpaceDE w:val="0"/>
        <w:autoSpaceDN w:val="0"/>
        <w:adjustRightInd w:val="0"/>
        <w:spacing w:after="0" w:line="240" w:lineRule="auto"/>
        <w:rPr>
          <w:rFonts w:ascii="Calibri" w:hAnsi="Calibri" w:cs="Calibri"/>
          <w:color w:val="4472C5"/>
        </w:rPr>
      </w:pPr>
    </w:p>
    <w:p w14:paraId="1E9ADCF5" w14:textId="361B6E9C" w:rsidR="003F071F" w:rsidRDefault="003F071F" w:rsidP="003A7726">
      <w:pPr>
        <w:autoSpaceDE w:val="0"/>
        <w:autoSpaceDN w:val="0"/>
        <w:adjustRightInd w:val="0"/>
        <w:spacing w:after="0" w:line="240" w:lineRule="auto"/>
        <w:rPr>
          <w:rFonts w:ascii="Calibri" w:hAnsi="Calibri" w:cs="Calibri"/>
          <w:color w:val="4472C5"/>
        </w:rPr>
      </w:pPr>
    </w:p>
    <w:p w14:paraId="556F14B6" w14:textId="3FD5E843" w:rsidR="003F071F" w:rsidRDefault="003A177B" w:rsidP="003A177B">
      <w:pPr>
        <w:autoSpaceDE w:val="0"/>
        <w:autoSpaceDN w:val="0"/>
        <w:adjustRightInd w:val="0"/>
        <w:spacing w:after="0" w:line="240" w:lineRule="auto"/>
        <w:jc w:val="center"/>
        <w:rPr>
          <w:rFonts w:ascii="Calibri" w:hAnsi="Calibri" w:cs="Calibri"/>
          <w:color w:val="4472C5"/>
        </w:rPr>
      </w:pPr>
      <w:r w:rsidRPr="003A177B">
        <w:rPr>
          <w:rFonts w:ascii="Calibri" w:hAnsi="Calibri" w:cs="Calibri"/>
          <w:noProof/>
          <w:color w:val="4472C5"/>
        </w:rPr>
        <w:lastRenderedPageBreak/>
        <w:drawing>
          <wp:inline distT="0" distB="0" distL="0" distR="0" wp14:anchorId="39884870" wp14:editId="54A685B9">
            <wp:extent cx="4582353" cy="1805940"/>
            <wp:effectExtent l="0" t="0" r="0" b="0"/>
            <wp:docPr id="19" name="Picture 18" descr="A graph of a graph of a number of objects&#10;&#10;Description automatically generated with medium confidence">
              <a:extLst xmlns:a="http://schemas.openxmlformats.org/drawingml/2006/main">
                <a:ext uri="{FF2B5EF4-FFF2-40B4-BE49-F238E27FC236}">
                  <a16:creationId xmlns:a16="http://schemas.microsoft.com/office/drawing/2014/main" id="{56BB169F-58D7-4E6B-BDDE-D7C497684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graph of a graph of a number of objects&#10;&#10;Description automatically generated with medium confidence">
                      <a:extLst>
                        <a:ext uri="{FF2B5EF4-FFF2-40B4-BE49-F238E27FC236}">
                          <a16:creationId xmlns:a16="http://schemas.microsoft.com/office/drawing/2014/main" id="{56BB169F-58D7-4E6B-BDDE-D7C49768445C}"/>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3887" b="50479"/>
                    <a:stretch/>
                  </pic:blipFill>
                  <pic:spPr bwMode="auto">
                    <a:xfrm>
                      <a:off x="0" y="0"/>
                      <a:ext cx="4582921" cy="1806164"/>
                    </a:xfrm>
                    <a:prstGeom prst="rect">
                      <a:avLst/>
                    </a:prstGeom>
                    <a:ln>
                      <a:noFill/>
                    </a:ln>
                    <a:extLst>
                      <a:ext uri="{53640926-AAD7-44D8-BBD7-CCE9431645EC}">
                        <a14:shadowObscured xmlns:a14="http://schemas.microsoft.com/office/drawing/2010/main"/>
                      </a:ext>
                    </a:extLst>
                  </pic:spPr>
                </pic:pic>
              </a:graphicData>
            </a:graphic>
          </wp:inline>
        </w:drawing>
      </w:r>
    </w:p>
    <w:p w14:paraId="348CC104" w14:textId="27E551CA" w:rsidR="003A177B" w:rsidRDefault="003A177B" w:rsidP="003A177B">
      <w:pPr>
        <w:autoSpaceDE w:val="0"/>
        <w:autoSpaceDN w:val="0"/>
        <w:adjustRightInd w:val="0"/>
        <w:spacing w:after="0" w:line="240" w:lineRule="auto"/>
        <w:jc w:val="center"/>
        <w:rPr>
          <w:rFonts w:ascii="Calibri" w:hAnsi="Calibri" w:cs="Calibri"/>
          <w:color w:val="4472C5"/>
        </w:rPr>
      </w:pPr>
      <w:r>
        <w:rPr>
          <w:rFonts w:ascii="Calibri" w:hAnsi="Calibri" w:cs="Calibri"/>
          <w:color w:val="4472C5"/>
        </w:rPr>
        <w:t>Figure 11: Delta-V Required to Adjust ELFO Mean Anomaly in One Orbit Revolution</w:t>
      </w:r>
    </w:p>
    <w:p w14:paraId="0C3C1A59" w14:textId="77777777" w:rsidR="003A177B" w:rsidRDefault="003A177B" w:rsidP="003A177B">
      <w:pPr>
        <w:autoSpaceDE w:val="0"/>
        <w:autoSpaceDN w:val="0"/>
        <w:adjustRightInd w:val="0"/>
        <w:spacing w:after="0" w:line="240" w:lineRule="auto"/>
        <w:jc w:val="center"/>
        <w:rPr>
          <w:rFonts w:ascii="Calibri" w:hAnsi="Calibri" w:cs="Calibri"/>
          <w:color w:val="4472C5"/>
        </w:rPr>
      </w:pPr>
    </w:p>
    <w:p w14:paraId="4050EA02" w14:textId="4A837EF8" w:rsidR="00B47353" w:rsidRDefault="00B47353" w:rsidP="00003ABB">
      <w:pPr>
        <w:rPr>
          <w:rFonts w:ascii="Times New Roman" w:hAnsi="Times New Roman" w:cs="Times New Roman"/>
          <w:sz w:val="24"/>
          <w:szCs w:val="24"/>
        </w:rPr>
      </w:pPr>
    </w:p>
    <w:p w14:paraId="641D6F73" w14:textId="059B20D0" w:rsidR="00C14EF9" w:rsidRPr="00D9523E" w:rsidRDefault="00364AAA">
      <w:pPr>
        <w:rPr>
          <w:rFonts w:ascii="Times New Roman" w:hAnsi="Times New Roman" w:cs="Times New Roman"/>
          <w:sz w:val="24"/>
          <w:szCs w:val="24"/>
        </w:rPr>
      </w:pPr>
      <w:r w:rsidRPr="00D9523E">
        <w:rPr>
          <w:rFonts w:ascii="Times New Roman" w:hAnsi="Times New Roman" w:cs="Times New Roman"/>
          <w:sz w:val="24"/>
          <w:szCs w:val="24"/>
        </w:rPr>
        <w:t xml:space="preserve">PROPOSED </w:t>
      </w:r>
      <w:r w:rsidR="00C14EF9" w:rsidRPr="00D9523E">
        <w:rPr>
          <w:rFonts w:ascii="Times New Roman" w:hAnsi="Times New Roman" w:cs="Times New Roman"/>
          <w:sz w:val="24"/>
          <w:szCs w:val="24"/>
        </w:rPr>
        <w:t>UPDATES TO PROPOSAL CONTENT:</w:t>
      </w:r>
    </w:p>
    <w:p w14:paraId="70FF38B9" w14:textId="1115338A" w:rsidR="00C14EF9" w:rsidRPr="00D9523E" w:rsidRDefault="00C14EF9">
      <w:pPr>
        <w:rPr>
          <w:rFonts w:ascii="Times New Roman" w:hAnsi="Times New Roman" w:cs="Times New Roman"/>
          <w:sz w:val="24"/>
          <w:szCs w:val="24"/>
        </w:rPr>
      </w:pPr>
      <w:r w:rsidRPr="00D9523E">
        <w:rPr>
          <w:rFonts w:ascii="Times New Roman" w:hAnsi="Times New Roman" w:cs="Times New Roman"/>
          <w:sz w:val="24"/>
          <w:szCs w:val="24"/>
        </w:rPr>
        <w:t>(LCRNS.3.0</w:t>
      </w:r>
      <w:r w:rsidR="001472A3">
        <w:rPr>
          <w:rFonts w:ascii="Times New Roman" w:hAnsi="Times New Roman" w:cs="Times New Roman"/>
          <w:sz w:val="24"/>
          <w:szCs w:val="24"/>
        </w:rPr>
        <w:t>13</w:t>
      </w:r>
      <w:r w:rsidRPr="00D9523E">
        <w:rPr>
          <w:rFonts w:ascii="Times New Roman" w:hAnsi="Times New Roman" w:cs="Times New Roman"/>
          <w:sz w:val="24"/>
          <w:szCs w:val="24"/>
        </w:rPr>
        <w:t>0</w:t>
      </w:r>
      <w:r w:rsidR="001472A3">
        <w:rPr>
          <w:rFonts w:ascii="Times New Roman" w:hAnsi="Times New Roman" w:cs="Times New Roman"/>
          <w:sz w:val="24"/>
          <w:szCs w:val="24"/>
        </w:rPr>
        <w:t xml:space="preserve">, </w:t>
      </w:r>
      <w:r w:rsidR="001472A3" w:rsidRPr="00D9523E">
        <w:rPr>
          <w:rFonts w:ascii="Times New Roman" w:hAnsi="Times New Roman" w:cs="Times New Roman"/>
          <w:sz w:val="24"/>
          <w:szCs w:val="24"/>
        </w:rPr>
        <w:t>LCRNS.3.0</w:t>
      </w:r>
      <w:r w:rsidR="001472A3">
        <w:rPr>
          <w:rFonts w:ascii="Times New Roman" w:hAnsi="Times New Roman" w:cs="Times New Roman"/>
          <w:sz w:val="24"/>
          <w:szCs w:val="24"/>
        </w:rPr>
        <w:t>24</w:t>
      </w:r>
      <w:r w:rsidR="001472A3" w:rsidRPr="00D9523E">
        <w:rPr>
          <w:rFonts w:ascii="Times New Roman" w:hAnsi="Times New Roman" w:cs="Times New Roman"/>
          <w:sz w:val="24"/>
          <w:szCs w:val="24"/>
        </w:rPr>
        <w:t>0</w:t>
      </w:r>
      <w:r w:rsidR="001472A3">
        <w:rPr>
          <w:rFonts w:ascii="Times New Roman" w:hAnsi="Times New Roman" w:cs="Times New Roman"/>
          <w:sz w:val="24"/>
          <w:szCs w:val="24"/>
        </w:rPr>
        <w:t xml:space="preserve">, </w:t>
      </w:r>
      <w:r w:rsidR="001472A3" w:rsidRPr="00D9523E">
        <w:rPr>
          <w:rFonts w:ascii="Times New Roman" w:hAnsi="Times New Roman" w:cs="Times New Roman"/>
          <w:sz w:val="24"/>
          <w:szCs w:val="24"/>
        </w:rPr>
        <w:t>LCRNS.3.0</w:t>
      </w:r>
      <w:r w:rsidR="001472A3">
        <w:rPr>
          <w:rFonts w:ascii="Times New Roman" w:hAnsi="Times New Roman" w:cs="Times New Roman"/>
          <w:sz w:val="24"/>
          <w:szCs w:val="24"/>
        </w:rPr>
        <w:t>57</w:t>
      </w:r>
      <w:r w:rsidR="001472A3" w:rsidRPr="00D9523E">
        <w:rPr>
          <w:rFonts w:ascii="Times New Roman" w:hAnsi="Times New Roman" w:cs="Times New Roman"/>
          <w:sz w:val="24"/>
          <w:szCs w:val="24"/>
        </w:rPr>
        <w:t>0</w:t>
      </w:r>
      <w:r w:rsidR="001472A3">
        <w:rPr>
          <w:rFonts w:ascii="Times New Roman" w:hAnsi="Times New Roman" w:cs="Times New Roman"/>
          <w:sz w:val="24"/>
          <w:szCs w:val="24"/>
        </w:rPr>
        <w:t xml:space="preserve"> </w:t>
      </w:r>
      <w:r w:rsidRPr="00D9523E">
        <w:rPr>
          <w:rFonts w:ascii="Times New Roman" w:hAnsi="Times New Roman" w:cs="Times New Roman"/>
          <w:sz w:val="24"/>
          <w:szCs w:val="24"/>
        </w:rPr>
        <w:t>is addressed in V2/SC2.2/</w:t>
      </w:r>
      <w:proofErr w:type="spellStart"/>
      <w:r w:rsidRPr="00D9523E">
        <w:rPr>
          <w:rFonts w:ascii="Times New Roman" w:hAnsi="Times New Roman" w:cs="Times New Roman"/>
          <w:sz w:val="24"/>
          <w:szCs w:val="24"/>
        </w:rPr>
        <w:t>ExD</w:t>
      </w:r>
      <w:proofErr w:type="spellEnd"/>
      <w:r w:rsidRPr="00D9523E">
        <w:rPr>
          <w:rFonts w:ascii="Times New Roman" w:hAnsi="Times New Roman" w:cs="Times New Roman"/>
          <w:sz w:val="24"/>
          <w:szCs w:val="24"/>
        </w:rPr>
        <w:t>/</w:t>
      </w:r>
      <w:proofErr w:type="spellStart"/>
      <w:r w:rsidRPr="00D9523E">
        <w:rPr>
          <w:rFonts w:ascii="Times New Roman" w:hAnsi="Times New Roman" w:cs="Times New Roman"/>
          <w:sz w:val="24"/>
          <w:szCs w:val="24"/>
        </w:rPr>
        <w:t>AttA</w:t>
      </w:r>
      <w:proofErr w:type="spellEnd"/>
      <w:r w:rsidRPr="00D9523E">
        <w:rPr>
          <w:rFonts w:ascii="Times New Roman" w:hAnsi="Times New Roman" w:cs="Times New Roman"/>
          <w:sz w:val="24"/>
          <w:szCs w:val="24"/>
        </w:rPr>
        <w:t>)</w:t>
      </w:r>
    </w:p>
    <w:p w14:paraId="44F9CFFA" w14:textId="5FFC36BC" w:rsidR="00364AAA" w:rsidRPr="00E85F7C" w:rsidRDefault="00364AAA">
      <w:pPr>
        <w:rPr>
          <w:rFonts w:ascii="Times New Roman" w:hAnsi="Times New Roman" w:cs="Times New Roman"/>
          <w:b/>
          <w:bCs/>
          <w:sz w:val="24"/>
          <w:szCs w:val="24"/>
        </w:rPr>
      </w:pPr>
      <w:r w:rsidRPr="00E85F7C">
        <w:rPr>
          <w:rFonts w:ascii="Times New Roman" w:hAnsi="Times New Roman" w:cs="Times New Roman"/>
          <w:b/>
          <w:bCs/>
          <w:sz w:val="24"/>
          <w:szCs w:val="24"/>
        </w:rPr>
        <w:t>CURRENT WORDING:</w:t>
      </w:r>
    </w:p>
    <w:p w14:paraId="0199F8D9" w14:textId="69014429" w:rsidR="00C14EF9" w:rsidRPr="00873D5C" w:rsidRDefault="00996078" w:rsidP="00C14EF9">
      <w:r w:rsidRPr="00873D5C">
        <w:t xml:space="preserve">For NSNS, IM determined the optimum initial architecture consists of </w:t>
      </w:r>
      <w:r w:rsidRPr="00873D5C">
        <w:rPr>
          <w:highlight w:val="yellow"/>
        </w:rPr>
        <w:t>two</w:t>
      </w:r>
      <w:r w:rsidRPr="00873D5C">
        <w:t xml:space="preserve"> LCRNS compliant satellites in each of two ELFO augmented by single satellites in </w:t>
      </w:r>
      <w:r w:rsidRPr="00873D5C">
        <w:rPr>
          <w:highlight w:val="yellow"/>
        </w:rPr>
        <w:t>Earth-Moon Lagrange 1 (EML1) and EML2</w:t>
      </w:r>
      <w:r w:rsidRPr="00873D5C">
        <w:t>.</w:t>
      </w:r>
    </w:p>
    <w:p w14:paraId="70A0B9A0" w14:textId="62324B0A" w:rsidR="00996078" w:rsidRPr="00873D5C" w:rsidRDefault="00996078" w:rsidP="00C14EF9">
      <w:r w:rsidRPr="00873D5C">
        <w:t xml:space="preserve">The final </w:t>
      </w:r>
      <w:r w:rsidRPr="00873D5C">
        <w:rPr>
          <w:highlight w:val="yellow"/>
        </w:rPr>
        <w:t>two</w:t>
      </w:r>
      <w:r w:rsidRPr="00873D5C">
        <w:t xml:space="preserve"> satellites (</w:t>
      </w:r>
      <w:r w:rsidRPr="00873D5C">
        <w:rPr>
          <w:highlight w:val="yellow"/>
        </w:rPr>
        <w:t>Khon5 in EML-1 and Khon6 in EML-2</w:t>
      </w:r>
      <w:r w:rsidRPr="00873D5C">
        <w:t>) are added to enable Increment C (Full IOC) by</w:t>
      </w:r>
    </w:p>
    <w:p w14:paraId="3E759D45" w14:textId="75EA27D8" w:rsidR="00996078" w:rsidRPr="00873D5C" w:rsidRDefault="00996078" w:rsidP="00C14EF9">
      <w:r w:rsidRPr="00873D5C">
        <w:rPr>
          <w:highlight w:val="cyan"/>
        </w:rPr>
        <w:t>IM adds four satellites, with one satellite each in two North pole ELFOs, and an additional satellite in EML-1 and EML-2, which meets the required lunar communication and PNT coverage.</w:t>
      </w:r>
      <w:r w:rsidRPr="00873D5C">
        <w:t xml:space="preserve">  </w:t>
      </w:r>
    </w:p>
    <w:p w14:paraId="33077E95" w14:textId="22CF7603" w:rsidR="005C0C16" w:rsidRPr="00873D5C" w:rsidRDefault="005C0C16" w:rsidP="00C14EF9">
      <w:r w:rsidRPr="00873D5C">
        <w:t xml:space="preserve">To meet the Increment C (Full IOC) requirements, we launch two more LCRNS compliant satellites (Khon5 and Khon6) in October 2026 and insert them into </w:t>
      </w:r>
      <w:r w:rsidRPr="00873D5C">
        <w:rPr>
          <w:highlight w:val="yellow"/>
        </w:rPr>
        <w:t>EML-1 and EML-2</w:t>
      </w:r>
      <w:r w:rsidRPr="00873D5C">
        <w:t>, which ensures 24-hour, 7-day data relay and PNT coverage of the lunar South pole region.</w:t>
      </w:r>
    </w:p>
    <w:p w14:paraId="2B599A04" w14:textId="77777777" w:rsidR="002F3745" w:rsidRPr="00873D5C" w:rsidRDefault="005C0C16" w:rsidP="00C14EF9">
      <w:r w:rsidRPr="00873D5C">
        <w:t xml:space="preserve">IM provides additional S, X, and Ka-Band forward and return services and the required nodes to complete the PNT architecture with our </w:t>
      </w:r>
      <w:r w:rsidRPr="00873D5C">
        <w:rPr>
          <w:highlight w:val="yellow"/>
        </w:rPr>
        <w:t>fifth (Khon5) and sixth (Khon6) satellites that will operate in EML-1 and EML-2</w:t>
      </w:r>
      <w:r w:rsidRPr="00873D5C">
        <w:t xml:space="preserve"> beginning in January 2027 and enable validation of our Full IOC by March 2027.</w:t>
      </w:r>
    </w:p>
    <w:p w14:paraId="0BEF12CE" w14:textId="265F83C8" w:rsidR="005C0C16" w:rsidRDefault="002F3745" w:rsidP="00C14EF9">
      <w:bookmarkStart w:id="1" w:name="_Toc128250210"/>
      <w:bookmarkStart w:id="2" w:name="_Toc129300165"/>
      <w:bookmarkStart w:id="3" w:name="_Toc130730363"/>
      <w:r w:rsidRPr="00873D5C">
        <w:rPr>
          <w:bCs/>
        </w:rPr>
        <w:t xml:space="preserve">Table 2.8.2-3. </w:t>
      </w:r>
      <w:r w:rsidRPr="00873D5C">
        <w:rPr>
          <w:bCs/>
          <w:iCs/>
        </w:rPr>
        <w:t xml:space="preserve">INCREMENT C (FULL IOC) </w:t>
      </w:r>
      <w:r w:rsidRPr="00873D5C">
        <w:rPr>
          <w:bCs/>
          <w:iCs/>
          <w:highlight w:val="yellow"/>
        </w:rPr>
        <w:t>PERFORMANCE</w:t>
      </w:r>
      <w:r w:rsidRPr="00873D5C">
        <w:t xml:space="preserve"> –</w:t>
      </w:r>
      <w:r w:rsidRPr="00873D5C">
        <w:rPr>
          <w:bCs/>
        </w:rPr>
        <w:t xml:space="preserve"> IM provides Full IOC by March 2027</w:t>
      </w:r>
      <w:bookmarkEnd w:id="1"/>
      <w:bookmarkEnd w:id="2"/>
      <w:bookmarkEnd w:id="3"/>
      <w:r w:rsidR="005C0C16" w:rsidRPr="00D047F6">
        <w:t xml:space="preserve">  </w:t>
      </w:r>
    </w:p>
    <w:p w14:paraId="34B79405" w14:textId="23FF515C" w:rsidR="00873D5C" w:rsidRDefault="00873D5C" w:rsidP="00873D5C">
      <w:pPr>
        <w:jc w:val="both"/>
      </w:pPr>
      <w:r w:rsidRPr="00D047F6">
        <w:t>With the addition of Khon5 (</w:t>
      </w:r>
      <w:r w:rsidRPr="00105C39">
        <w:rPr>
          <w:highlight w:val="yellow"/>
        </w:rPr>
        <w:t>EML-1</w:t>
      </w:r>
      <w:r w:rsidRPr="00D047F6">
        <w:t>) and Khon6 (</w:t>
      </w:r>
      <w:r w:rsidRPr="00873D5C">
        <w:rPr>
          <w:highlight w:val="yellow"/>
        </w:rPr>
        <w:t>EML-2</w:t>
      </w:r>
      <w:r w:rsidRPr="00D047F6">
        <w:t xml:space="preserve">) satellites, we increase capacity for S-band and Ka-band communications while maintaining 100% communication coverage, which exceeds the 100% up to </w:t>
      </w:r>
      <w:r>
        <w:t>-</w:t>
      </w:r>
      <w:r w:rsidRPr="00D047F6">
        <w:t>75 degrees latitude Increment C (Full IOC) requirement (</w:t>
      </w:r>
      <w:r w:rsidRPr="00D047F6">
        <w:rPr>
          <w:b/>
          <w:bCs/>
        </w:rPr>
        <w:t>Figure 2.9-3</w:t>
      </w:r>
      <w:r w:rsidRPr="00D047F6">
        <w:t>).</w:t>
      </w:r>
    </w:p>
    <w:p w14:paraId="14E103FA" w14:textId="17624139" w:rsidR="00873D5C" w:rsidRPr="00D047F6" w:rsidRDefault="00873D5C" w:rsidP="00873D5C">
      <w:pPr>
        <w:jc w:val="both"/>
      </w:pPr>
      <w:bookmarkStart w:id="4" w:name="_Toc130730364"/>
      <w:r w:rsidRPr="00D047F6">
        <w:rPr>
          <w:bCs/>
        </w:rPr>
        <w:t xml:space="preserve">Table 2.9-1. </w:t>
      </w:r>
      <w:r w:rsidRPr="00D047F6">
        <w:rPr>
          <w:bCs/>
          <w:iCs/>
        </w:rPr>
        <w:t xml:space="preserve">KHON </w:t>
      </w:r>
      <w:r w:rsidRPr="00873D5C">
        <w:rPr>
          <w:bCs/>
          <w:iCs/>
          <w:highlight w:val="yellow"/>
        </w:rPr>
        <w:t>SATELLITE</w:t>
      </w:r>
      <w:r w:rsidRPr="00D047F6">
        <w:rPr>
          <w:bCs/>
          <w:iCs/>
        </w:rPr>
        <w:t xml:space="preserve"> CAPABILITY</w:t>
      </w:r>
      <w:r w:rsidRPr="00D047F6">
        <w:t xml:space="preserve"> </w:t>
      </w:r>
      <w:r w:rsidRPr="00D047F6">
        <w:rPr>
          <w:bCs/>
        </w:rPr>
        <w:t>– IM Data Relay Satellites provide geographical diversity around the Moon that aligns with NSNS incremental phasing requirements</w:t>
      </w:r>
      <w:bookmarkEnd w:id="4"/>
    </w:p>
    <w:p w14:paraId="3C86E564" w14:textId="77777777" w:rsidR="00110858" w:rsidRPr="00D047F6" w:rsidRDefault="00110858" w:rsidP="00110858">
      <w:pPr>
        <w:ind w:firstLine="360"/>
        <w:jc w:val="both"/>
      </w:pPr>
      <w:r w:rsidRPr="00386231">
        <w:rPr>
          <w:rFonts w:eastAsiaTheme="minorEastAsia"/>
          <w:highlight w:val="yellow"/>
        </w:rPr>
        <w:t xml:space="preserve">The satellites in the EML1 and EML2 have LOS to the south pole SV1 and SV2 roughly 60% of their 14-day orbits. This leaves gaps of coverage lasting 4.8 and 5.8 days. However, the satellites in the ELFOs have LOS to the south pole SV1 and SV2 around 80% coverage. </w:t>
      </w:r>
      <w:r w:rsidRPr="00386231">
        <w:rPr>
          <w:highlight w:val="yellow"/>
        </w:rPr>
        <w:t xml:space="preserve">The resulting lunar user accuracy of </w:t>
      </w:r>
      <w:r w:rsidRPr="00386231">
        <w:rPr>
          <w:highlight w:val="yellow"/>
        </w:rPr>
        <w:lastRenderedPageBreak/>
        <w:t>48.85% coverage for the lunar surface and 68.35% for users in 200-km lunar orbits with Geometric Dilution of Precision (GDOP) &lt;6 (</w:t>
      </w:r>
      <w:r w:rsidRPr="00386231">
        <w:rPr>
          <w:b/>
          <w:bCs/>
          <w:highlight w:val="yellow"/>
        </w:rPr>
        <w:t>Figure 2.9-6)</w:t>
      </w:r>
      <w:r w:rsidRPr="00386231">
        <w:rPr>
          <w:highlight w:val="yellow"/>
        </w:rPr>
        <w:t>, exceeds Increment C (Full IOC) requirements.</w:t>
      </w:r>
    </w:p>
    <w:p w14:paraId="394F5D35" w14:textId="77777777" w:rsidR="00873D5C" w:rsidRPr="00D9523E" w:rsidRDefault="00873D5C" w:rsidP="00C14EF9">
      <w:pPr>
        <w:rPr>
          <w:rFonts w:ascii="Times New Roman" w:hAnsi="Times New Roman" w:cs="Times New Roman"/>
          <w:sz w:val="24"/>
          <w:szCs w:val="24"/>
        </w:rPr>
      </w:pPr>
    </w:p>
    <w:p w14:paraId="2897E3F1" w14:textId="06588810" w:rsidR="00C14EF9" w:rsidRPr="00E85F7C" w:rsidRDefault="00C14EF9" w:rsidP="00C14EF9">
      <w:pPr>
        <w:rPr>
          <w:rFonts w:ascii="Times New Roman" w:hAnsi="Times New Roman" w:cs="Times New Roman"/>
          <w:b/>
          <w:bCs/>
          <w:sz w:val="24"/>
          <w:szCs w:val="24"/>
        </w:rPr>
      </w:pPr>
      <w:r w:rsidRPr="00E85F7C">
        <w:rPr>
          <w:rFonts w:ascii="Times New Roman" w:hAnsi="Times New Roman" w:cs="Times New Roman"/>
          <w:b/>
          <w:bCs/>
          <w:sz w:val="24"/>
          <w:szCs w:val="24"/>
        </w:rPr>
        <w:t>CHANGE WORDING TO:</w:t>
      </w:r>
    </w:p>
    <w:p w14:paraId="77AA39B6" w14:textId="0F87BC94" w:rsidR="00B51D5E" w:rsidRDefault="00996078" w:rsidP="004D2EC7">
      <w:r w:rsidRPr="00996078">
        <w:t xml:space="preserve">For NSNS, IM determined the optimum initial architecture consists of </w:t>
      </w:r>
      <w:r>
        <w:t>six</w:t>
      </w:r>
      <w:r w:rsidRPr="00996078">
        <w:t xml:space="preserve"> LCRNS compliant satellites in </w:t>
      </w:r>
      <w:r>
        <w:t>various</w:t>
      </w:r>
      <w:r w:rsidRPr="00996078">
        <w:t xml:space="preserve"> ELFO </w:t>
      </w:r>
      <w:r>
        <w:t>orbit planes to ensure reliable coverage and geometry for the system performance.</w:t>
      </w:r>
    </w:p>
    <w:p w14:paraId="655A2BAA" w14:textId="43909394" w:rsidR="00996078" w:rsidRDefault="00996078" w:rsidP="004D2EC7">
      <w:r w:rsidRPr="00996078">
        <w:t xml:space="preserve">The final </w:t>
      </w:r>
      <w:r>
        <w:t>three</w:t>
      </w:r>
      <w:r w:rsidRPr="00996078">
        <w:t xml:space="preserve"> satellites (Khon5 in </w:t>
      </w:r>
      <w:r>
        <w:t xml:space="preserve">ELFO-3, </w:t>
      </w:r>
      <w:r w:rsidRPr="00996078">
        <w:t xml:space="preserve">Khon6 in </w:t>
      </w:r>
      <w:r>
        <w:t>ELFO-4, and finally Khon-7 in ELFO-1</w:t>
      </w:r>
      <w:r w:rsidRPr="00996078">
        <w:t>) are added to enable Increment C (Full IOC) by</w:t>
      </w:r>
    </w:p>
    <w:p w14:paraId="63939CEC" w14:textId="5C713573" w:rsidR="00873D5C" w:rsidRPr="00873D5C" w:rsidRDefault="00873D5C" w:rsidP="00873D5C">
      <w:r w:rsidRPr="00873D5C">
        <w:rPr>
          <w:highlight w:val="cyan"/>
        </w:rPr>
        <w:t>IM adds four satellites, with one satellite each in two North pole ELFOs, and an additional satellite in EML-1 and EML-2, which meets the required lunar communication and PNT coverage.</w:t>
      </w:r>
      <w:r w:rsidRPr="00873D5C">
        <w:t xml:space="preserve">  </w:t>
      </w:r>
      <w:r>
        <w:t xml:space="preserve"> &lt;no change?&gt;</w:t>
      </w:r>
    </w:p>
    <w:p w14:paraId="47CD57D7" w14:textId="6CBB29F5" w:rsidR="005C0C16" w:rsidRDefault="005C0C16" w:rsidP="00996078">
      <w:r w:rsidRPr="005C0C16">
        <w:t xml:space="preserve">To meet the Increment C (Full IOC) requirements, we launch </w:t>
      </w:r>
      <w:r>
        <w:t>three</w:t>
      </w:r>
      <w:r w:rsidRPr="005C0C16">
        <w:t xml:space="preserve"> more LCRNS compliant satellites (Khon5</w:t>
      </w:r>
      <w:r>
        <w:t xml:space="preserve">, </w:t>
      </w:r>
      <w:r w:rsidRPr="005C0C16">
        <w:t>Khon6</w:t>
      </w:r>
      <w:r>
        <w:t>, and Khon7</w:t>
      </w:r>
      <w:r w:rsidRPr="005C0C16">
        <w:t xml:space="preserve">) in </w:t>
      </w:r>
      <w:r w:rsidRPr="005C0C16">
        <w:rPr>
          <w:highlight w:val="cyan"/>
        </w:rPr>
        <w:t>October 2026</w:t>
      </w:r>
      <w:r w:rsidRPr="005C0C16">
        <w:t xml:space="preserve"> and insert them into </w:t>
      </w:r>
      <w:r>
        <w:t>ELFO-3, ELFO-4, and ELFO-1 respectively</w:t>
      </w:r>
      <w:r w:rsidRPr="005C0C16">
        <w:t>, which ensures 24-hour, 7-day data relay and PNT coverage of the lunar South pole region.</w:t>
      </w:r>
    </w:p>
    <w:p w14:paraId="63458966" w14:textId="70FEB234" w:rsidR="005C0C16" w:rsidRDefault="005C0C16" w:rsidP="00996078">
      <w:r w:rsidRPr="005C0C16">
        <w:t>IM provides additional S, X, and Ka-Band forward and return services and the required nodes to complete the PNT architecture with our fifth (Khon5)</w:t>
      </w:r>
      <w:r>
        <w:t xml:space="preserve">, </w:t>
      </w:r>
      <w:r w:rsidRPr="005C0C16">
        <w:t>sixth (Khon6)</w:t>
      </w:r>
      <w:r>
        <w:t>, and seventh (Khon7)</w:t>
      </w:r>
      <w:r w:rsidRPr="005C0C16">
        <w:t xml:space="preserve"> satellites that will operate in </w:t>
      </w:r>
      <w:r>
        <w:t>ELFO-3, ELFO-4, and ELFO-1</w:t>
      </w:r>
      <w:r w:rsidRPr="005C0C16">
        <w:t xml:space="preserve"> beginning in </w:t>
      </w:r>
      <w:r w:rsidRPr="005C0C16">
        <w:rPr>
          <w:highlight w:val="cyan"/>
        </w:rPr>
        <w:t>January 2027</w:t>
      </w:r>
      <w:r w:rsidRPr="005C0C16">
        <w:t xml:space="preserve"> and enable validation of our Full IOC by </w:t>
      </w:r>
      <w:r w:rsidRPr="005C0C16">
        <w:rPr>
          <w:highlight w:val="cyan"/>
        </w:rPr>
        <w:t>March 2027</w:t>
      </w:r>
      <w:r w:rsidRPr="005C0C16">
        <w:t>.</w:t>
      </w:r>
      <w:r w:rsidRPr="00D047F6">
        <w:t xml:space="preserve">  </w:t>
      </w:r>
    </w:p>
    <w:tbl>
      <w:tblPr>
        <w:tblStyle w:val="PRISM-Table"/>
        <w:tblW w:w="9360" w:type="dxa"/>
        <w:jc w:val="center"/>
        <w:tblLook w:val="04E0" w:firstRow="1" w:lastRow="1" w:firstColumn="1" w:lastColumn="0" w:noHBand="0" w:noVBand="1"/>
      </w:tblPr>
      <w:tblGrid>
        <w:gridCol w:w="3120"/>
        <w:gridCol w:w="3120"/>
        <w:gridCol w:w="3120"/>
      </w:tblGrid>
      <w:tr w:rsidR="002F3745" w:rsidRPr="00D047F6" w14:paraId="270E9731" w14:textId="77777777" w:rsidTr="00386231">
        <w:trPr>
          <w:cnfStyle w:val="100000000000" w:firstRow="1" w:lastRow="0" w:firstColumn="0" w:lastColumn="0" w:oddVBand="0" w:evenVBand="0" w:oddHBand="0" w:evenHBand="0" w:firstRowFirstColumn="0" w:firstRowLastColumn="0" w:lastRowFirstColumn="0" w:lastRowLastColumn="0"/>
          <w:jc w:val="center"/>
        </w:trPr>
        <w:tc>
          <w:tcPr>
            <w:tcW w:w="3120" w:type="dxa"/>
          </w:tcPr>
          <w:p w14:paraId="36F2C04D" w14:textId="77777777" w:rsidR="002F3745" w:rsidRPr="00D047F6" w:rsidRDefault="002F3745" w:rsidP="00386231">
            <w:pPr>
              <w:pStyle w:val="0TableHeader"/>
            </w:pPr>
            <w:bookmarkStart w:id="5" w:name="_Hlk161963857"/>
            <w:r w:rsidRPr="00D047F6">
              <w:t>Service</w:t>
            </w:r>
          </w:p>
        </w:tc>
        <w:tc>
          <w:tcPr>
            <w:tcW w:w="3120" w:type="dxa"/>
          </w:tcPr>
          <w:p w14:paraId="19C80C83" w14:textId="77777777" w:rsidR="002F3745" w:rsidRPr="00D047F6" w:rsidRDefault="002F3745" w:rsidP="00386231">
            <w:pPr>
              <w:pStyle w:val="0TableHeader"/>
            </w:pPr>
            <w:r w:rsidRPr="00D047F6">
              <w:t>Requirement</w:t>
            </w:r>
          </w:p>
        </w:tc>
        <w:tc>
          <w:tcPr>
            <w:tcW w:w="3120" w:type="dxa"/>
          </w:tcPr>
          <w:p w14:paraId="2A94BC75" w14:textId="77777777" w:rsidR="002F3745" w:rsidRPr="00D047F6" w:rsidRDefault="002F3745" w:rsidP="00386231">
            <w:pPr>
              <w:pStyle w:val="0TableHeader"/>
            </w:pPr>
            <w:r w:rsidRPr="00D047F6">
              <w:t>IM Capability</w:t>
            </w:r>
          </w:p>
        </w:tc>
      </w:tr>
      <w:tr w:rsidR="002F3745" w:rsidRPr="00D047F6" w14:paraId="22521786" w14:textId="77777777" w:rsidTr="00386231">
        <w:trPr>
          <w:cnfStyle w:val="000000100000" w:firstRow="0" w:lastRow="0" w:firstColumn="0" w:lastColumn="0" w:oddVBand="0" w:evenVBand="0" w:oddHBand="1" w:evenHBand="0" w:firstRowFirstColumn="0" w:firstRowLastColumn="0" w:lastRowFirstColumn="0" w:lastRowLastColumn="0"/>
          <w:jc w:val="center"/>
        </w:trPr>
        <w:tc>
          <w:tcPr>
            <w:tcW w:w="3120" w:type="dxa"/>
            <w:vAlign w:val="center"/>
          </w:tcPr>
          <w:p w14:paraId="75CAFF99" w14:textId="77777777" w:rsidR="002F3745" w:rsidRPr="00D047F6" w:rsidRDefault="002F3745" w:rsidP="00386231">
            <w:pPr>
              <w:pStyle w:val="ListParagraph"/>
              <w:ind w:left="0"/>
              <w:jc w:val="center"/>
              <w:rPr>
                <w:sz w:val="20"/>
              </w:rPr>
            </w:pPr>
            <w:r w:rsidRPr="00D047F6">
              <w:rPr>
                <w:sz w:val="20"/>
              </w:rPr>
              <w:t>Ka-band</w:t>
            </w:r>
          </w:p>
        </w:tc>
        <w:tc>
          <w:tcPr>
            <w:tcW w:w="3120" w:type="dxa"/>
            <w:vAlign w:val="center"/>
          </w:tcPr>
          <w:p w14:paraId="07BC97C2" w14:textId="77777777" w:rsidR="002F3745" w:rsidRPr="00D047F6" w:rsidRDefault="002F3745" w:rsidP="00386231">
            <w:pPr>
              <w:pStyle w:val="ListParagraph"/>
              <w:ind w:left="0"/>
              <w:jc w:val="center"/>
              <w:rPr>
                <w:sz w:val="20"/>
              </w:rPr>
            </w:pPr>
            <w:r w:rsidRPr="00D047F6">
              <w:rPr>
                <w:sz w:val="20"/>
              </w:rPr>
              <w:t>2 – Forward + Return</w:t>
            </w:r>
          </w:p>
        </w:tc>
        <w:tc>
          <w:tcPr>
            <w:tcW w:w="3120" w:type="dxa"/>
            <w:vAlign w:val="center"/>
          </w:tcPr>
          <w:p w14:paraId="691694A9" w14:textId="77777777" w:rsidR="002F3745" w:rsidRPr="00D047F6" w:rsidRDefault="002F3745" w:rsidP="00386231">
            <w:pPr>
              <w:pStyle w:val="ListParagraph"/>
              <w:ind w:left="0"/>
              <w:jc w:val="center"/>
              <w:rPr>
                <w:sz w:val="20"/>
              </w:rPr>
            </w:pPr>
            <w:r w:rsidRPr="00D047F6">
              <w:rPr>
                <w:sz w:val="20"/>
              </w:rPr>
              <w:t>10 – Forward + Return</w:t>
            </w:r>
          </w:p>
        </w:tc>
      </w:tr>
      <w:tr w:rsidR="002F3745" w:rsidRPr="00D047F6" w14:paraId="3DD74A3D" w14:textId="77777777" w:rsidTr="00386231">
        <w:trPr>
          <w:cnfStyle w:val="000000010000" w:firstRow="0" w:lastRow="0" w:firstColumn="0" w:lastColumn="0" w:oddVBand="0" w:evenVBand="0" w:oddHBand="0" w:evenHBand="1" w:firstRowFirstColumn="0" w:firstRowLastColumn="0" w:lastRowFirstColumn="0" w:lastRowLastColumn="0"/>
          <w:jc w:val="center"/>
        </w:trPr>
        <w:tc>
          <w:tcPr>
            <w:tcW w:w="3120" w:type="dxa"/>
            <w:vAlign w:val="center"/>
          </w:tcPr>
          <w:p w14:paraId="425D3A62" w14:textId="77777777" w:rsidR="002F3745" w:rsidRPr="00D047F6" w:rsidRDefault="002F3745" w:rsidP="00386231">
            <w:pPr>
              <w:pStyle w:val="ListParagraph"/>
              <w:ind w:left="0"/>
              <w:jc w:val="center"/>
              <w:rPr>
                <w:sz w:val="20"/>
              </w:rPr>
            </w:pPr>
            <w:r w:rsidRPr="00D047F6">
              <w:rPr>
                <w:sz w:val="20"/>
              </w:rPr>
              <w:t>S-band</w:t>
            </w:r>
          </w:p>
        </w:tc>
        <w:tc>
          <w:tcPr>
            <w:tcW w:w="3120" w:type="dxa"/>
            <w:vAlign w:val="center"/>
          </w:tcPr>
          <w:p w14:paraId="0D959F1E" w14:textId="77777777" w:rsidR="002F3745" w:rsidRPr="00D047F6" w:rsidRDefault="002F3745" w:rsidP="00386231">
            <w:pPr>
              <w:pStyle w:val="ListParagraph"/>
              <w:ind w:left="0"/>
              <w:jc w:val="center"/>
              <w:rPr>
                <w:sz w:val="20"/>
              </w:rPr>
            </w:pPr>
            <w:r w:rsidRPr="00D047F6">
              <w:rPr>
                <w:sz w:val="20"/>
              </w:rPr>
              <w:t>2 – Forward + Return</w:t>
            </w:r>
          </w:p>
        </w:tc>
        <w:tc>
          <w:tcPr>
            <w:tcW w:w="3120" w:type="dxa"/>
            <w:vAlign w:val="center"/>
          </w:tcPr>
          <w:p w14:paraId="4005E963" w14:textId="77777777" w:rsidR="002F3745" w:rsidRPr="00D047F6" w:rsidRDefault="002F3745" w:rsidP="00386231">
            <w:pPr>
              <w:pStyle w:val="ListParagraph"/>
              <w:ind w:left="0"/>
              <w:jc w:val="center"/>
              <w:rPr>
                <w:sz w:val="20"/>
              </w:rPr>
            </w:pPr>
            <w:r w:rsidRPr="00D047F6">
              <w:rPr>
                <w:sz w:val="20"/>
              </w:rPr>
              <w:t>10 – Forward + Return</w:t>
            </w:r>
          </w:p>
        </w:tc>
      </w:tr>
      <w:tr w:rsidR="002F3745" w:rsidRPr="00D047F6" w14:paraId="6A68CDEC" w14:textId="77777777" w:rsidTr="00386231">
        <w:trPr>
          <w:cnfStyle w:val="000000100000" w:firstRow="0" w:lastRow="0" w:firstColumn="0" w:lastColumn="0" w:oddVBand="0" w:evenVBand="0" w:oddHBand="1" w:evenHBand="0" w:firstRowFirstColumn="0" w:firstRowLastColumn="0" w:lastRowFirstColumn="0" w:lastRowLastColumn="0"/>
          <w:jc w:val="center"/>
        </w:trPr>
        <w:tc>
          <w:tcPr>
            <w:tcW w:w="3120" w:type="dxa"/>
            <w:vAlign w:val="center"/>
          </w:tcPr>
          <w:p w14:paraId="0747E6BF" w14:textId="77777777" w:rsidR="002F3745" w:rsidRPr="00D047F6" w:rsidRDefault="002F3745" w:rsidP="00386231">
            <w:pPr>
              <w:pStyle w:val="ListParagraph"/>
              <w:ind w:left="0"/>
              <w:jc w:val="center"/>
              <w:rPr>
                <w:sz w:val="20"/>
              </w:rPr>
            </w:pPr>
            <w:r w:rsidRPr="00D047F6">
              <w:rPr>
                <w:sz w:val="20"/>
              </w:rPr>
              <w:t>AFS/LANS</w:t>
            </w:r>
          </w:p>
        </w:tc>
        <w:tc>
          <w:tcPr>
            <w:tcW w:w="3120" w:type="dxa"/>
            <w:vAlign w:val="center"/>
          </w:tcPr>
          <w:p w14:paraId="6C6BE608" w14:textId="77777777" w:rsidR="002F3745" w:rsidRPr="00D047F6" w:rsidRDefault="002F3745" w:rsidP="00386231">
            <w:pPr>
              <w:pStyle w:val="ListParagraph"/>
              <w:ind w:left="0"/>
              <w:jc w:val="center"/>
              <w:rPr>
                <w:sz w:val="20"/>
              </w:rPr>
            </w:pPr>
            <w:r w:rsidRPr="00D047F6">
              <w:rPr>
                <w:sz w:val="20"/>
              </w:rPr>
              <w:t>4 (40% - GDOP&lt;6)</w:t>
            </w:r>
          </w:p>
        </w:tc>
        <w:tc>
          <w:tcPr>
            <w:tcW w:w="3120" w:type="dxa"/>
            <w:vAlign w:val="center"/>
          </w:tcPr>
          <w:p w14:paraId="0264A70A" w14:textId="5C50F4E8" w:rsidR="002F3745" w:rsidRPr="00D047F6" w:rsidRDefault="002F3745" w:rsidP="00386231">
            <w:pPr>
              <w:pStyle w:val="ListParagraph"/>
              <w:ind w:left="0"/>
              <w:jc w:val="center"/>
              <w:rPr>
                <w:sz w:val="20"/>
              </w:rPr>
            </w:pPr>
            <w:r w:rsidRPr="00386231">
              <w:rPr>
                <w:sz w:val="20"/>
                <w:highlight w:val="yellow"/>
              </w:rPr>
              <w:t>4-</w:t>
            </w:r>
            <w:r>
              <w:rPr>
                <w:sz w:val="20"/>
                <w:highlight w:val="yellow"/>
              </w:rPr>
              <w:t>6</w:t>
            </w:r>
            <w:r w:rsidRPr="00386231">
              <w:rPr>
                <w:sz w:val="20"/>
                <w:highlight w:val="yellow"/>
              </w:rPr>
              <w:t xml:space="preserve"> (</w:t>
            </w:r>
            <w:r>
              <w:rPr>
                <w:sz w:val="20"/>
                <w:highlight w:val="yellow"/>
              </w:rPr>
              <w:t>35%-65</w:t>
            </w:r>
            <w:r w:rsidRPr="00386231">
              <w:rPr>
                <w:sz w:val="20"/>
                <w:highlight w:val="yellow"/>
              </w:rPr>
              <w:t>% - GDOP&lt;6)</w:t>
            </w:r>
          </w:p>
        </w:tc>
      </w:tr>
      <w:tr w:rsidR="002F3745" w:rsidRPr="00D047F6" w14:paraId="498A2C4A" w14:textId="77777777" w:rsidTr="00386231">
        <w:trPr>
          <w:cnfStyle w:val="000000010000" w:firstRow="0" w:lastRow="0" w:firstColumn="0" w:lastColumn="0" w:oddVBand="0" w:evenVBand="0" w:oddHBand="0" w:evenHBand="1" w:firstRowFirstColumn="0" w:firstRowLastColumn="0" w:lastRowFirstColumn="0" w:lastRowLastColumn="0"/>
          <w:jc w:val="center"/>
        </w:trPr>
        <w:tc>
          <w:tcPr>
            <w:tcW w:w="3120" w:type="dxa"/>
            <w:vAlign w:val="center"/>
          </w:tcPr>
          <w:p w14:paraId="51B0C5C8" w14:textId="77777777" w:rsidR="002F3745" w:rsidRPr="00D047F6" w:rsidRDefault="002F3745" w:rsidP="00386231">
            <w:pPr>
              <w:pStyle w:val="ListParagraph"/>
              <w:ind w:left="0"/>
              <w:jc w:val="center"/>
              <w:rPr>
                <w:sz w:val="20"/>
              </w:rPr>
            </w:pPr>
            <w:r w:rsidRPr="00D047F6">
              <w:rPr>
                <w:sz w:val="20"/>
              </w:rPr>
              <w:t>Service Volume</w:t>
            </w:r>
          </w:p>
        </w:tc>
        <w:tc>
          <w:tcPr>
            <w:tcW w:w="3120" w:type="dxa"/>
            <w:vAlign w:val="center"/>
          </w:tcPr>
          <w:p w14:paraId="05A05B7B" w14:textId="77777777" w:rsidR="002F3745" w:rsidRPr="00D047F6" w:rsidRDefault="002F3745" w:rsidP="00386231">
            <w:pPr>
              <w:pStyle w:val="ListParagraph"/>
              <w:ind w:left="0"/>
              <w:jc w:val="center"/>
              <w:rPr>
                <w:sz w:val="20"/>
              </w:rPr>
            </w:pPr>
            <w:r w:rsidRPr="00D047F6">
              <w:rPr>
                <w:sz w:val="20"/>
              </w:rPr>
              <w:t xml:space="preserve">South pole up to </w:t>
            </w:r>
            <w:r>
              <w:rPr>
                <w:sz w:val="20"/>
              </w:rPr>
              <w:t>-</w:t>
            </w:r>
            <w:r w:rsidRPr="00D047F6">
              <w:rPr>
                <w:sz w:val="20"/>
              </w:rPr>
              <w:t>75 deg; 200 km altitude</w:t>
            </w:r>
          </w:p>
        </w:tc>
        <w:tc>
          <w:tcPr>
            <w:tcW w:w="3120" w:type="dxa"/>
            <w:vAlign w:val="center"/>
          </w:tcPr>
          <w:p w14:paraId="73E23EA5" w14:textId="77777777" w:rsidR="002F3745" w:rsidRPr="00D047F6" w:rsidRDefault="002F3745" w:rsidP="00386231">
            <w:pPr>
              <w:pStyle w:val="ListParagraph"/>
              <w:ind w:left="0"/>
              <w:jc w:val="center"/>
              <w:rPr>
                <w:sz w:val="20"/>
              </w:rPr>
            </w:pPr>
            <w:r w:rsidRPr="00D047F6">
              <w:rPr>
                <w:sz w:val="20"/>
              </w:rPr>
              <w:t xml:space="preserve">South pole up to </w:t>
            </w:r>
            <w:r>
              <w:rPr>
                <w:sz w:val="20"/>
              </w:rPr>
              <w:t>-</w:t>
            </w:r>
            <w:r w:rsidRPr="00D047F6">
              <w:rPr>
                <w:sz w:val="20"/>
              </w:rPr>
              <w:t>75 deg; 200 km altitude</w:t>
            </w:r>
          </w:p>
        </w:tc>
      </w:tr>
      <w:tr w:rsidR="002F3745" w:rsidRPr="00D047F6" w14:paraId="7D614569" w14:textId="77777777" w:rsidTr="00386231">
        <w:trPr>
          <w:cnfStyle w:val="000000100000" w:firstRow="0" w:lastRow="0" w:firstColumn="0" w:lastColumn="0" w:oddVBand="0" w:evenVBand="0" w:oddHBand="1" w:evenHBand="0" w:firstRowFirstColumn="0" w:firstRowLastColumn="0" w:lastRowFirstColumn="0" w:lastRowLastColumn="0"/>
          <w:jc w:val="center"/>
        </w:trPr>
        <w:tc>
          <w:tcPr>
            <w:tcW w:w="3120" w:type="dxa"/>
            <w:vAlign w:val="center"/>
          </w:tcPr>
          <w:p w14:paraId="54D1DF89" w14:textId="77777777" w:rsidR="002F3745" w:rsidRPr="00D047F6" w:rsidRDefault="002F3745" w:rsidP="00386231">
            <w:pPr>
              <w:pStyle w:val="ListParagraph"/>
              <w:ind w:left="0"/>
              <w:jc w:val="center"/>
              <w:rPr>
                <w:sz w:val="20"/>
              </w:rPr>
            </w:pPr>
            <w:r w:rsidRPr="00D047F6">
              <w:rPr>
                <w:sz w:val="20"/>
              </w:rPr>
              <w:t>Coverage of an Earth Day</w:t>
            </w:r>
          </w:p>
        </w:tc>
        <w:tc>
          <w:tcPr>
            <w:tcW w:w="3120" w:type="dxa"/>
            <w:vAlign w:val="center"/>
          </w:tcPr>
          <w:p w14:paraId="12795DA5" w14:textId="77777777" w:rsidR="002F3745" w:rsidRPr="00D047F6" w:rsidRDefault="002F3745" w:rsidP="00386231">
            <w:pPr>
              <w:pStyle w:val="ListParagraph"/>
              <w:ind w:left="0"/>
              <w:jc w:val="center"/>
              <w:rPr>
                <w:sz w:val="20"/>
              </w:rPr>
            </w:pPr>
            <w:r w:rsidRPr="00D047F6">
              <w:rPr>
                <w:sz w:val="20"/>
              </w:rPr>
              <w:t>Ka-band – 75%</w:t>
            </w:r>
          </w:p>
          <w:p w14:paraId="550A325F" w14:textId="77777777" w:rsidR="002F3745" w:rsidRPr="00D047F6" w:rsidRDefault="002F3745" w:rsidP="00386231">
            <w:pPr>
              <w:pStyle w:val="ListParagraph"/>
              <w:ind w:left="0"/>
              <w:jc w:val="center"/>
              <w:rPr>
                <w:sz w:val="20"/>
              </w:rPr>
            </w:pPr>
            <w:r w:rsidRPr="00D047F6">
              <w:rPr>
                <w:sz w:val="20"/>
              </w:rPr>
              <w:t>S-band – 90%</w:t>
            </w:r>
          </w:p>
          <w:p w14:paraId="033B3F88" w14:textId="77777777" w:rsidR="002F3745" w:rsidRPr="00D047F6" w:rsidRDefault="002F3745" w:rsidP="00386231">
            <w:pPr>
              <w:pStyle w:val="ListParagraph"/>
              <w:ind w:left="0"/>
              <w:jc w:val="center"/>
              <w:rPr>
                <w:sz w:val="20"/>
              </w:rPr>
            </w:pPr>
            <w:r w:rsidRPr="00D047F6">
              <w:rPr>
                <w:sz w:val="20"/>
              </w:rPr>
              <w:t>AFS – 40%</w:t>
            </w:r>
          </w:p>
        </w:tc>
        <w:tc>
          <w:tcPr>
            <w:tcW w:w="3120" w:type="dxa"/>
            <w:vAlign w:val="center"/>
          </w:tcPr>
          <w:p w14:paraId="1300EFCB" w14:textId="77777777" w:rsidR="002F3745" w:rsidRPr="00D047F6" w:rsidRDefault="002F3745" w:rsidP="00386231">
            <w:pPr>
              <w:pStyle w:val="ListParagraph"/>
              <w:ind w:left="0"/>
              <w:jc w:val="center"/>
              <w:rPr>
                <w:sz w:val="20"/>
              </w:rPr>
            </w:pPr>
            <w:r w:rsidRPr="00D047F6">
              <w:rPr>
                <w:sz w:val="20"/>
              </w:rPr>
              <w:t xml:space="preserve">Ka-band – </w:t>
            </w:r>
            <w:r>
              <w:rPr>
                <w:sz w:val="20"/>
              </w:rPr>
              <w:t>100</w:t>
            </w:r>
            <w:r w:rsidRPr="00D047F6">
              <w:rPr>
                <w:sz w:val="20"/>
              </w:rPr>
              <w:t>%</w:t>
            </w:r>
          </w:p>
          <w:p w14:paraId="25FBF8BF" w14:textId="77777777" w:rsidR="002F3745" w:rsidRPr="00D047F6" w:rsidRDefault="002F3745" w:rsidP="00386231">
            <w:pPr>
              <w:pStyle w:val="ListParagraph"/>
              <w:ind w:left="0"/>
              <w:jc w:val="center"/>
              <w:rPr>
                <w:sz w:val="20"/>
              </w:rPr>
            </w:pPr>
            <w:r w:rsidRPr="00D047F6">
              <w:rPr>
                <w:sz w:val="20"/>
              </w:rPr>
              <w:t xml:space="preserve">S-band – </w:t>
            </w:r>
            <w:r>
              <w:rPr>
                <w:sz w:val="20"/>
              </w:rPr>
              <w:t>100</w:t>
            </w:r>
            <w:r w:rsidRPr="00D047F6">
              <w:rPr>
                <w:sz w:val="20"/>
              </w:rPr>
              <w:t>%</w:t>
            </w:r>
          </w:p>
          <w:p w14:paraId="4E827221" w14:textId="77777777" w:rsidR="002F3745" w:rsidRPr="00D047F6" w:rsidRDefault="002F3745" w:rsidP="00386231">
            <w:pPr>
              <w:pStyle w:val="ListParagraph"/>
              <w:ind w:left="0"/>
              <w:jc w:val="center"/>
              <w:rPr>
                <w:sz w:val="20"/>
              </w:rPr>
            </w:pPr>
            <w:r w:rsidRPr="00D047F6">
              <w:rPr>
                <w:sz w:val="20"/>
              </w:rPr>
              <w:t>AFS</w:t>
            </w:r>
            <w:r>
              <w:rPr>
                <w:sz w:val="20"/>
              </w:rPr>
              <w:t xml:space="preserve"> (w/LANS)</w:t>
            </w:r>
            <w:r w:rsidRPr="00D047F6">
              <w:rPr>
                <w:sz w:val="20"/>
              </w:rPr>
              <w:t xml:space="preserve"> – </w:t>
            </w:r>
            <w:r>
              <w:rPr>
                <w:sz w:val="20"/>
              </w:rPr>
              <w:t>48.85</w:t>
            </w:r>
            <w:r w:rsidRPr="00D047F6">
              <w:rPr>
                <w:sz w:val="20"/>
              </w:rPr>
              <w:t>%</w:t>
            </w:r>
          </w:p>
        </w:tc>
      </w:tr>
      <w:tr w:rsidR="002F3745" w:rsidRPr="00D047F6" w14:paraId="5D155D75" w14:textId="77777777" w:rsidTr="00386231">
        <w:trPr>
          <w:cnfStyle w:val="010000000000" w:firstRow="0" w:lastRow="1" w:firstColumn="0" w:lastColumn="0" w:oddVBand="0" w:evenVBand="0" w:oddHBand="0" w:evenHBand="0" w:firstRowFirstColumn="0" w:firstRowLastColumn="0" w:lastRowFirstColumn="0" w:lastRowLastColumn="0"/>
          <w:jc w:val="center"/>
        </w:trPr>
        <w:tc>
          <w:tcPr>
            <w:tcW w:w="3120" w:type="dxa"/>
            <w:vAlign w:val="center"/>
          </w:tcPr>
          <w:p w14:paraId="17B0BCCA" w14:textId="77777777" w:rsidR="002F3745" w:rsidRPr="00D047F6" w:rsidRDefault="002F3745" w:rsidP="00386231">
            <w:pPr>
              <w:pStyle w:val="ListParagraph"/>
              <w:ind w:left="0"/>
              <w:jc w:val="center"/>
              <w:rPr>
                <w:sz w:val="20"/>
              </w:rPr>
            </w:pPr>
            <w:r>
              <w:rPr>
                <w:sz w:val="20"/>
              </w:rPr>
              <w:t>Service Availability</w:t>
            </w:r>
          </w:p>
        </w:tc>
        <w:tc>
          <w:tcPr>
            <w:tcW w:w="3120" w:type="dxa"/>
          </w:tcPr>
          <w:p w14:paraId="72475DBB" w14:textId="77777777" w:rsidR="002F3745" w:rsidRPr="00D047F6" w:rsidRDefault="002F3745" w:rsidP="00386231">
            <w:pPr>
              <w:pStyle w:val="ListParagraph"/>
              <w:ind w:left="0"/>
              <w:jc w:val="center"/>
              <w:rPr>
                <w:sz w:val="20"/>
              </w:rPr>
            </w:pPr>
            <w:r>
              <w:rPr>
                <w:sz w:val="20"/>
              </w:rPr>
              <w:t>Nominal 95%; Critical 98%</w:t>
            </w:r>
          </w:p>
        </w:tc>
        <w:tc>
          <w:tcPr>
            <w:tcW w:w="3120" w:type="dxa"/>
          </w:tcPr>
          <w:p w14:paraId="36E3D2A9" w14:textId="77777777" w:rsidR="002F3745" w:rsidRPr="00D047F6" w:rsidRDefault="002F3745" w:rsidP="00386231">
            <w:pPr>
              <w:pStyle w:val="ListParagraph"/>
              <w:ind w:left="0"/>
              <w:jc w:val="center"/>
              <w:rPr>
                <w:sz w:val="20"/>
              </w:rPr>
            </w:pPr>
            <w:r>
              <w:rPr>
                <w:sz w:val="20"/>
              </w:rPr>
              <w:t>Nominal 95%; Critical 98%</w:t>
            </w:r>
          </w:p>
        </w:tc>
      </w:tr>
    </w:tbl>
    <w:tbl>
      <w:tblPr>
        <w:tblStyle w:val="PRISM-Table"/>
        <w:tblpPr w:leftFromText="180" w:rightFromText="180" w:vertAnchor="text" w:horzAnchor="margin" w:tblpY="1064"/>
        <w:tblOverlap w:val="never"/>
        <w:tblW w:w="9360" w:type="dxa"/>
        <w:tblLook w:val="04E0" w:firstRow="1" w:lastRow="1" w:firstColumn="1" w:lastColumn="0" w:noHBand="0" w:noVBand="1"/>
      </w:tblPr>
      <w:tblGrid>
        <w:gridCol w:w="9360"/>
      </w:tblGrid>
      <w:tr w:rsidR="00873D5C" w:rsidRPr="00D047F6" w14:paraId="6B996187" w14:textId="77777777" w:rsidTr="00873D5C">
        <w:trPr>
          <w:cnfStyle w:val="100000000000" w:firstRow="1" w:lastRow="0" w:firstColumn="0" w:lastColumn="0" w:oddVBand="0" w:evenVBand="0" w:oddHBand="0" w:evenHBand="0" w:firstRowFirstColumn="0" w:firstRowLastColumn="0" w:lastRowFirstColumn="0" w:lastRowLastColumn="0"/>
        </w:trPr>
        <w:tc>
          <w:tcPr>
            <w:tcW w:w="9360" w:type="dxa"/>
          </w:tcPr>
          <w:p w14:paraId="68158685" w14:textId="77777777" w:rsidR="00873D5C" w:rsidRDefault="00873D5C" w:rsidP="00873D5C">
            <w:pPr>
              <w:pStyle w:val="Caption-Figure"/>
              <w:rPr>
                <w:b w:val="0"/>
                <w:bCs/>
                <w:highlight w:val="cyan"/>
              </w:rPr>
            </w:pPr>
            <w:r w:rsidRPr="002F3745">
              <w:rPr>
                <w:bCs/>
              </w:rPr>
              <w:t xml:space="preserve">Table 2.8.2-3. </w:t>
            </w:r>
            <w:r w:rsidRPr="002F3745">
              <w:rPr>
                <w:bCs/>
                <w:i w:val="0"/>
                <w:iCs/>
              </w:rPr>
              <w:t>INCREMENT C (FULL IOC) PERFORMANCE</w:t>
            </w:r>
            <w:r w:rsidRPr="002F3745">
              <w:t xml:space="preserve"> –</w:t>
            </w:r>
            <w:r w:rsidRPr="002F3745">
              <w:rPr>
                <w:b w:val="0"/>
                <w:bCs/>
              </w:rPr>
              <w:t xml:space="preserve"> IM provides Full IOC by </w:t>
            </w:r>
            <w:r w:rsidRPr="002F3745">
              <w:rPr>
                <w:b w:val="0"/>
                <w:bCs/>
                <w:highlight w:val="cyan"/>
              </w:rPr>
              <w:t>March 2027</w:t>
            </w:r>
          </w:p>
          <w:p w14:paraId="1CD67D80" w14:textId="77777777" w:rsidR="00873D5C" w:rsidRPr="00873D5C" w:rsidRDefault="00873D5C" w:rsidP="00873D5C">
            <w:pPr>
              <w:rPr>
                <w:highlight w:val="yellow"/>
              </w:rPr>
            </w:pPr>
          </w:p>
        </w:tc>
      </w:tr>
    </w:tbl>
    <w:p w14:paraId="00067D55" w14:textId="77777777" w:rsidR="00873D5C" w:rsidRDefault="00873D5C" w:rsidP="00386231">
      <w:pPr>
        <w:pStyle w:val="Caption-Figure"/>
        <w:cnfStyle w:val="010000000000" w:firstRow="0" w:lastRow="1" w:firstColumn="0" w:lastColumn="0" w:oddVBand="0" w:evenVBand="0" w:oddHBand="0" w:evenHBand="0" w:firstRowFirstColumn="0" w:firstRowLastColumn="0" w:lastRowFirstColumn="0" w:lastRowLastColumn="0"/>
        <w:rPr>
          <w:bCs/>
        </w:rPr>
        <w:sectPr w:rsidR="00873D5C">
          <w:pgSz w:w="12240" w:h="15840"/>
          <w:pgMar w:top="1440" w:right="1440" w:bottom="1440" w:left="1440" w:header="720" w:footer="720" w:gutter="0"/>
          <w:cols w:space="720"/>
          <w:docGrid w:linePitch="360"/>
        </w:sectPr>
      </w:pPr>
    </w:p>
    <w:bookmarkEnd w:id="5"/>
    <w:tbl>
      <w:tblPr>
        <w:tblStyle w:val="PRISM-Table"/>
        <w:tblW w:w="13176" w:type="dxa"/>
        <w:jc w:val="center"/>
        <w:tblLook w:val="04E0" w:firstRow="1" w:lastRow="1" w:firstColumn="1" w:lastColumn="0" w:noHBand="0" w:noVBand="1"/>
      </w:tblPr>
      <w:tblGrid>
        <w:gridCol w:w="1957"/>
        <w:gridCol w:w="1607"/>
        <w:gridCol w:w="1608"/>
        <w:gridCol w:w="1608"/>
        <w:gridCol w:w="1608"/>
        <w:gridCol w:w="1608"/>
        <w:gridCol w:w="1608"/>
        <w:gridCol w:w="1572"/>
      </w:tblGrid>
      <w:tr w:rsidR="00873D5C" w:rsidRPr="00D047F6" w14:paraId="5888254A" w14:textId="36F5E73A" w:rsidTr="00601A04">
        <w:trPr>
          <w:cnfStyle w:val="100000000000" w:firstRow="1" w:lastRow="0" w:firstColumn="0" w:lastColumn="0" w:oddVBand="0" w:evenVBand="0" w:oddHBand="0" w:evenHBand="0" w:firstRowFirstColumn="0" w:firstRowLastColumn="0" w:lastRowFirstColumn="0" w:lastRowLastColumn="0"/>
          <w:jc w:val="center"/>
        </w:trPr>
        <w:tc>
          <w:tcPr>
            <w:tcW w:w="1957" w:type="dxa"/>
            <w:vAlign w:val="center"/>
          </w:tcPr>
          <w:p w14:paraId="04C3609B" w14:textId="77777777" w:rsidR="00873D5C" w:rsidRPr="00D047F6" w:rsidRDefault="00873D5C" w:rsidP="00386231">
            <w:pPr>
              <w:pStyle w:val="0TableHeader"/>
            </w:pPr>
          </w:p>
        </w:tc>
        <w:tc>
          <w:tcPr>
            <w:tcW w:w="1607" w:type="dxa"/>
            <w:vAlign w:val="center"/>
          </w:tcPr>
          <w:p w14:paraId="565DC82A" w14:textId="77777777" w:rsidR="00873D5C" w:rsidRPr="00D047F6" w:rsidRDefault="00873D5C" w:rsidP="00386231">
            <w:pPr>
              <w:pStyle w:val="0TableHeader"/>
            </w:pPr>
            <w:r w:rsidRPr="00D047F6">
              <w:t>Khon1</w:t>
            </w:r>
          </w:p>
        </w:tc>
        <w:tc>
          <w:tcPr>
            <w:tcW w:w="1608" w:type="dxa"/>
            <w:vAlign w:val="center"/>
          </w:tcPr>
          <w:p w14:paraId="66D4D364" w14:textId="77777777" w:rsidR="00873D5C" w:rsidRPr="00D047F6" w:rsidRDefault="00873D5C" w:rsidP="00386231">
            <w:pPr>
              <w:pStyle w:val="0TableHeader"/>
            </w:pPr>
            <w:r w:rsidRPr="00D047F6">
              <w:t>Khon2</w:t>
            </w:r>
          </w:p>
        </w:tc>
        <w:tc>
          <w:tcPr>
            <w:tcW w:w="1608" w:type="dxa"/>
            <w:vAlign w:val="center"/>
          </w:tcPr>
          <w:p w14:paraId="0DBE7EE5" w14:textId="77777777" w:rsidR="00873D5C" w:rsidRPr="00D047F6" w:rsidRDefault="00873D5C" w:rsidP="00386231">
            <w:pPr>
              <w:pStyle w:val="0TableHeader"/>
            </w:pPr>
            <w:r w:rsidRPr="00D047F6">
              <w:t>Khon3</w:t>
            </w:r>
          </w:p>
        </w:tc>
        <w:tc>
          <w:tcPr>
            <w:tcW w:w="1608" w:type="dxa"/>
            <w:vAlign w:val="center"/>
          </w:tcPr>
          <w:p w14:paraId="6016C951" w14:textId="77777777" w:rsidR="00873D5C" w:rsidRPr="00D047F6" w:rsidRDefault="00873D5C" w:rsidP="00386231">
            <w:pPr>
              <w:pStyle w:val="0TableHeader"/>
            </w:pPr>
            <w:r w:rsidRPr="00D047F6">
              <w:t>Khon4</w:t>
            </w:r>
          </w:p>
        </w:tc>
        <w:tc>
          <w:tcPr>
            <w:tcW w:w="1608" w:type="dxa"/>
            <w:vAlign w:val="center"/>
          </w:tcPr>
          <w:p w14:paraId="6536161E" w14:textId="77777777" w:rsidR="00873D5C" w:rsidRPr="00D047F6" w:rsidRDefault="00873D5C" w:rsidP="00386231">
            <w:pPr>
              <w:pStyle w:val="0TableHeader"/>
            </w:pPr>
            <w:r w:rsidRPr="00D047F6">
              <w:t>Khon5</w:t>
            </w:r>
          </w:p>
        </w:tc>
        <w:tc>
          <w:tcPr>
            <w:tcW w:w="1608" w:type="dxa"/>
            <w:vAlign w:val="center"/>
          </w:tcPr>
          <w:p w14:paraId="66FB7A1A" w14:textId="77777777" w:rsidR="00873D5C" w:rsidRPr="00D047F6" w:rsidRDefault="00873D5C" w:rsidP="00386231">
            <w:pPr>
              <w:pStyle w:val="0TableHeader"/>
            </w:pPr>
            <w:r w:rsidRPr="00D047F6">
              <w:t>Khon6</w:t>
            </w:r>
          </w:p>
        </w:tc>
        <w:tc>
          <w:tcPr>
            <w:tcW w:w="1572" w:type="dxa"/>
          </w:tcPr>
          <w:p w14:paraId="12B47BD5" w14:textId="15C3CDA5" w:rsidR="00873D5C" w:rsidRPr="00D047F6" w:rsidRDefault="00873D5C" w:rsidP="00386231">
            <w:pPr>
              <w:pStyle w:val="0TableHeader"/>
            </w:pPr>
            <w:r w:rsidRPr="00D047F6">
              <w:t>Khon</w:t>
            </w:r>
            <w:r>
              <w:t>7</w:t>
            </w:r>
          </w:p>
        </w:tc>
      </w:tr>
      <w:tr w:rsidR="00873D5C" w:rsidRPr="00D047F6" w14:paraId="331087C3" w14:textId="30FF531A" w:rsidTr="00601A04">
        <w:trPr>
          <w:cnfStyle w:val="000000100000" w:firstRow="0" w:lastRow="0" w:firstColumn="0" w:lastColumn="0" w:oddVBand="0" w:evenVBand="0" w:oddHBand="1" w:evenHBand="0" w:firstRowFirstColumn="0" w:firstRowLastColumn="0" w:lastRowFirstColumn="0" w:lastRowLastColumn="0"/>
          <w:jc w:val="center"/>
        </w:trPr>
        <w:tc>
          <w:tcPr>
            <w:tcW w:w="1957" w:type="dxa"/>
            <w:vAlign w:val="center"/>
          </w:tcPr>
          <w:p w14:paraId="7A0B6CA8" w14:textId="77777777" w:rsidR="00873D5C" w:rsidRPr="00D047F6" w:rsidRDefault="00873D5C" w:rsidP="00386231">
            <w:pPr>
              <w:pStyle w:val="0TableLeft"/>
              <w:jc w:val="center"/>
            </w:pPr>
            <w:r w:rsidRPr="00D047F6">
              <w:t>Launch Date/Mission</w:t>
            </w:r>
          </w:p>
        </w:tc>
        <w:tc>
          <w:tcPr>
            <w:tcW w:w="1607" w:type="dxa"/>
            <w:vAlign w:val="center"/>
          </w:tcPr>
          <w:p w14:paraId="23547500" w14:textId="77777777" w:rsidR="00873D5C" w:rsidRPr="00B45525" w:rsidRDefault="00873D5C" w:rsidP="00386231">
            <w:pPr>
              <w:pStyle w:val="0TableLeft"/>
              <w:jc w:val="center"/>
              <w:rPr>
                <w:highlight w:val="yellow"/>
              </w:rPr>
            </w:pPr>
            <w:r w:rsidRPr="00873D5C">
              <w:rPr>
                <w:highlight w:val="cyan"/>
              </w:rPr>
              <w:t>November 2023</w:t>
            </w:r>
          </w:p>
        </w:tc>
        <w:tc>
          <w:tcPr>
            <w:tcW w:w="1608" w:type="dxa"/>
            <w:vAlign w:val="center"/>
          </w:tcPr>
          <w:p w14:paraId="7A194029" w14:textId="77777777" w:rsidR="00873D5C" w:rsidRPr="00B45525" w:rsidRDefault="00873D5C" w:rsidP="00386231">
            <w:pPr>
              <w:pStyle w:val="0TableLeft"/>
              <w:jc w:val="center"/>
              <w:rPr>
                <w:highlight w:val="yellow"/>
              </w:rPr>
            </w:pPr>
            <w:r w:rsidRPr="00873D5C">
              <w:rPr>
                <w:highlight w:val="cyan"/>
              </w:rPr>
              <w:t>April 2024</w:t>
            </w:r>
          </w:p>
        </w:tc>
        <w:tc>
          <w:tcPr>
            <w:tcW w:w="1608" w:type="dxa"/>
            <w:vAlign w:val="center"/>
          </w:tcPr>
          <w:p w14:paraId="35BF69D1" w14:textId="77777777" w:rsidR="00873D5C" w:rsidRPr="00D047F6" w:rsidRDefault="00873D5C" w:rsidP="00386231">
            <w:pPr>
              <w:pStyle w:val="0TableLeft"/>
              <w:jc w:val="center"/>
            </w:pPr>
            <w:r w:rsidRPr="00D047F6">
              <w:t>Oct 2025</w:t>
            </w:r>
          </w:p>
        </w:tc>
        <w:tc>
          <w:tcPr>
            <w:tcW w:w="1608" w:type="dxa"/>
            <w:vAlign w:val="center"/>
          </w:tcPr>
          <w:p w14:paraId="0B4B59C2" w14:textId="77777777" w:rsidR="00873D5C" w:rsidRPr="00D047F6" w:rsidRDefault="00873D5C" w:rsidP="00386231">
            <w:pPr>
              <w:pStyle w:val="0TableLeft"/>
              <w:jc w:val="center"/>
            </w:pPr>
            <w:r w:rsidRPr="00D047F6">
              <w:t>Oct 2025</w:t>
            </w:r>
          </w:p>
        </w:tc>
        <w:tc>
          <w:tcPr>
            <w:tcW w:w="1608" w:type="dxa"/>
            <w:vAlign w:val="center"/>
          </w:tcPr>
          <w:p w14:paraId="64BF315B" w14:textId="77777777" w:rsidR="00873D5C" w:rsidRPr="00D047F6" w:rsidRDefault="00873D5C" w:rsidP="00386231">
            <w:pPr>
              <w:pStyle w:val="0TableLeft"/>
              <w:jc w:val="center"/>
            </w:pPr>
            <w:r w:rsidRPr="00D047F6">
              <w:t>Oct 2026</w:t>
            </w:r>
          </w:p>
        </w:tc>
        <w:tc>
          <w:tcPr>
            <w:tcW w:w="1608" w:type="dxa"/>
            <w:vAlign w:val="center"/>
          </w:tcPr>
          <w:p w14:paraId="15D54DA6" w14:textId="77777777" w:rsidR="00873D5C" w:rsidRPr="00D047F6" w:rsidRDefault="00873D5C" w:rsidP="00386231">
            <w:pPr>
              <w:pStyle w:val="0TableLeft"/>
              <w:jc w:val="center"/>
            </w:pPr>
            <w:r w:rsidRPr="00D047F6">
              <w:t>Oct 2026</w:t>
            </w:r>
          </w:p>
        </w:tc>
        <w:tc>
          <w:tcPr>
            <w:tcW w:w="1572" w:type="dxa"/>
          </w:tcPr>
          <w:p w14:paraId="4E23D32D" w14:textId="2E917D65" w:rsidR="00873D5C" w:rsidRPr="00D047F6" w:rsidRDefault="00873D5C" w:rsidP="00386231">
            <w:pPr>
              <w:pStyle w:val="0TableLeft"/>
              <w:jc w:val="center"/>
            </w:pPr>
          </w:p>
        </w:tc>
      </w:tr>
      <w:tr w:rsidR="00873D5C" w:rsidRPr="00D047F6" w14:paraId="39BA53A4" w14:textId="4F69512B" w:rsidTr="00601A04">
        <w:trPr>
          <w:cnfStyle w:val="000000010000" w:firstRow="0" w:lastRow="0" w:firstColumn="0" w:lastColumn="0" w:oddVBand="0" w:evenVBand="0" w:oddHBand="0" w:evenHBand="1" w:firstRowFirstColumn="0" w:firstRowLastColumn="0" w:lastRowFirstColumn="0" w:lastRowLastColumn="0"/>
          <w:jc w:val="center"/>
        </w:trPr>
        <w:tc>
          <w:tcPr>
            <w:tcW w:w="1957" w:type="dxa"/>
            <w:vAlign w:val="center"/>
          </w:tcPr>
          <w:p w14:paraId="1C350EFF" w14:textId="77777777" w:rsidR="00873D5C" w:rsidRPr="00D047F6" w:rsidRDefault="00873D5C" w:rsidP="00386231">
            <w:pPr>
              <w:pStyle w:val="0TableLeft"/>
              <w:jc w:val="center"/>
            </w:pPr>
            <w:r w:rsidRPr="00D047F6">
              <w:t>Operational Period</w:t>
            </w:r>
          </w:p>
        </w:tc>
        <w:tc>
          <w:tcPr>
            <w:tcW w:w="1607" w:type="dxa"/>
            <w:vAlign w:val="center"/>
          </w:tcPr>
          <w:p w14:paraId="3A8D073B" w14:textId="77777777" w:rsidR="00873D5C" w:rsidRPr="00D047F6" w:rsidRDefault="00873D5C" w:rsidP="00386231">
            <w:pPr>
              <w:pStyle w:val="0TableLeft"/>
              <w:jc w:val="center"/>
            </w:pPr>
            <w:r w:rsidRPr="00D047F6">
              <w:t>Feb 2024 – Jan 2029</w:t>
            </w:r>
          </w:p>
        </w:tc>
        <w:tc>
          <w:tcPr>
            <w:tcW w:w="1608" w:type="dxa"/>
            <w:vAlign w:val="center"/>
          </w:tcPr>
          <w:p w14:paraId="4F5B3DEC" w14:textId="77777777" w:rsidR="00873D5C" w:rsidRPr="00D047F6" w:rsidRDefault="00873D5C" w:rsidP="00386231">
            <w:pPr>
              <w:pStyle w:val="0TableLeft"/>
              <w:jc w:val="center"/>
            </w:pPr>
            <w:r w:rsidRPr="00D047F6">
              <w:t>Jul 2024 – Jun 2029</w:t>
            </w:r>
          </w:p>
        </w:tc>
        <w:tc>
          <w:tcPr>
            <w:tcW w:w="1608" w:type="dxa"/>
            <w:vAlign w:val="center"/>
          </w:tcPr>
          <w:p w14:paraId="7A635841" w14:textId="77777777" w:rsidR="00873D5C" w:rsidRPr="00D047F6" w:rsidRDefault="00873D5C" w:rsidP="00386231">
            <w:pPr>
              <w:pStyle w:val="0TableLeft"/>
              <w:jc w:val="center"/>
            </w:pPr>
            <w:r w:rsidRPr="00D047F6">
              <w:t>Jan 2026 – Dec 2030</w:t>
            </w:r>
          </w:p>
        </w:tc>
        <w:tc>
          <w:tcPr>
            <w:tcW w:w="1608" w:type="dxa"/>
            <w:vAlign w:val="center"/>
          </w:tcPr>
          <w:p w14:paraId="503DA76E" w14:textId="77777777" w:rsidR="00873D5C" w:rsidRPr="00D047F6" w:rsidRDefault="00873D5C" w:rsidP="00386231">
            <w:pPr>
              <w:pStyle w:val="0TableLeft"/>
              <w:jc w:val="center"/>
            </w:pPr>
            <w:r w:rsidRPr="00D047F6">
              <w:t>Jan 2026 – Dec 2030</w:t>
            </w:r>
          </w:p>
        </w:tc>
        <w:tc>
          <w:tcPr>
            <w:tcW w:w="1608" w:type="dxa"/>
            <w:vAlign w:val="center"/>
          </w:tcPr>
          <w:p w14:paraId="684CFD80" w14:textId="77777777" w:rsidR="00873D5C" w:rsidRPr="00D047F6" w:rsidRDefault="00873D5C" w:rsidP="00386231">
            <w:pPr>
              <w:pStyle w:val="0TableLeft"/>
              <w:jc w:val="center"/>
            </w:pPr>
            <w:r w:rsidRPr="00D047F6">
              <w:t>Jan 2027 – Dec 2031</w:t>
            </w:r>
          </w:p>
        </w:tc>
        <w:tc>
          <w:tcPr>
            <w:tcW w:w="1608" w:type="dxa"/>
            <w:vAlign w:val="center"/>
          </w:tcPr>
          <w:p w14:paraId="6CA60FD5" w14:textId="77777777" w:rsidR="00873D5C" w:rsidRPr="00D047F6" w:rsidRDefault="00873D5C" w:rsidP="00386231">
            <w:pPr>
              <w:pStyle w:val="0TableLeft"/>
              <w:jc w:val="center"/>
            </w:pPr>
            <w:r w:rsidRPr="00D047F6">
              <w:t>Jan 2027 – Dec 2031</w:t>
            </w:r>
          </w:p>
        </w:tc>
        <w:tc>
          <w:tcPr>
            <w:tcW w:w="1572" w:type="dxa"/>
          </w:tcPr>
          <w:p w14:paraId="165BC713" w14:textId="77777777" w:rsidR="00873D5C" w:rsidRPr="00D047F6" w:rsidRDefault="00873D5C" w:rsidP="00386231">
            <w:pPr>
              <w:pStyle w:val="0TableLeft"/>
              <w:jc w:val="center"/>
            </w:pPr>
          </w:p>
        </w:tc>
      </w:tr>
      <w:tr w:rsidR="00873D5C" w:rsidRPr="00D047F6" w14:paraId="4EEF9692" w14:textId="59F0DF52" w:rsidTr="00601A04">
        <w:trPr>
          <w:cnfStyle w:val="000000100000" w:firstRow="0" w:lastRow="0" w:firstColumn="0" w:lastColumn="0" w:oddVBand="0" w:evenVBand="0" w:oddHBand="1" w:evenHBand="0" w:firstRowFirstColumn="0" w:firstRowLastColumn="0" w:lastRowFirstColumn="0" w:lastRowLastColumn="0"/>
          <w:jc w:val="center"/>
        </w:trPr>
        <w:tc>
          <w:tcPr>
            <w:tcW w:w="1957" w:type="dxa"/>
            <w:vAlign w:val="center"/>
          </w:tcPr>
          <w:p w14:paraId="3C279EC2" w14:textId="77777777" w:rsidR="00873D5C" w:rsidRPr="00D047F6" w:rsidRDefault="00873D5C" w:rsidP="00386231">
            <w:pPr>
              <w:pStyle w:val="0TableLeft"/>
              <w:jc w:val="center"/>
            </w:pPr>
            <w:r w:rsidRPr="00D047F6">
              <w:t>Relay size category</w:t>
            </w:r>
          </w:p>
        </w:tc>
        <w:tc>
          <w:tcPr>
            <w:tcW w:w="1607" w:type="dxa"/>
            <w:vAlign w:val="center"/>
          </w:tcPr>
          <w:p w14:paraId="57024CB2" w14:textId="77777777" w:rsidR="00873D5C" w:rsidRPr="00D047F6" w:rsidRDefault="00873D5C" w:rsidP="00386231">
            <w:pPr>
              <w:pStyle w:val="0TableLeft"/>
              <w:jc w:val="center"/>
            </w:pPr>
          </w:p>
        </w:tc>
        <w:tc>
          <w:tcPr>
            <w:tcW w:w="1608" w:type="dxa"/>
            <w:vAlign w:val="center"/>
          </w:tcPr>
          <w:p w14:paraId="0E4528CD" w14:textId="77777777" w:rsidR="00873D5C" w:rsidRPr="00D047F6" w:rsidRDefault="00873D5C" w:rsidP="00386231">
            <w:pPr>
              <w:pStyle w:val="0TableLeft"/>
              <w:jc w:val="center"/>
            </w:pPr>
          </w:p>
        </w:tc>
        <w:tc>
          <w:tcPr>
            <w:tcW w:w="1608" w:type="dxa"/>
            <w:vAlign w:val="center"/>
          </w:tcPr>
          <w:p w14:paraId="0E3AF5AD" w14:textId="77777777" w:rsidR="00873D5C" w:rsidRPr="00D047F6" w:rsidRDefault="00873D5C" w:rsidP="00386231">
            <w:pPr>
              <w:pStyle w:val="0TableLeft"/>
              <w:jc w:val="center"/>
            </w:pPr>
          </w:p>
        </w:tc>
        <w:tc>
          <w:tcPr>
            <w:tcW w:w="1608" w:type="dxa"/>
            <w:vAlign w:val="center"/>
          </w:tcPr>
          <w:p w14:paraId="06EF9FFA" w14:textId="77777777" w:rsidR="00873D5C" w:rsidRPr="00D047F6" w:rsidRDefault="00873D5C" w:rsidP="00386231">
            <w:pPr>
              <w:pStyle w:val="0TableLeft"/>
              <w:jc w:val="center"/>
            </w:pPr>
          </w:p>
        </w:tc>
        <w:tc>
          <w:tcPr>
            <w:tcW w:w="1608" w:type="dxa"/>
            <w:vAlign w:val="center"/>
          </w:tcPr>
          <w:p w14:paraId="31D90127" w14:textId="77777777" w:rsidR="00873D5C" w:rsidRPr="00D047F6" w:rsidRDefault="00873D5C" w:rsidP="00386231">
            <w:pPr>
              <w:pStyle w:val="0TableLeft"/>
              <w:jc w:val="center"/>
            </w:pPr>
          </w:p>
        </w:tc>
        <w:tc>
          <w:tcPr>
            <w:tcW w:w="1608" w:type="dxa"/>
            <w:vAlign w:val="center"/>
          </w:tcPr>
          <w:p w14:paraId="6D0E0C02" w14:textId="77777777" w:rsidR="00873D5C" w:rsidRPr="00D047F6" w:rsidRDefault="00873D5C" w:rsidP="00386231">
            <w:pPr>
              <w:pStyle w:val="0TableLeft"/>
              <w:jc w:val="center"/>
            </w:pPr>
          </w:p>
        </w:tc>
        <w:tc>
          <w:tcPr>
            <w:tcW w:w="1572" w:type="dxa"/>
          </w:tcPr>
          <w:p w14:paraId="08B42835" w14:textId="77777777" w:rsidR="00873D5C" w:rsidRPr="00D047F6" w:rsidRDefault="00873D5C" w:rsidP="00386231">
            <w:pPr>
              <w:pStyle w:val="0TableLeft"/>
              <w:jc w:val="center"/>
            </w:pPr>
          </w:p>
        </w:tc>
      </w:tr>
      <w:tr w:rsidR="00873D5C" w:rsidRPr="00D047F6" w14:paraId="1B47FF3A" w14:textId="02771D73" w:rsidTr="00601A04">
        <w:trPr>
          <w:cnfStyle w:val="000000010000" w:firstRow="0" w:lastRow="0" w:firstColumn="0" w:lastColumn="0" w:oddVBand="0" w:evenVBand="0" w:oddHBand="0" w:evenHBand="1" w:firstRowFirstColumn="0" w:firstRowLastColumn="0" w:lastRowFirstColumn="0" w:lastRowLastColumn="0"/>
          <w:jc w:val="center"/>
        </w:trPr>
        <w:tc>
          <w:tcPr>
            <w:tcW w:w="1957" w:type="dxa"/>
            <w:vAlign w:val="center"/>
          </w:tcPr>
          <w:p w14:paraId="587043F7" w14:textId="77777777" w:rsidR="00873D5C" w:rsidRPr="00D047F6" w:rsidRDefault="00873D5C" w:rsidP="00386231">
            <w:pPr>
              <w:pStyle w:val="0TableLeft"/>
              <w:jc w:val="center"/>
            </w:pPr>
            <w:r w:rsidRPr="00D047F6">
              <w:t>Planned orbit</w:t>
            </w:r>
          </w:p>
        </w:tc>
        <w:tc>
          <w:tcPr>
            <w:tcW w:w="1607" w:type="dxa"/>
            <w:vAlign w:val="center"/>
          </w:tcPr>
          <w:p w14:paraId="65EC4E45" w14:textId="77777777" w:rsidR="00873D5C" w:rsidRPr="00D047F6" w:rsidRDefault="00873D5C" w:rsidP="00386231">
            <w:pPr>
              <w:pStyle w:val="0TableLeft"/>
              <w:jc w:val="center"/>
            </w:pPr>
            <w:r w:rsidRPr="00D047F6">
              <w:t>ELFO 1</w:t>
            </w:r>
          </w:p>
        </w:tc>
        <w:tc>
          <w:tcPr>
            <w:tcW w:w="1608" w:type="dxa"/>
            <w:vAlign w:val="center"/>
          </w:tcPr>
          <w:p w14:paraId="35838A5A" w14:textId="77777777" w:rsidR="00873D5C" w:rsidRPr="00D047F6" w:rsidRDefault="00873D5C" w:rsidP="00386231">
            <w:pPr>
              <w:pStyle w:val="0TableLeft"/>
              <w:jc w:val="center"/>
            </w:pPr>
            <w:r w:rsidRPr="00D047F6">
              <w:t>ELFO 2</w:t>
            </w:r>
          </w:p>
        </w:tc>
        <w:tc>
          <w:tcPr>
            <w:tcW w:w="1608" w:type="dxa"/>
            <w:vAlign w:val="center"/>
          </w:tcPr>
          <w:p w14:paraId="125F7E02" w14:textId="77777777" w:rsidR="00873D5C" w:rsidRPr="00D047F6" w:rsidRDefault="00873D5C" w:rsidP="00386231">
            <w:pPr>
              <w:pStyle w:val="0TableLeft"/>
              <w:jc w:val="center"/>
            </w:pPr>
            <w:r w:rsidRPr="00D047F6">
              <w:t>ELFO 1</w:t>
            </w:r>
          </w:p>
        </w:tc>
        <w:tc>
          <w:tcPr>
            <w:tcW w:w="1608" w:type="dxa"/>
            <w:vAlign w:val="center"/>
          </w:tcPr>
          <w:p w14:paraId="7471C7FF" w14:textId="77777777" w:rsidR="00873D5C" w:rsidRPr="00D047F6" w:rsidRDefault="00873D5C" w:rsidP="00386231">
            <w:pPr>
              <w:pStyle w:val="0TableLeft"/>
              <w:jc w:val="center"/>
            </w:pPr>
            <w:r w:rsidRPr="00D047F6">
              <w:t>ELFO 2</w:t>
            </w:r>
          </w:p>
        </w:tc>
        <w:tc>
          <w:tcPr>
            <w:tcW w:w="1608" w:type="dxa"/>
            <w:vAlign w:val="center"/>
          </w:tcPr>
          <w:p w14:paraId="4C128775" w14:textId="2776A575" w:rsidR="00873D5C" w:rsidRPr="00D047F6" w:rsidRDefault="00601A04" w:rsidP="00386231">
            <w:pPr>
              <w:pStyle w:val="0TableLeft"/>
              <w:jc w:val="center"/>
            </w:pPr>
            <w:r w:rsidRPr="00D047F6">
              <w:t xml:space="preserve">ELFO </w:t>
            </w:r>
            <w:r>
              <w:t>3</w:t>
            </w:r>
          </w:p>
        </w:tc>
        <w:tc>
          <w:tcPr>
            <w:tcW w:w="1608" w:type="dxa"/>
            <w:vAlign w:val="center"/>
          </w:tcPr>
          <w:p w14:paraId="7DE37D39" w14:textId="25019BA7" w:rsidR="00873D5C" w:rsidRPr="00D047F6" w:rsidRDefault="00601A04" w:rsidP="00386231">
            <w:pPr>
              <w:pStyle w:val="0TableLeft"/>
              <w:jc w:val="center"/>
            </w:pPr>
            <w:r w:rsidRPr="00D047F6">
              <w:t xml:space="preserve">ELFO </w:t>
            </w:r>
            <w:r>
              <w:t>4</w:t>
            </w:r>
          </w:p>
        </w:tc>
        <w:tc>
          <w:tcPr>
            <w:tcW w:w="1572" w:type="dxa"/>
          </w:tcPr>
          <w:p w14:paraId="2EB16DFD" w14:textId="1985661F" w:rsidR="00873D5C" w:rsidRPr="00D047F6" w:rsidRDefault="00601A04" w:rsidP="00386231">
            <w:pPr>
              <w:pStyle w:val="0TableLeft"/>
              <w:jc w:val="center"/>
            </w:pPr>
            <w:r w:rsidRPr="00D047F6">
              <w:t xml:space="preserve">ELFO </w:t>
            </w:r>
            <w:r>
              <w:t>1</w:t>
            </w:r>
          </w:p>
        </w:tc>
      </w:tr>
      <w:tr w:rsidR="00873D5C" w:rsidRPr="00D047F6" w14:paraId="5AA4A75E" w14:textId="67D55901" w:rsidTr="00601A04">
        <w:trPr>
          <w:cnfStyle w:val="000000100000" w:firstRow="0" w:lastRow="0" w:firstColumn="0" w:lastColumn="0" w:oddVBand="0" w:evenVBand="0" w:oddHBand="1" w:evenHBand="0" w:firstRowFirstColumn="0" w:firstRowLastColumn="0" w:lastRowFirstColumn="0" w:lastRowLastColumn="0"/>
          <w:jc w:val="center"/>
        </w:trPr>
        <w:tc>
          <w:tcPr>
            <w:tcW w:w="1957" w:type="dxa"/>
            <w:vAlign w:val="center"/>
          </w:tcPr>
          <w:p w14:paraId="34170FF0" w14:textId="77777777" w:rsidR="00873D5C" w:rsidRPr="00D047F6" w:rsidRDefault="00873D5C" w:rsidP="00386231">
            <w:pPr>
              <w:pStyle w:val="0TableLeft"/>
              <w:jc w:val="center"/>
            </w:pPr>
            <w:r w:rsidRPr="00D047F6">
              <w:t>Communication Functional and performance specifications</w:t>
            </w:r>
          </w:p>
        </w:tc>
        <w:tc>
          <w:tcPr>
            <w:tcW w:w="1607" w:type="dxa"/>
            <w:vAlign w:val="center"/>
          </w:tcPr>
          <w:p w14:paraId="73CB490B" w14:textId="77777777" w:rsidR="00873D5C" w:rsidRPr="00D047F6" w:rsidRDefault="00873D5C" w:rsidP="00386231">
            <w:pPr>
              <w:pStyle w:val="0TableLeft"/>
              <w:jc w:val="center"/>
            </w:pPr>
            <w:r w:rsidRPr="00D047F6">
              <w:t>Forward: S-band</w:t>
            </w:r>
          </w:p>
          <w:p w14:paraId="58BE298C" w14:textId="77777777" w:rsidR="00873D5C" w:rsidRPr="00D047F6" w:rsidRDefault="00873D5C" w:rsidP="00386231">
            <w:pPr>
              <w:pStyle w:val="0TableLeft"/>
              <w:jc w:val="center"/>
            </w:pPr>
            <w:r w:rsidRPr="00D047F6">
              <w:t>Return: S-band</w:t>
            </w:r>
          </w:p>
          <w:p w14:paraId="124CD81F" w14:textId="77777777" w:rsidR="00873D5C" w:rsidRPr="00D047F6" w:rsidRDefault="00873D5C" w:rsidP="00386231">
            <w:pPr>
              <w:pStyle w:val="0TableLeft"/>
              <w:jc w:val="center"/>
            </w:pPr>
            <w:r w:rsidRPr="00D047F6">
              <w:t>TT&amp;C/Uplink: S-band</w:t>
            </w:r>
          </w:p>
          <w:p w14:paraId="290BE532" w14:textId="77777777" w:rsidR="00873D5C" w:rsidRPr="00D047F6" w:rsidRDefault="00873D5C" w:rsidP="00386231">
            <w:pPr>
              <w:pStyle w:val="0TableLeft"/>
              <w:jc w:val="center"/>
            </w:pPr>
            <w:r w:rsidRPr="00D047F6">
              <w:t>Downlink: X-band</w:t>
            </w:r>
          </w:p>
        </w:tc>
        <w:tc>
          <w:tcPr>
            <w:tcW w:w="1608" w:type="dxa"/>
            <w:vAlign w:val="center"/>
          </w:tcPr>
          <w:p w14:paraId="48647107" w14:textId="77777777" w:rsidR="00873D5C" w:rsidRPr="00D047F6" w:rsidRDefault="00873D5C" w:rsidP="00386231">
            <w:pPr>
              <w:pStyle w:val="0TableLeft"/>
              <w:jc w:val="center"/>
            </w:pPr>
            <w:r w:rsidRPr="00D047F6">
              <w:t>Forward: S/X-band</w:t>
            </w:r>
          </w:p>
          <w:p w14:paraId="5050E66B" w14:textId="77777777" w:rsidR="00873D5C" w:rsidRPr="00D047F6" w:rsidRDefault="00873D5C" w:rsidP="00386231">
            <w:pPr>
              <w:pStyle w:val="0TableLeft"/>
              <w:jc w:val="center"/>
            </w:pPr>
            <w:r w:rsidRPr="00D047F6">
              <w:t>Return: S/X/Ka-band</w:t>
            </w:r>
          </w:p>
          <w:p w14:paraId="4AA47EA5" w14:textId="77777777" w:rsidR="00873D5C" w:rsidRPr="00D047F6" w:rsidRDefault="00873D5C" w:rsidP="00386231">
            <w:pPr>
              <w:pStyle w:val="0TableLeft"/>
              <w:jc w:val="center"/>
            </w:pPr>
            <w:r w:rsidRPr="00D047F6">
              <w:t>TT&amp;C/Uplink: S/X-band</w:t>
            </w:r>
          </w:p>
          <w:p w14:paraId="239B6FBD" w14:textId="77777777" w:rsidR="00873D5C" w:rsidRPr="00D047F6" w:rsidRDefault="00873D5C" w:rsidP="00386231">
            <w:pPr>
              <w:pStyle w:val="0TableLeft"/>
              <w:jc w:val="center"/>
            </w:pPr>
            <w:r w:rsidRPr="00D047F6">
              <w:t>Downlink: S/X/Ka-band</w:t>
            </w:r>
          </w:p>
        </w:tc>
        <w:tc>
          <w:tcPr>
            <w:tcW w:w="1608" w:type="dxa"/>
            <w:vAlign w:val="center"/>
          </w:tcPr>
          <w:p w14:paraId="1D1A5970" w14:textId="77777777" w:rsidR="00873D5C" w:rsidRPr="00D047F6" w:rsidRDefault="00873D5C" w:rsidP="00386231">
            <w:pPr>
              <w:pStyle w:val="0TableLeft"/>
              <w:jc w:val="center"/>
            </w:pPr>
            <w:r w:rsidRPr="00D047F6">
              <w:t>Forward: S/X-band</w:t>
            </w:r>
          </w:p>
          <w:p w14:paraId="16E5E4DF" w14:textId="77777777" w:rsidR="00873D5C" w:rsidRPr="00D047F6" w:rsidRDefault="00873D5C" w:rsidP="00386231">
            <w:pPr>
              <w:pStyle w:val="0TableLeft"/>
              <w:jc w:val="center"/>
            </w:pPr>
            <w:r w:rsidRPr="00D047F6">
              <w:t>Return: S/X/Ka-band</w:t>
            </w:r>
          </w:p>
          <w:p w14:paraId="0C8A07EC" w14:textId="77777777" w:rsidR="00873D5C" w:rsidRPr="00D047F6" w:rsidRDefault="00873D5C" w:rsidP="00386231">
            <w:pPr>
              <w:pStyle w:val="0TableLeft"/>
              <w:jc w:val="center"/>
            </w:pPr>
            <w:r w:rsidRPr="00D047F6">
              <w:t>TT&amp;C/Uplink: S/X-band</w:t>
            </w:r>
          </w:p>
          <w:p w14:paraId="265E9219" w14:textId="77777777" w:rsidR="00873D5C" w:rsidRPr="00D047F6" w:rsidRDefault="00873D5C" w:rsidP="00386231">
            <w:pPr>
              <w:pStyle w:val="0TableLeft"/>
              <w:jc w:val="center"/>
            </w:pPr>
            <w:r w:rsidRPr="00D047F6">
              <w:t>Downlink: S/X/Ka-band</w:t>
            </w:r>
          </w:p>
        </w:tc>
        <w:tc>
          <w:tcPr>
            <w:tcW w:w="1608" w:type="dxa"/>
            <w:vAlign w:val="center"/>
          </w:tcPr>
          <w:p w14:paraId="151786C0" w14:textId="77777777" w:rsidR="00873D5C" w:rsidRPr="00D047F6" w:rsidRDefault="00873D5C" w:rsidP="00386231">
            <w:pPr>
              <w:pStyle w:val="0TableLeft"/>
              <w:jc w:val="center"/>
            </w:pPr>
            <w:r w:rsidRPr="00D047F6">
              <w:t>Forward: S/X-band</w:t>
            </w:r>
          </w:p>
          <w:p w14:paraId="42993A08" w14:textId="77777777" w:rsidR="00873D5C" w:rsidRPr="00D047F6" w:rsidRDefault="00873D5C" w:rsidP="00386231">
            <w:pPr>
              <w:pStyle w:val="0TableLeft"/>
              <w:jc w:val="center"/>
            </w:pPr>
            <w:r w:rsidRPr="00D047F6">
              <w:t>Return: S/X/Ka-band</w:t>
            </w:r>
          </w:p>
          <w:p w14:paraId="0B542D49" w14:textId="77777777" w:rsidR="00873D5C" w:rsidRPr="00D047F6" w:rsidRDefault="00873D5C" w:rsidP="00386231">
            <w:pPr>
              <w:pStyle w:val="0TableLeft"/>
              <w:jc w:val="center"/>
            </w:pPr>
            <w:r w:rsidRPr="00D047F6">
              <w:t>TT&amp;C/Uplink: S/X-band</w:t>
            </w:r>
          </w:p>
          <w:p w14:paraId="3759FDF8" w14:textId="77777777" w:rsidR="00873D5C" w:rsidRPr="00D047F6" w:rsidRDefault="00873D5C" w:rsidP="00386231">
            <w:pPr>
              <w:pStyle w:val="0TableLeft"/>
              <w:jc w:val="center"/>
            </w:pPr>
            <w:r w:rsidRPr="00D047F6">
              <w:t>Downlink: S/X/Ka-band</w:t>
            </w:r>
          </w:p>
        </w:tc>
        <w:tc>
          <w:tcPr>
            <w:tcW w:w="1608" w:type="dxa"/>
            <w:vAlign w:val="center"/>
          </w:tcPr>
          <w:p w14:paraId="1270F2A1" w14:textId="77777777" w:rsidR="00873D5C" w:rsidRPr="00D047F6" w:rsidRDefault="00873D5C" w:rsidP="00386231">
            <w:pPr>
              <w:pStyle w:val="0TableLeft"/>
              <w:jc w:val="center"/>
            </w:pPr>
            <w:r w:rsidRPr="00D047F6">
              <w:t>Forward: S/X-band</w:t>
            </w:r>
          </w:p>
          <w:p w14:paraId="1218D4AC" w14:textId="77777777" w:rsidR="00873D5C" w:rsidRPr="00D047F6" w:rsidRDefault="00873D5C" w:rsidP="00386231">
            <w:pPr>
              <w:pStyle w:val="0TableLeft"/>
              <w:jc w:val="center"/>
            </w:pPr>
            <w:r w:rsidRPr="00D047F6">
              <w:t>Return: S/X/Ka-band</w:t>
            </w:r>
          </w:p>
          <w:p w14:paraId="5DA37737" w14:textId="77777777" w:rsidR="00873D5C" w:rsidRPr="00D047F6" w:rsidRDefault="00873D5C" w:rsidP="00386231">
            <w:pPr>
              <w:pStyle w:val="0TableLeft"/>
              <w:jc w:val="center"/>
            </w:pPr>
            <w:r w:rsidRPr="00D047F6">
              <w:t>TT&amp;C/Uplink: S/X-band</w:t>
            </w:r>
          </w:p>
          <w:p w14:paraId="632163AD" w14:textId="77777777" w:rsidR="00873D5C" w:rsidRPr="00D047F6" w:rsidRDefault="00873D5C" w:rsidP="00386231">
            <w:pPr>
              <w:pStyle w:val="0TableLeft"/>
              <w:jc w:val="center"/>
            </w:pPr>
            <w:r w:rsidRPr="00D047F6">
              <w:t>Downlink: S/X/Ka-band</w:t>
            </w:r>
          </w:p>
        </w:tc>
        <w:tc>
          <w:tcPr>
            <w:tcW w:w="1608" w:type="dxa"/>
            <w:vAlign w:val="center"/>
          </w:tcPr>
          <w:p w14:paraId="12F9D6DE" w14:textId="77777777" w:rsidR="00873D5C" w:rsidRPr="00D047F6" w:rsidRDefault="00873D5C" w:rsidP="00386231">
            <w:pPr>
              <w:pStyle w:val="0TableLeft"/>
              <w:jc w:val="center"/>
            </w:pPr>
            <w:r w:rsidRPr="00D047F6">
              <w:t>Forward: S/X-band</w:t>
            </w:r>
          </w:p>
          <w:p w14:paraId="15B4AF29" w14:textId="77777777" w:rsidR="00873D5C" w:rsidRPr="00D047F6" w:rsidRDefault="00873D5C" w:rsidP="00386231">
            <w:pPr>
              <w:pStyle w:val="0TableLeft"/>
              <w:jc w:val="center"/>
            </w:pPr>
            <w:r w:rsidRPr="00D047F6">
              <w:t>Return: S/X/Ka-band</w:t>
            </w:r>
          </w:p>
          <w:p w14:paraId="4FB06753" w14:textId="77777777" w:rsidR="00873D5C" w:rsidRPr="00D047F6" w:rsidRDefault="00873D5C" w:rsidP="00386231">
            <w:pPr>
              <w:pStyle w:val="0TableLeft"/>
              <w:jc w:val="center"/>
            </w:pPr>
            <w:r w:rsidRPr="00D047F6">
              <w:t>TT&amp;C/Uplink: S/X-band</w:t>
            </w:r>
          </w:p>
          <w:p w14:paraId="3D78B42B" w14:textId="77777777" w:rsidR="00873D5C" w:rsidRPr="00D047F6" w:rsidRDefault="00873D5C" w:rsidP="00386231">
            <w:pPr>
              <w:pStyle w:val="0TableLeft"/>
              <w:jc w:val="center"/>
            </w:pPr>
            <w:r w:rsidRPr="00D047F6">
              <w:t>Downlink: S/X/Ka-band</w:t>
            </w:r>
          </w:p>
        </w:tc>
        <w:tc>
          <w:tcPr>
            <w:tcW w:w="1572" w:type="dxa"/>
          </w:tcPr>
          <w:p w14:paraId="7EC460E3" w14:textId="77777777" w:rsidR="00873D5C" w:rsidRPr="00D047F6" w:rsidRDefault="00873D5C" w:rsidP="00386231">
            <w:pPr>
              <w:pStyle w:val="0TableLeft"/>
              <w:jc w:val="center"/>
            </w:pPr>
          </w:p>
        </w:tc>
      </w:tr>
      <w:tr w:rsidR="00873D5C" w:rsidRPr="00D047F6" w14:paraId="19055B1F" w14:textId="4EC5E963" w:rsidTr="00601A04">
        <w:trPr>
          <w:cnfStyle w:val="000000010000" w:firstRow="0" w:lastRow="0" w:firstColumn="0" w:lastColumn="0" w:oddVBand="0" w:evenVBand="0" w:oddHBand="0" w:evenHBand="1" w:firstRowFirstColumn="0" w:firstRowLastColumn="0" w:lastRowFirstColumn="0" w:lastRowLastColumn="0"/>
          <w:jc w:val="center"/>
        </w:trPr>
        <w:tc>
          <w:tcPr>
            <w:tcW w:w="1957" w:type="dxa"/>
            <w:vAlign w:val="center"/>
          </w:tcPr>
          <w:p w14:paraId="79B5A181" w14:textId="77777777" w:rsidR="00873D5C" w:rsidRPr="00D047F6" w:rsidRDefault="00873D5C" w:rsidP="00386231">
            <w:pPr>
              <w:pStyle w:val="0TableLeft"/>
              <w:jc w:val="center"/>
            </w:pPr>
            <w:r w:rsidRPr="00D047F6">
              <w:t>EIRP (Max)</w:t>
            </w:r>
          </w:p>
        </w:tc>
        <w:tc>
          <w:tcPr>
            <w:tcW w:w="1607" w:type="dxa"/>
            <w:vAlign w:val="center"/>
          </w:tcPr>
          <w:p w14:paraId="4801C255" w14:textId="77777777" w:rsidR="00873D5C" w:rsidRPr="00D047F6" w:rsidRDefault="00873D5C" w:rsidP="00386231">
            <w:pPr>
              <w:pStyle w:val="0TableLeft"/>
              <w:jc w:val="center"/>
            </w:pPr>
            <w:r w:rsidRPr="00D047F6">
              <w:t xml:space="preserve">S-band: 36 </w:t>
            </w:r>
            <w:proofErr w:type="spellStart"/>
            <w:r w:rsidRPr="00D047F6">
              <w:t>dBW</w:t>
            </w:r>
            <w:proofErr w:type="spellEnd"/>
          </w:p>
        </w:tc>
        <w:tc>
          <w:tcPr>
            <w:tcW w:w="1608" w:type="dxa"/>
            <w:vAlign w:val="center"/>
          </w:tcPr>
          <w:p w14:paraId="06890316" w14:textId="77777777" w:rsidR="00873D5C" w:rsidRPr="00D047F6" w:rsidRDefault="00873D5C" w:rsidP="00386231">
            <w:pPr>
              <w:pStyle w:val="0TableLeft"/>
              <w:jc w:val="center"/>
            </w:pPr>
            <w:r w:rsidRPr="00D047F6">
              <w:t xml:space="preserve">S-band: 36 </w:t>
            </w:r>
            <w:proofErr w:type="spellStart"/>
            <w:r w:rsidRPr="00D047F6">
              <w:t>dBW</w:t>
            </w:r>
            <w:proofErr w:type="spellEnd"/>
          </w:p>
          <w:p w14:paraId="51480C0D" w14:textId="77777777" w:rsidR="00873D5C" w:rsidRPr="00D047F6" w:rsidRDefault="00873D5C" w:rsidP="00386231">
            <w:pPr>
              <w:pStyle w:val="0TableLeft"/>
              <w:jc w:val="center"/>
            </w:pPr>
            <w:r w:rsidRPr="00D047F6">
              <w:t xml:space="preserve">Ka-band: 55 </w:t>
            </w:r>
            <w:proofErr w:type="spellStart"/>
            <w:r w:rsidRPr="00D047F6">
              <w:t>dBW</w:t>
            </w:r>
            <w:proofErr w:type="spellEnd"/>
          </w:p>
        </w:tc>
        <w:tc>
          <w:tcPr>
            <w:tcW w:w="1608" w:type="dxa"/>
            <w:vAlign w:val="center"/>
          </w:tcPr>
          <w:p w14:paraId="54033D3E" w14:textId="77777777" w:rsidR="00873D5C" w:rsidRPr="00D047F6" w:rsidRDefault="00873D5C" w:rsidP="00386231">
            <w:pPr>
              <w:pStyle w:val="0TableLeft"/>
              <w:jc w:val="center"/>
            </w:pPr>
            <w:r w:rsidRPr="00D047F6">
              <w:t xml:space="preserve">S-band: 36 </w:t>
            </w:r>
            <w:proofErr w:type="spellStart"/>
            <w:r w:rsidRPr="00D047F6">
              <w:t>dBW</w:t>
            </w:r>
            <w:proofErr w:type="spellEnd"/>
          </w:p>
          <w:p w14:paraId="1B514A4B" w14:textId="77777777" w:rsidR="00873D5C" w:rsidRPr="00D047F6" w:rsidRDefault="00873D5C" w:rsidP="00386231">
            <w:pPr>
              <w:pStyle w:val="0TableLeft"/>
              <w:jc w:val="center"/>
            </w:pPr>
            <w:r w:rsidRPr="00D047F6">
              <w:t xml:space="preserve">Ka-band: 55 </w:t>
            </w:r>
            <w:proofErr w:type="spellStart"/>
            <w:r w:rsidRPr="00D047F6">
              <w:t>dBW</w:t>
            </w:r>
            <w:proofErr w:type="spellEnd"/>
          </w:p>
        </w:tc>
        <w:tc>
          <w:tcPr>
            <w:tcW w:w="1608" w:type="dxa"/>
            <w:vAlign w:val="center"/>
          </w:tcPr>
          <w:p w14:paraId="189BDFC3" w14:textId="77777777" w:rsidR="00873D5C" w:rsidRPr="00D047F6" w:rsidRDefault="00873D5C" w:rsidP="00386231">
            <w:pPr>
              <w:pStyle w:val="0TableLeft"/>
              <w:jc w:val="center"/>
            </w:pPr>
            <w:r w:rsidRPr="00D047F6">
              <w:t xml:space="preserve">S-band: 36 </w:t>
            </w:r>
            <w:proofErr w:type="spellStart"/>
            <w:r w:rsidRPr="00D047F6">
              <w:t>dBW</w:t>
            </w:r>
            <w:proofErr w:type="spellEnd"/>
          </w:p>
          <w:p w14:paraId="2EE3FE61" w14:textId="77777777" w:rsidR="00873D5C" w:rsidRPr="00D047F6" w:rsidRDefault="00873D5C" w:rsidP="00386231">
            <w:pPr>
              <w:pStyle w:val="0TableLeft"/>
              <w:jc w:val="center"/>
            </w:pPr>
            <w:r w:rsidRPr="00D047F6">
              <w:t xml:space="preserve">Ka-band: 55 </w:t>
            </w:r>
            <w:proofErr w:type="spellStart"/>
            <w:r w:rsidRPr="00D047F6">
              <w:t>dBW</w:t>
            </w:r>
            <w:proofErr w:type="spellEnd"/>
          </w:p>
        </w:tc>
        <w:tc>
          <w:tcPr>
            <w:tcW w:w="1608" w:type="dxa"/>
            <w:vAlign w:val="center"/>
          </w:tcPr>
          <w:p w14:paraId="7BA28E1A" w14:textId="77777777" w:rsidR="00873D5C" w:rsidRPr="00D047F6" w:rsidRDefault="00873D5C" w:rsidP="00386231">
            <w:pPr>
              <w:pStyle w:val="0TableLeft"/>
              <w:jc w:val="center"/>
            </w:pPr>
            <w:r w:rsidRPr="00D047F6">
              <w:t xml:space="preserve">S-band: 36 </w:t>
            </w:r>
            <w:proofErr w:type="spellStart"/>
            <w:r w:rsidRPr="00D047F6">
              <w:t>dBW</w:t>
            </w:r>
            <w:proofErr w:type="spellEnd"/>
          </w:p>
          <w:p w14:paraId="2632647F" w14:textId="77777777" w:rsidR="00873D5C" w:rsidRPr="00D047F6" w:rsidRDefault="00873D5C" w:rsidP="00386231">
            <w:pPr>
              <w:pStyle w:val="0TableLeft"/>
              <w:jc w:val="center"/>
            </w:pPr>
            <w:r w:rsidRPr="00D047F6">
              <w:t xml:space="preserve">Ka-band: 55 </w:t>
            </w:r>
            <w:proofErr w:type="spellStart"/>
            <w:r w:rsidRPr="00D047F6">
              <w:t>dBW</w:t>
            </w:r>
            <w:proofErr w:type="spellEnd"/>
          </w:p>
        </w:tc>
        <w:tc>
          <w:tcPr>
            <w:tcW w:w="1608" w:type="dxa"/>
            <w:vAlign w:val="center"/>
          </w:tcPr>
          <w:p w14:paraId="76462916" w14:textId="77777777" w:rsidR="00873D5C" w:rsidRPr="00D047F6" w:rsidRDefault="00873D5C" w:rsidP="00386231">
            <w:pPr>
              <w:pStyle w:val="0TableLeft"/>
              <w:jc w:val="center"/>
            </w:pPr>
            <w:r w:rsidRPr="00D047F6">
              <w:t xml:space="preserve">S-band: 36 </w:t>
            </w:r>
            <w:proofErr w:type="spellStart"/>
            <w:r w:rsidRPr="00D047F6">
              <w:t>dBW</w:t>
            </w:r>
            <w:proofErr w:type="spellEnd"/>
          </w:p>
          <w:p w14:paraId="7CA31FBC" w14:textId="77777777" w:rsidR="00873D5C" w:rsidRPr="00D047F6" w:rsidRDefault="00873D5C" w:rsidP="00386231">
            <w:pPr>
              <w:pStyle w:val="0TableLeft"/>
              <w:jc w:val="center"/>
            </w:pPr>
            <w:r w:rsidRPr="00D047F6">
              <w:t xml:space="preserve">Ka-band: 55 </w:t>
            </w:r>
            <w:proofErr w:type="spellStart"/>
            <w:r w:rsidRPr="00D047F6">
              <w:t>dBW</w:t>
            </w:r>
            <w:proofErr w:type="spellEnd"/>
          </w:p>
        </w:tc>
        <w:tc>
          <w:tcPr>
            <w:tcW w:w="1572" w:type="dxa"/>
          </w:tcPr>
          <w:p w14:paraId="19975DCC" w14:textId="77777777" w:rsidR="00873D5C" w:rsidRPr="00D047F6" w:rsidRDefault="00873D5C" w:rsidP="00386231">
            <w:pPr>
              <w:pStyle w:val="0TableLeft"/>
              <w:jc w:val="center"/>
            </w:pPr>
          </w:p>
        </w:tc>
      </w:tr>
      <w:tr w:rsidR="00873D5C" w:rsidRPr="00D047F6" w14:paraId="677E4751" w14:textId="5EF624FD" w:rsidTr="00601A04">
        <w:trPr>
          <w:cnfStyle w:val="000000100000" w:firstRow="0" w:lastRow="0" w:firstColumn="0" w:lastColumn="0" w:oddVBand="0" w:evenVBand="0" w:oddHBand="1" w:evenHBand="0" w:firstRowFirstColumn="0" w:firstRowLastColumn="0" w:lastRowFirstColumn="0" w:lastRowLastColumn="0"/>
          <w:jc w:val="center"/>
        </w:trPr>
        <w:tc>
          <w:tcPr>
            <w:tcW w:w="1957" w:type="dxa"/>
            <w:vAlign w:val="center"/>
          </w:tcPr>
          <w:p w14:paraId="7D85766C" w14:textId="77777777" w:rsidR="00873D5C" w:rsidRPr="00D047F6" w:rsidRDefault="00873D5C" w:rsidP="00386231">
            <w:pPr>
              <w:pStyle w:val="0TableLeft"/>
              <w:jc w:val="center"/>
            </w:pPr>
            <w:r w:rsidRPr="00D047F6">
              <w:t>G/T (Max)</w:t>
            </w:r>
          </w:p>
        </w:tc>
        <w:tc>
          <w:tcPr>
            <w:tcW w:w="1607" w:type="dxa"/>
            <w:vAlign w:val="center"/>
          </w:tcPr>
          <w:p w14:paraId="041CF5FD" w14:textId="77777777" w:rsidR="00873D5C" w:rsidRPr="00D047F6" w:rsidRDefault="00873D5C" w:rsidP="00386231">
            <w:pPr>
              <w:pStyle w:val="0TableLeft"/>
              <w:jc w:val="center"/>
            </w:pPr>
            <w:r w:rsidRPr="00D047F6">
              <w:t>S-band: -1 dB/K</w:t>
            </w:r>
          </w:p>
        </w:tc>
        <w:tc>
          <w:tcPr>
            <w:tcW w:w="1608" w:type="dxa"/>
            <w:vAlign w:val="center"/>
          </w:tcPr>
          <w:p w14:paraId="66159BFC" w14:textId="77777777" w:rsidR="00873D5C" w:rsidRPr="00D047F6" w:rsidRDefault="00873D5C" w:rsidP="00386231">
            <w:pPr>
              <w:pStyle w:val="0TableLeft"/>
              <w:jc w:val="center"/>
            </w:pPr>
            <w:r w:rsidRPr="00D047F6">
              <w:t>S-band: -1 dB/K</w:t>
            </w:r>
          </w:p>
          <w:p w14:paraId="660E11C6" w14:textId="77777777" w:rsidR="00873D5C" w:rsidRPr="00D047F6" w:rsidRDefault="00873D5C" w:rsidP="00386231">
            <w:pPr>
              <w:pStyle w:val="0TableLeft"/>
              <w:jc w:val="center"/>
            </w:pPr>
            <w:r w:rsidRPr="00D047F6">
              <w:t>Ka-band: 21 dB/K</w:t>
            </w:r>
          </w:p>
        </w:tc>
        <w:tc>
          <w:tcPr>
            <w:tcW w:w="1608" w:type="dxa"/>
            <w:vAlign w:val="center"/>
          </w:tcPr>
          <w:p w14:paraId="44CCC31A" w14:textId="77777777" w:rsidR="00873D5C" w:rsidRPr="00D047F6" w:rsidRDefault="00873D5C" w:rsidP="00386231">
            <w:pPr>
              <w:pStyle w:val="0TableLeft"/>
              <w:jc w:val="center"/>
            </w:pPr>
            <w:r w:rsidRPr="00D047F6">
              <w:t>S-band: -1 dB/K</w:t>
            </w:r>
          </w:p>
          <w:p w14:paraId="7E65A50B" w14:textId="77777777" w:rsidR="00873D5C" w:rsidRPr="00D047F6" w:rsidRDefault="00873D5C" w:rsidP="00386231">
            <w:pPr>
              <w:pStyle w:val="0TableLeft"/>
              <w:jc w:val="center"/>
            </w:pPr>
            <w:r w:rsidRPr="00D047F6">
              <w:t>Ka-band: 21 dB/K</w:t>
            </w:r>
          </w:p>
        </w:tc>
        <w:tc>
          <w:tcPr>
            <w:tcW w:w="1608" w:type="dxa"/>
            <w:vAlign w:val="center"/>
          </w:tcPr>
          <w:p w14:paraId="1C7986B7" w14:textId="77777777" w:rsidR="00873D5C" w:rsidRPr="00D047F6" w:rsidRDefault="00873D5C" w:rsidP="00386231">
            <w:pPr>
              <w:pStyle w:val="0TableLeft"/>
              <w:jc w:val="center"/>
            </w:pPr>
            <w:r w:rsidRPr="00D047F6">
              <w:t>S-band: -1 dB/K</w:t>
            </w:r>
          </w:p>
          <w:p w14:paraId="7D31EDB9" w14:textId="77777777" w:rsidR="00873D5C" w:rsidRPr="00D047F6" w:rsidRDefault="00873D5C" w:rsidP="00386231">
            <w:pPr>
              <w:pStyle w:val="0TableLeft"/>
              <w:jc w:val="center"/>
            </w:pPr>
            <w:r w:rsidRPr="00D047F6">
              <w:t>Ka-band: 21 dB/K</w:t>
            </w:r>
          </w:p>
        </w:tc>
        <w:tc>
          <w:tcPr>
            <w:tcW w:w="1608" w:type="dxa"/>
            <w:vAlign w:val="center"/>
          </w:tcPr>
          <w:p w14:paraId="7F79CAD7" w14:textId="77777777" w:rsidR="00873D5C" w:rsidRPr="00D047F6" w:rsidRDefault="00873D5C" w:rsidP="00386231">
            <w:pPr>
              <w:pStyle w:val="0TableLeft"/>
              <w:jc w:val="center"/>
            </w:pPr>
            <w:r w:rsidRPr="00D047F6">
              <w:t>S-band: -1 dB/K</w:t>
            </w:r>
          </w:p>
          <w:p w14:paraId="7E678506" w14:textId="77777777" w:rsidR="00873D5C" w:rsidRPr="00D047F6" w:rsidRDefault="00873D5C" w:rsidP="00386231">
            <w:pPr>
              <w:pStyle w:val="0TableLeft"/>
              <w:jc w:val="center"/>
            </w:pPr>
            <w:r w:rsidRPr="00D047F6">
              <w:t>Ka-band: 21 dB/K</w:t>
            </w:r>
          </w:p>
        </w:tc>
        <w:tc>
          <w:tcPr>
            <w:tcW w:w="1608" w:type="dxa"/>
            <w:vAlign w:val="center"/>
          </w:tcPr>
          <w:p w14:paraId="64673F2C" w14:textId="77777777" w:rsidR="00873D5C" w:rsidRPr="00D047F6" w:rsidRDefault="00873D5C" w:rsidP="00386231">
            <w:pPr>
              <w:pStyle w:val="0TableLeft"/>
              <w:jc w:val="center"/>
            </w:pPr>
            <w:r w:rsidRPr="00D047F6">
              <w:t>S-band: -1 dB/K</w:t>
            </w:r>
          </w:p>
          <w:p w14:paraId="67EF6EE5" w14:textId="77777777" w:rsidR="00873D5C" w:rsidRPr="00D047F6" w:rsidRDefault="00873D5C" w:rsidP="00386231">
            <w:pPr>
              <w:pStyle w:val="0TableLeft"/>
              <w:jc w:val="center"/>
            </w:pPr>
            <w:r w:rsidRPr="00D047F6">
              <w:t>Ka-band: 21 dB/K</w:t>
            </w:r>
          </w:p>
        </w:tc>
        <w:tc>
          <w:tcPr>
            <w:tcW w:w="1572" w:type="dxa"/>
          </w:tcPr>
          <w:p w14:paraId="23F5DB7F" w14:textId="77777777" w:rsidR="00873D5C" w:rsidRPr="00D047F6" w:rsidRDefault="00873D5C" w:rsidP="00386231">
            <w:pPr>
              <w:pStyle w:val="0TableLeft"/>
              <w:jc w:val="center"/>
            </w:pPr>
          </w:p>
        </w:tc>
      </w:tr>
      <w:tr w:rsidR="00873D5C" w:rsidRPr="00D047F6" w14:paraId="798E5107" w14:textId="29F26BF5" w:rsidTr="00601A04">
        <w:trPr>
          <w:cnfStyle w:val="000000010000" w:firstRow="0" w:lastRow="0" w:firstColumn="0" w:lastColumn="0" w:oddVBand="0" w:evenVBand="0" w:oddHBand="0" w:evenHBand="1" w:firstRowFirstColumn="0" w:firstRowLastColumn="0" w:lastRowFirstColumn="0" w:lastRowLastColumn="0"/>
          <w:jc w:val="center"/>
        </w:trPr>
        <w:tc>
          <w:tcPr>
            <w:tcW w:w="1957" w:type="dxa"/>
            <w:vAlign w:val="center"/>
          </w:tcPr>
          <w:p w14:paraId="7282DF7D" w14:textId="77777777" w:rsidR="00873D5C" w:rsidRPr="00D047F6" w:rsidRDefault="00873D5C" w:rsidP="00386231">
            <w:pPr>
              <w:pStyle w:val="0TableLeft"/>
              <w:jc w:val="center"/>
            </w:pPr>
            <w:r w:rsidRPr="00D047F6">
              <w:t>Navigation functional and performance specifications</w:t>
            </w:r>
          </w:p>
        </w:tc>
        <w:tc>
          <w:tcPr>
            <w:tcW w:w="1607" w:type="dxa"/>
            <w:vAlign w:val="center"/>
          </w:tcPr>
          <w:p w14:paraId="21C4C249" w14:textId="77777777" w:rsidR="00873D5C" w:rsidRPr="00D047F6" w:rsidRDefault="00873D5C" w:rsidP="00386231">
            <w:pPr>
              <w:pStyle w:val="0TableLeft"/>
              <w:jc w:val="center"/>
            </w:pPr>
            <w:r w:rsidRPr="00D047F6">
              <w:t>N/A</w:t>
            </w:r>
          </w:p>
        </w:tc>
        <w:tc>
          <w:tcPr>
            <w:tcW w:w="4824" w:type="dxa"/>
            <w:gridSpan w:val="3"/>
            <w:vAlign w:val="center"/>
          </w:tcPr>
          <w:p w14:paraId="145E385F" w14:textId="77777777" w:rsidR="00873D5C" w:rsidRPr="00D047F6" w:rsidRDefault="00873D5C" w:rsidP="00386231">
            <w:pPr>
              <w:pStyle w:val="0TableLeft"/>
              <w:jc w:val="center"/>
            </w:pPr>
            <w:r w:rsidRPr="00D047F6">
              <w:t xml:space="preserve">2-Way </w:t>
            </w:r>
            <w:proofErr w:type="spellStart"/>
            <w:r w:rsidRPr="00D047F6">
              <w:t>Radiometrics</w:t>
            </w:r>
            <w:proofErr w:type="spellEnd"/>
            <w:r w:rsidRPr="00D047F6">
              <w:t xml:space="preserve"> (Range/Doppler)</w:t>
            </w:r>
          </w:p>
        </w:tc>
        <w:tc>
          <w:tcPr>
            <w:tcW w:w="3216" w:type="dxa"/>
            <w:gridSpan w:val="2"/>
            <w:vAlign w:val="center"/>
          </w:tcPr>
          <w:p w14:paraId="7DA563C8" w14:textId="77777777" w:rsidR="00873D5C" w:rsidRPr="00D047F6" w:rsidRDefault="00873D5C" w:rsidP="00386231">
            <w:pPr>
              <w:pStyle w:val="0TableLeft"/>
              <w:jc w:val="center"/>
            </w:pPr>
            <w:r w:rsidRPr="00D047F6">
              <w:t xml:space="preserve">2-Way </w:t>
            </w:r>
            <w:proofErr w:type="spellStart"/>
            <w:r w:rsidRPr="00D047F6">
              <w:t>Radiometrics</w:t>
            </w:r>
            <w:proofErr w:type="spellEnd"/>
            <w:r w:rsidRPr="00D047F6">
              <w:t xml:space="preserve"> (Range/Doppler)</w:t>
            </w:r>
          </w:p>
          <w:p w14:paraId="4CF1F69A" w14:textId="77777777" w:rsidR="00873D5C" w:rsidRPr="00D047F6" w:rsidRDefault="00873D5C" w:rsidP="00386231">
            <w:pPr>
              <w:pStyle w:val="0TableLeft"/>
              <w:jc w:val="center"/>
            </w:pPr>
            <w:proofErr w:type="spellStart"/>
            <w:r w:rsidRPr="00601A04">
              <w:rPr>
                <w:highlight w:val="cyan"/>
              </w:rPr>
              <w:t>LunaNet</w:t>
            </w:r>
            <w:proofErr w:type="spellEnd"/>
            <w:r w:rsidRPr="00601A04">
              <w:rPr>
                <w:highlight w:val="cyan"/>
              </w:rPr>
              <w:t xml:space="preserve"> LANS One-Way PNT</w:t>
            </w:r>
          </w:p>
        </w:tc>
        <w:tc>
          <w:tcPr>
            <w:tcW w:w="1572" w:type="dxa"/>
            <w:vAlign w:val="center"/>
          </w:tcPr>
          <w:p w14:paraId="54246128" w14:textId="06584394" w:rsidR="00873D5C" w:rsidRPr="00D047F6" w:rsidRDefault="00601A04" w:rsidP="00601A04">
            <w:pPr>
              <w:pStyle w:val="0TableLeft"/>
              <w:jc w:val="center"/>
            </w:pPr>
            <w:r w:rsidRPr="00D047F6">
              <w:t xml:space="preserve">2-Way </w:t>
            </w:r>
            <w:proofErr w:type="spellStart"/>
            <w:r w:rsidRPr="00D047F6">
              <w:t>Radiometrics</w:t>
            </w:r>
            <w:proofErr w:type="spellEnd"/>
            <w:r w:rsidRPr="00D047F6">
              <w:t xml:space="preserve"> (Range/Doppler)</w:t>
            </w:r>
          </w:p>
        </w:tc>
      </w:tr>
      <w:tr w:rsidR="00873D5C" w:rsidRPr="00D047F6" w14:paraId="67EACA8F" w14:textId="12B01C7E" w:rsidTr="00601A04">
        <w:trPr>
          <w:cnfStyle w:val="000000100000" w:firstRow="0" w:lastRow="0" w:firstColumn="0" w:lastColumn="0" w:oddVBand="0" w:evenVBand="0" w:oddHBand="1" w:evenHBand="0" w:firstRowFirstColumn="0" w:firstRowLastColumn="0" w:lastRowFirstColumn="0" w:lastRowLastColumn="0"/>
          <w:jc w:val="center"/>
        </w:trPr>
        <w:tc>
          <w:tcPr>
            <w:tcW w:w="1957" w:type="dxa"/>
            <w:vAlign w:val="center"/>
          </w:tcPr>
          <w:p w14:paraId="63C766A3" w14:textId="77777777" w:rsidR="00873D5C" w:rsidRPr="00D047F6" w:rsidRDefault="00873D5C" w:rsidP="00386231">
            <w:pPr>
              <w:pStyle w:val="0TableLeft"/>
              <w:jc w:val="center"/>
            </w:pPr>
            <w:r w:rsidRPr="00D047F6">
              <w:t>Simultaneous Links supportability</w:t>
            </w:r>
          </w:p>
        </w:tc>
        <w:tc>
          <w:tcPr>
            <w:tcW w:w="1607" w:type="dxa"/>
            <w:vAlign w:val="center"/>
          </w:tcPr>
          <w:p w14:paraId="73B96709" w14:textId="77777777" w:rsidR="00873D5C" w:rsidRPr="00D047F6" w:rsidRDefault="00873D5C" w:rsidP="00386231">
            <w:pPr>
              <w:pStyle w:val="0TableLeft"/>
              <w:jc w:val="center"/>
            </w:pPr>
            <w:r w:rsidRPr="00D047F6">
              <w:t xml:space="preserve">1 S </w:t>
            </w:r>
            <w:proofErr w:type="spellStart"/>
            <w:r w:rsidRPr="00D047F6">
              <w:t>Fwd</w:t>
            </w:r>
            <w:proofErr w:type="spellEnd"/>
            <w:r w:rsidRPr="00D047F6">
              <w:t xml:space="preserve"> and Ret</w:t>
            </w:r>
          </w:p>
        </w:tc>
        <w:tc>
          <w:tcPr>
            <w:tcW w:w="1608" w:type="dxa"/>
            <w:vAlign w:val="center"/>
          </w:tcPr>
          <w:p w14:paraId="2AB2ACB9" w14:textId="77777777" w:rsidR="00873D5C" w:rsidRPr="00D047F6" w:rsidRDefault="00873D5C" w:rsidP="00386231">
            <w:pPr>
              <w:pStyle w:val="0TableLeft"/>
              <w:jc w:val="center"/>
            </w:pPr>
            <w:r w:rsidRPr="00D047F6">
              <w:t xml:space="preserve">2 Ka </w:t>
            </w:r>
            <w:proofErr w:type="spellStart"/>
            <w:r w:rsidRPr="00D047F6">
              <w:t>Fwd</w:t>
            </w:r>
            <w:proofErr w:type="spellEnd"/>
            <w:r w:rsidRPr="00D047F6">
              <w:t xml:space="preserve"> and Ret</w:t>
            </w:r>
          </w:p>
          <w:p w14:paraId="2398F0C7" w14:textId="77777777" w:rsidR="00873D5C" w:rsidRPr="00D047F6" w:rsidRDefault="00873D5C" w:rsidP="00386231">
            <w:pPr>
              <w:pStyle w:val="0TableLeft"/>
              <w:jc w:val="center"/>
            </w:pPr>
            <w:r w:rsidRPr="00D047F6">
              <w:t xml:space="preserve">2 S </w:t>
            </w:r>
            <w:proofErr w:type="spellStart"/>
            <w:r w:rsidRPr="00D047F6">
              <w:t>Fwd</w:t>
            </w:r>
            <w:proofErr w:type="spellEnd"/>
            <w:r w:rsidRPr="00D047F6">
              <w:t xml:space="preserve"> and Ret</w:t>
            </w:r>
          </w:p>
          <w:p w14:paraId="3D59C548" w14:textId="77777777" w:rsidR="00873D5C" w:rsidRPr="00D047F6" w:rsidRDefault="00873D5C" w:rsidP="00386231">
            <w:pPr>
              <w:pStyle w:val="0TableLeft"/>
              <w:jc w:val="center"/>
            </w:pPr>
            <w:r w:rsidRPr="00D047F6">
              <w:t xml:space="preserve">1 X </w:t>
            </w:r>
            <w:proofErr w:type="spellStart"/>
            <w:r w:rsidRPr="00D047F6">
              <w:t>Fwd</w:t>
            </w:r>
            <w:proofErr w:type="spellEnd"/>
            <w:r w:rsidRPr="00D047F6">
              <w:t xml:space="preserve"> and Ret</w:t>
            </w:r>
          </w:p>
          <w:p w14:paraId="37F21D78" w14:textId="77777777" w:rsidR="00873D5C" w:rsidRPr="00D047F6" w:rsidRDefault="00873D5C" w:rsidP="00386231">
            <w:pPr>
              <w:pStyle w:val="0TableLeft"/>
              <w:jc w:val="center"/>
            </w:pPr>
            <w:r w:rsidRPr="00D047F6">
              <w:t>AFS/LANS</w:t>
            </w:r>
          </w:p>
        </w:tc>
        <w:tc>
          <w:tcPr>
            <w:tcW w:w="1608" w:type="dxa"/>
            <w:vAlign w:val="center"/>
          </w:tcPr>
          <w:p w14:paraId="5E6154EA" w14:textId="77777777" w:rsidR="00873D5C" w:rsidRPr="00D047F6" w:rsidRDefault="00873D5C" w:rsidP="00386231">
            <w:pPr>
              <w:pStyle w:val="0TableLeft"/>
              <w:jc w:val="center"/>
            </w:pPr>
            <w:r w:rsidRPr="00D047F6">
              <w:t xml:space="preserve">2 Ka </w:t>
            </w:r>
            <w:proofErr w:type="spellStart"/>
            <w:r w:rsidRPr="00D047F6">
              <w:t>Fwd</w:t>
            </w:r>
            <w:proofErr w:type="spellEnd"/>
            <w:r w:rsidRPr="00D047F6">
              <w:t xml:space="preserve"> and Ret</w:t>
            </w:r>
          </w:p>
          <w:p w14:paraId="57038A6B" w14:textId="77777777" w:rsidR="00873D5C" w:rsidRPr="00D047F6" w:rsidRDefault="00873D5C" w:rsidP="00386231">
            <w:pPr>
              <w:pStyle w:val="0TableLeft"/>
              <w:jc w:val="center"/>
            </w:pPr>
            <w:r w:rsidRPr="00D047F6">
              <w:t xml:space="preserve">2 S </w:t>
            </w:r>
            <w:proofErr w:type="spellStart"/>
            <w:r w:rsidRPr="00D047F6">
              <w:t>Fwd</w:t>
            </w:r>
            <w:proofErr w:type="spellEnd"/>
            <w:r w:rsidRPr="00D047F6">
              <w:t xml:space="preserve"> and Ret</w:t>
            </w:r>
          </w:p>
          <w:p w14:paraId="3DE21CEA" w14:textId="77777777" w:rsidR="00873D5C" w:rsidRPr="00D047F6" w:rsidRDefault="00873D5C" w:rsidP="00386231">
            <w:pPr>
              <w:pStyle w:val="0TableLeft"/>
              <w:jc w:val="center"/>
            </w:pPr>
            <w:r w:rsidRPr="00D047F6">
              <w:t xml:space="preserve">1 X </w:t>
            </w:r>
            <w:proofErr w:type="spellStart"/>
            <w:r w:rsidRPr="00D047F6">
              <w:t>Fwd</w:t>
            </w:r>
            <w:proofErr w:type="spellEnd"/>
            <w:r w:rsidRPr="00D047F6">
              <w:t xml:space="preserve"> and Ret</w:t>
            </w:r>
          </w:p>
          <w:p w14:paraId="267C0205" w14:textId="77777777" w:rsidR="00873D5C" w:rsidRPr="00D047F6" w:rsidRDefault="00873D5C" w:rsidP="00386231">
            <w:pPr>
              <w:pStyle w:val="0TableLeft"/>
              <w:jc w:val="center"/>
            </w:pPr>
            <w:r w:rsidRPr="00D047F6">
              <w:t>AFS/LANS</w:t>
            </w:r>
          </w:p>
        </w:tc>
        <w:tc>
          <w:tcPr>
            <w:tcW w:w="1608" w:type="dxa"/>
            <w:vAlign w:val="center"/>
          </w:tcPr>
          <w:p w14:paraId="7E663874" w14:textId="77777777" w:rsidR="00873D5C" w:rsidRPr="00D047F6" w:rsidRDefault="00873D5C" w:rsidP="00386231">
            <w:pPr>
              <w:pStyle w:val="0TableLeft"/>
              <w:jc w:val="center"/>
            </w:pPr>
            <w:r w:rsidRPr="00D047F6">
              <w:t xml:space="preserve">2 Ka </w:t>
            </w:r>
            <w:proofErr w:type="spellStart"/>
            <w:r w:rsidRPr="00D047F6">
              <w:t>Fwd</w:t>
            </w:r>
            <w:proofErr w:type="spellEnd"/>
            <w:r w:rsidRPr="00D047F6">
              <w:t xml:space="preserve"> and Ret</w:t>
            </w:r>
          </w:p>
          <w:p w14:paraId="3290B4A6" w14:textId="77777777" w:rsidR="00873D5C" w:rsidRPr="00D047F6" w:rsidRDefault="00873D5C" w:rsidP="00386231">
            <w:pPr>
              <w:pStyle w:val="0TableLeft"/>
              <w:jc w:val="center"/>
            </w:pPr>
            <w:r w:rsidRPr="00D047F6">
              <w:t xml:space="preserve">2 S </w:t>
            </w:r>
            <w:proofErr w:type="spellStart"/>
            <w:r w:rsidRPr="00D047F6">
              <w:t>Fwd</w:t>
            </w:r>
            <w:proofErr w:type="spellEnd"/>
            <w:r w:rsidRPr="00D047F6">
              <w:t xml:space="preserve"> and Ret</w:t>
            </w:r>
          </w:p>
          <w:p w14:paraId="746F1D8B" w14:textId="77777777" w:rsidR="00873D5C" w:rsidRPr="00D047F6" w:rsidRDefault="00873D5C" w:rsidP="00386231">
            <w:pPr>
              <w:pStyle w:val="0TableLeft"/>
              <w:jc w:val="center"/>
            </w:pPr>
            <w:r w:rsidRPr="00D047F6">
              <w:t xml:space="preserve">1 X </w:t>
            </w:r>
            <w:proofErr w:type="spellStart"/>
            <w:r w:rsidRPr="00D047F6">
              <w:t>Fwd</w:t>
            </w:r>
            <w:proofErr w:type="spellEnd"/>
            <w:r w:rsidRPr="00D047F6">
              <w:t xml:space="preserve"> and Ret</w:t>
            </w:r>
          </w:p>
          <w:p w14:paraId="65CD4425" w14:textId="77777777" w:rsidR="00873D5C" w:rsidRPr="00D047F6" w:rsidRDefault="00873D5C" w:rsidP="00386231">
            <w:pPr>
              <w:pStyle w:val="0TableLeft"/>
              <w:jc w:val="center"/>
            </w:pPr>
            <w:r w:rsidRPr="00D047F6">
              <w:t>AFS/LANS</w:t>
            </w:r>
          </w:p>
        </w:tc>
        <w:tc>
          <w:tcPr>
            <w:tcW w:w="1608" w:type="dxa"/>
            <w:vAlign w:val="center"/>
          </w:tcPr>
          <w:p w14:paraId="0EBC39F4" w14:textId="77777777" w:rsidR="00873D5C" w:rsidRPr="00D047F6" w:rsidRDefault="00873D5C" w:rsidP="00386231">
            <w:pPr>
              <w:pStyle w:val="0TableLeft"/>
              <w:jc w:val="center"/>
            </w:pPr>
            <w:r w:rsidRPr="00D047F6">
              <w:t xml:space="preserve">2 Ka </w:t>
            </w:r>
            <w:proofErr w:type="spellStart"/>
            <w:r w:rsidRPr="00D047F6">
              <w:t>Fwd</w:t>
            </w:r>
            <w:proofErr w:type="spellEnd"/>
            <w:r w:rsidRPr="00D047F6">
              <w:t xml:space="preserve"> and Ret</w:t>
            </w:r>
          </w:p>
          <w:p w14:paraId="6607F871" w14:textId="77777777" w:rsidR="00873D5C" w:rsidRPr="00D047F6" w:rsidRDefault="00873D5C" w:rsidP="00386231">
            <w:pPr>
              <w:pStyle w:val="0TableLeft"/>
              <w:jc w:val="center"/>
            </w:pPr>
            <w:r w:rsidRPr="00D047F6">
              <w:t xml:space="preserve">2 S </w:t>
            </w:r>
            <w:proofErr w:type="spellStart"/>
            <w:r w:rsidRPr="00D047F6">
              <w:t>Fwd</w:t>
            </w:r>
            <w:proofErr w:type="spellEnd"/>
            <w:r w:rsidRPr="00D047F6">
              <w:t xml:space="preserve"> and Ret</w:t>
            </w:r>
          </w:p>
          <w:p w14:paraId="5AD2E6BC" w14:textId="77777777" w:rsidR="00873D5C" w:rsidRPr="00D047F6" w:rsidRDefault="00873D5C" w:rsidP="00386231">
            <w:pPr>
              <w:pStyle w:val="0TableLeft"/>
              <w:jc w:val="center"/>
            </w:pPr>
            <w:r w:rsidRPr="00D047F6">
              <w:t xml:space="preserve">1 X </w:t>
            </w:r>
            <w:proofErr w:type="spellStart"/>
            <w:r w:rsidRPr="00D047F6">
              <w:t>Fwd</w:t>
            </w:r>
            <w:proofErr w:type="spellEnd"/>
            <w:r w:rsidRPr="00D047F6">
              <w:t xml:space="preserve"> and Ret</w:t>
            </w:r>
          </w:p>
          <w:p w14:paraId="67EA9269" w14:textId="77777777" w:rsidR="00873D5C" w:rsidRPr="00D047F6" w:rsidRDefault="00873D5C" w:rsidP="00386231">
            <w:pPr>
              <w:pStyle w:val="0TableLeft"/>
              <w:jc w:val="center"/>
            </w:pPr>
            <w:r w:rsidRPr="00D047F6">
              <w:t>AFS/LANS</w:t>
            </w:r>
          </w:p>
        </w:tc>
        <w:tc>
          <w:tcPr>
            <w:tcW w:w="1608" w:type="dxa"/>
            <w:vAlign w:val="center"/>
          </w:tcPr>
          <w:p w14:paraId="2CFFB75D" w14:textId="77777777" w:rsidR="00873D5C" w:rsidRPr="00D047F6" w:rsidRDefault="00873D5C" w:rsidP="00386231">
            <w:pPr>
              <w:pStyle w:val="0TableLeft"/>
              <w:jc w:val="center"/>
            </w:pPr>
            <w:r w:rsidRPr="00D047F6">
              <w:t xml:space="preserve">2 Ka </w:t>
            </w:r>
            <w:proofErr w:type="spellStart"/>
            <w:r w:rsidRPr="00D047F6">
              <w:t>Fwd</w:t>
            </w:r>
            <w:proofErr w:type="spellEnd"/>
            <w:r w:rsidRPr="00D047F6">
              <w:t xml:space="preserve"> and Ret</w:t>
            </w:r>
          </w:p>
          <w:p w14:paraId="692A2FDE" w14:textId="77777777" w:rsidR="00873D5C" w:rsidRPr="00D047F6" w:rsidRDefault="00873D5C" w:rsidP="00386231">
            <w:pPr>
              <w:pStyle w:val="0TableLeft"/>
              <w:jc w:val="center"/>
            </w:pPr>
            <w:r w:rsidRPr="00D047F6">
              <w:t xml:space="preserve">2 S </w:t>
            </w:r>
            <w:proofErr w:type="spellStart"/>
            <w:r w:rsidRPr="00D047F6">
              <w:t>Fwd</w:t>
            </w:r>
            <w:proofErr w:type="spellEnd"/>
            <w:r w:rsidRPr="00D047F6">
              <w:t xml:space="preserve"> and Ret</w:t>
            </w:r>
          </w:p>
          <w:p w14:paraId="127B43A0" w14:textId="77777777" w:rsidR="00873D5C" w:rsidRPr="00D047F6" w:rsidRDefault="00873D5C" w:rsidP="00386231">
            <w:pPr>
              <w:pStyle w:val="0TableLeft"/>
              <w:jc w:val="center"/>
            </w:pPr>
            <w:r w:rsidRPr="00D047F6">
              <w:t xml:space="preserve">1 X </w:t>
            </w:r>
            <w:proofErr w:type="spellStart"/>
            <w:r w:rsidRPr="00D047F6">
              <w:t>Fwd</w:t>
            </w:r>
            <w:proofErr w:type="spellEnd"/>
            <w:r w:rsidRPr="00D047F6">
              <w:t xml:space="preserve"> and Ret</w:t>
            </w:r>
          </w:p>
          <w:p w14:paraId="1DDDFACA" w14:textId="77777777" w:rsidR="00873D5C" w:rsidRPr="00D047F6" w:rsidRDefault="00873D5C" w:rsidP="00386231">
            <w:pPr>
              <w:pStyle w:val="0TableLeft"/>
              <w:jc w:val="center"/>
            </w:pPr>
            <w:r w:rsidRPr="00D047F6">
              <w:t>AFS/LANS</w:t>
            </w:r>
          </w:p>
        </w:tc>
        <w:tc>
          <w:tcPr>
            <w:tcW w:w="1572" w:type="dxa"/>
          </w:tcPr>
          <w:p w14:paraId="0941C2E7" w14:textId="77777777" w:rsidR="00873D5C" w:rsidRPr="00D047F6" w:rsidRDefault="00873D5C" w:rsidP="00386231">
            <w:pPr>
              <w:pStyle w:val="0TableLeft"/>
              <w:jc w:val="center"/>
            </w:pPr>
          </w:p>
        </w:tc>
      </w:tr>
      <w:tr w:rsidR="00873D5C" w:rsidRPr="00D047F6" w14:paraId="1AA2470E" w14:textId="3ADEC314" w:rsidTr="00601A04">
        <w:trPr>
          <w:cnfStyle w:val="000000010000" w:firstRow="0" w:lastRow="0" w:firstColumn="0" w:lastColumn="0" w:oddVBand="0" w:evenVBand="0" w:oddHBand="0" w:evenHBand="1" w:firstRowFirstColumn="0" w:firstRowLastColumn="0" w:lastRowFirstColumn="0" w:lastRowLastColumn="0"/>
          <w:jc w:val="center"/>
        </w:trPr>
        <w:tc>
          <w:tcPr>
            <w:tcW w:w="1957" w:type="dxa"/>
            <w:vAlign w:val="center"/>
          </w:tcPr>
          <w:p w14:paraId="3569AC1D" w14:textId="77777777" w:rsidR="00873D5C" w:rsidRPr="00D047F6" w:rsidRDefault="00873D5C" w:rsidP="00386231">
            <w:pPr>
              <w:pStyle w:val="0TableLeft"/>
              <w:jc w:val="center"/>
            </w:pPr>
            <w:r w:rsidRPr="00D047F6">
              <w:t>Other similar or relevant characteristics</w:t>
            </w:r>
          </w:p>
        </w:tc>
        <w:tc>
          <w:tcPr>
            <w:tcW w:w="1607" w:type="dxa"/>
            <w:vAlign w:val="center"/>
          </w:tcPr>
          <w:p w14:paraId="31FC980C" w14:textId="77777777" w:rsidR="00873D5C" w:rsidRPr="00D047F6" w:rsidRDefault="00873D5C" w:rsidP="00386231">
            <w:pPr>
              <w:pStyle w:val="0TableLeft"/>
              <w:jc w:val="center"/>
            </w:pPr>
            <w:r w:rsidRPr="00D047F6">
              <w:t>Network Precursor</w:t>
            </w:r>
          </w:p>
        </w:tc>
        <w:tc>
          <w:tcPr>
            <w:tcW w:w="8040" w:type="dxa"/>
            <w:gridSpan w:val="5"/>
            <w:vAlign w:val="center"/>
          </w:tcPr>
          <w:p w14:paraId="4261D116" w14:textId="77777777" w:rsidR="00873D5C" w:rsidRPr="00D047F6" w:rsidRDefault="00873D5C" w:rsidP="00386231">
            <w:pPr>
              <w:pStyle w:val="0TableLeft"/>
              <w:jc w:val="center"/>
            </w:pPr>
            <w:r w:rsidRPr="00D047F6">
              <w:t>Full LCRNS Compliance and Capability</w:t>
            </w:r>
          </w:p>
          <w:p w14:paraId="3D9F12D5" w14:textId="77777777" w:rsidR="00873D5C" w:rsidRPr="00D047F6" w:rsidRDefault="00873D5C" w:rsidP="00386231">
            <w:pPr>
              <w:pStyle w:val="0TableLeft"/>
              <w:jc w:val="center"/>
            </w:pPr>
            <w:r w:rsidRPr="00D047F6">
              <w:t>Additional simultaneous S-Band Links when using S-Band Multiple Access</w:t>
            </w:r>
          </w:p>
        </w:tc>
        <w:tc>
          <w:tcPr>
            <w:tcW w:w="1572" w:type="dxa"/>
          </w:tcPr>
          <w:p w14:paraId="0EEEA1B9" w14:textId="77777777" w:rsidR="00873D5C" w:rsidRPr="00D047F6" w:rsidRDefault="00873D5C" w:rsidP="00386231">
            <w:pPr>
              <w:pStyle w:val="0TableLeft"/>
              <w:jc w:val="center"/>
            </w:pPr>
          </w:p>
        </w:tc>
      </w:tr>
      <w:tr w:rsidR="00873D5C" w:rsidRPr="00D047F6" w14:paraId="528E01C2" w14:textId="73BEE64F" w:rsidTr="00601A04">
        <w:trPr>
          <w:cnfStyle w:val="010000000000" w:firstRow="0" w:lastRow="1" w:firstColumn="0" w:lastColumn="0" w:oddVBand="0" w:evenVBand="0" w:oddHBand="0" w:evenHBand="0" w:firstRowFirstColumn="0" w:firstRowLastColumn="0" w:lastRowFirstColumn="0" w:lastRowLastColumn="0"/>
          <w:jc w:val="center"/>
        </w:trPr>
        <w:tc>
          <w:tcPr>
            <w:tcW w:w="11604" w:type="dxa"/>
            <w:gridSpan w:val="7"/>
            <w:vAlign w:val="center"/>
          </w:tcPr>
          <w:p w14:paraId="5E8C971C" w14:textId="77777777" w:rsidR="00873D5C" w:rsidRPr="00D047F6" w:rsidRDefault="00873D5C" w:rsidP="00386231">
            <w:pPr>
              <w:pStyle w:val="Caption-Figure"/>
              <w:rPr>
                <w:bCs/>
              </w:rPr>
            </w:pPr>
            <w:r w:rsidRPr="00D047F6">
              <w:rPr>
                <w:bCs/>
              </w:rPr>
              <w:t xml:space="preserve">Table 2.9-1. </w:t>
            </w:r>
            <w:r w:rsidRPr="00D047F6">
              <w:rPr>
                <w:bCs/>
                <w:i w:val="0"/>
                <w:iCs/>
              </w:rPr>
              <w:t>KHON SATELLITE CAPABILITY</w:t>
            </w:r>
            <w:r w:rsidRPr="00D047F6">
              <w:t xml:space="preserve"> </w:t>
            </w:r>
            <w:r w:rsidRPr="00D047F6">
              <w:rPr>
                <w:b w:val="0"/>
                <w:bCs/>
              </w:rPr>
              <w:t>– IM Data Relay Satellites provide geographical diversity around the Moon that aligns with NSNS incremental phasing requirements</w:t>
            </w:r>
          </w:p>
        </w:tc>
        <w:tc>
          <w:tcPr>
            <w:tcW w:w="1572" w:type="dxa"/>
          </w:tcPr>
          <w:p w14:paraId="7D965610" w14:textId="77777777" w:rsidR="00873D5C" w:rsidRPr="00D047F6" w:rsidRDefault="00873D5C" w:rsidP="00386231">
            <w:pPr>
              <w:pStyle w:val="Caption-Figure"/>
              <w:rPr>
                <w:bCs/>
              </w:rPr>
            </w:pPr>
          </w:p>
        </w:tc>
      </w:tr>
    </w:tbl>
    <w:p w14:paraId="13FA4F5D" w14:textId="1402D0E4" w:rsidR="00873D5C" w:rsidRDefault="00873D5C" w:rsidP="00996078"/>
    <w:p w14:paraId="6B680BE0" w14:textId="77777777" w:rsidR="00873D5C" w:rsidRDefault="00873D5C" w:rsidP="00996078">
      <w:pPr>
        <w:sectPr w:rsidR="00873D5C" w:rsidSect="00873D5C">
          <w:pgSz w:w="15840" w:h="12240" w:orient="landscape"/>
          <w:pgMar w:top="1440" w:right="1440" w:bottom="1440" w:left="1440" w:header="720" w:footer="720" w:gutter="0"/>
          <w:cols w:space="720"/>
          <w:docGrid w:linePitch="360"/>
        </w:sectPr>
      </w:pPr>
    </w:p>
    <w:p w14:paraId="4B147858" w14:textId="6B59B455" w:rsidR="00873D5C" w:rsidRDefault="00873D5C" w:rsidP="00996078"/>
    <w:p w14:paraId="3625FCDE" w14:textId="77777777" w:rsidR="00873D5C" w:rsidRDefault="00873D5C">
      <w:r>
        <w:br w:type="page"/>
      </w:r>
    </w:p>
    <w:p w14:paraId="1516BA65" w14:textId="77777777" w:rsidR="00873D5C" w:rsidRDefault="00873D5C" w:rsidP="00996078"/>
    <w:p w14:paraId="7FBB8874" w14:textId="77777777" w:rsidR="00C14EF9" w:rsidRPr="00D9523E" w:rsidRDefault="00C14EF9" w:rsidP="00C14EF9">
      <w:pPr>
        <w:rPr>
          <w:rFonts w:ascii="Times New Roman" w:hAnsi="Times New Roman" w:cs="Times New Roman"/>
          <w:sz w:val="24"/>
          <w:szCs w:val="24"/>
        </w:rPr>
      </w:pPr>
    </w:p>
    <w:p w14:paraId="181ECEF2" w14:textId="77777777" w:rsidR="00C14EF9" w:rsidRPr="00D9523E" w:rsidRDefault="00C14EF9">
      <w:pPr>
        <w:rPr>
          <w:rFonts w:ascii="Times New Roman" w:hAnsi="Times New Roman" w:cs="Times New Roman"/>
          <w:sz w:val="24"/>
          <w:szCs w:val="24"/>
        </w:rPr>
      </w:pPr>
    </w:p>
    <w:p w14:paraId="5C32924B" w14:textId="77777777" w:rsidR="00C14EF9" w:rsidRPr="00D9523E" w:rsidRDefault="00C14EF9">
      <w:pPr>
        <w:rPr>
          <w:rFonts w:ascii="Times New Roman" w:hAnsi="Times New Roman" w:cs="Times New Roman"/>
          <w:sz w:val="24"/>
          <w:szCs w:val="24"/>
        </w:rPr>
      </w:pPr>
    </w:p>
    <w:sectPr w:rsidR="00C14EF9" w:rsidRPr="00D9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5C95"/>
    <w:rsid w:val="00003ABB"/>
    <w:rsid w:val="0008766E"/>
    <w:rsid w:val="00110858"/>
    <w:rsid w:val="00140575"/>
    <w:rsid w:val="001472A3"/>
    <w:rsid w:val="00154D88"/>
    <w:rsid w:val="00185675"/>
    <w:rsid w:val="001A087E"/>
    <w:rsid w:val="001C39EF"/>
    <w:rsid w:val="001C4C55"/>
    <w:rsid w:val="001C5FF5"/>
    <w:rsid w:val="001D714C"/>
    <w:rsid w:val="002727A2"/>
    <w:rsid w:val="002863C8"/>
    <w:rsid w:val="002E1A5F"/>
    <w:rsid w:val="002F3745"/>
    <w:rsid w:val="00325D36"/>
    <w:rsid w:val="003504A3"/>
    <w:rsid w:val="00364AAA"/>
    <w:rsid w:val="003A177B"/>
    <w:rsid w:val="003A7726"/>
    <w:rsid w:val="003A7E59"/>
    <w:rsid w:val="003D2A2E"/>
    <w:rsid w:val="003F071F"/>
    <w:rsid w:val="004B40B9"/>
    <w:rsid w:val="004D2EC7"/>
    <w:rsid w:val="004D68C4"/>
    <w:rsid w:val="004D7CAD"/>
    <w:rsid w:val="005237F2"/>
    <w:rsid w:val="0055099E"/>
    <w:rsid w:val="005C06E9"/>
    <w:rsid w:val="005C0C16"/>
    <w:rsid w:val="005C3E9E"/>
    <w:rsid w:val="00601A04"/>
    <w:rsid w:val="006048C6"/>
    <w:rsid w:val="00622AE4"/>
    <w:rsid w:val="006302EF"/>
    <w:rsid w:val="00636E76"/>
    <w:rsid w:val="00670D21"/>
    <w:rsid w:val="006F315C"/>
    <w:rsid w:val="007D70D9"/>
    <w:rsid w:val="00873D5C"/>
    <w:rsid w:val="0088330B"/>
    <w:rsid w:val="008A5C95"/>
    <w:rsid w:val="008B2003"/>
    <w:rsid w:val="008B7DC9"/>
    <w:rsid w:val="009143F8"/>
    <w:rsid w:val="009219E7"/>
    <w:rsid w:val="00996078"/>
    <w:rsid w:val="00A01B8F"/>
    <w:rsid w:val="00A67764"/>
    <w:rsid w:val="00AB75C3"/>
    <w:rsid w:val="00B47353"/>
    <w:rsid w:val="00B51D5E"/>
    <w:rsid w:val="00B769D7"/>
    <w:rsid w:val="00B76A68"/>
    <w:rsid w:val="00C0563A"/>
    <w:rsid w:val="00C14EF9"/>
    <w:rsid w:val="00C30329"/>
    <w:rsid w:val="00CD45FD"/>
    <w:rsid w:val="00CD55E7"/>
    <w:rsid w:val="00D9523E"/>
    <w:rsid w:val="00E35165"/>
    <w:rsid w:val="00E85F7C"/>
    <w:rsid w:val="00F154D0"/>
    <w:rsid w:val="00F4039F"/>
    <w:rsid w:val="00F7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72D"/>
  <w15:docId w15:val="{6D3D50FD-3E8A-4C33-9497-C93B4684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ableHeader">
    <w:name w:val="0 Table Header"/>
    <w:basedOn w:val="Normal"/>
    <w:next w:val="Normal"/>
    <w:qFormat/>
    <w:rsid w:val="002F3745"/>
    <w:pPr>
      <w:spacing w:before="20" w:after="20" w:line="240" w:lineRule="auto"/>
      <w:jc w:val="center"/>
    </w:pPr>
    <w:rPr>
      <w:rFonts w:ascii="Times New Roman" w:eastAsia="Times New Roman" w:hAnsi="Times New Roman" w:cs="Arial"/>
      <w:b/>
      <w:i/>
      <w:color w:val="FFFFFF"/>
      <w:kern w:val="0"/>
      <w:sz w:val="20"/>
      <w:szCs w:val="18"/>
      <w14:ligatures w14:val="none"/>
    </w:rPr>
  </w:style>
  <w:style w:type="table" w:customStyle="1" w:styleId="PRISM-Table">
    <w:name w:val="PRISM - Table"/>
    <w:basedOn w:val="TableNormal"/>
    <w:uiPriority w:val="99"/>
    <w:qFormat/>
    <w:rsid w:val="002F3745"/>
    <w:pPr>
      <w:spacing w:after="0" w:line="240" w:lineRule="auto"/>
    </w:pPr>
    <w:rPr>
      <w:rFonts w:ascii="Times New Roman" w:eastAsia="Times New Roman" w:hAnsi="Times New Roman" w:cs="Times New Roman"/>
      <w:kern w:val="0"/>
      <w:sz w:val="24"/>
      <w:szCs w:val="20"/>
      <w14:ligatures w14:val="none"/>
    </w:rPr>
    <w:tblPr>
      <w:tblStyleRowBandSize w:val="1"/>
      <w:tblBorders>
        <w:bottom w:val="single" w:sz="18" w:space="0" w:color="000000" w:themeColor="text1"/>
        <w:insideH w:val="single" w:sz="4" w:space="0" w:color="999999"/>
        <w:insideV w:val="single" w:sz="4" w:space="0" w:color="999999"/>
      </w:tblBorders>
    </w:tblPr>
    <w:tblStylePr w:type="firstRow">
      <w:tblPr/>
      <w:tcPr>
        <w:tcBorders>
          <w:left w:val="single" w:sz="12" w:space="0" w:color="000000" w:themeColor="text1"/>
          <w:bottom w:val="single" w:sz="18" w:space="0" w:color="C3E0F2"/>
          <w:right w:val="single" w:sz="18" w:space="0" w:color="auto"/>
          <w:insideH w:val="single" w:sz="4" w:space="0" w:color="999999"/>
          <w:insideV w:val="single" w:sz="4" w:space="0" w:color="999999"/>
        </w:tcBorders>
        <w:shd w:val="clear" w:color="auto" w:fill="042B4A"/>
      </w:tcPr>
    </w:tblStylePr>
    <w:tblStylePr w:type="lastRow">
      <w:tblPr/>
      <w:tcPr>
        <w:tcBorders>
          <w:top w:val="single" w:sz="18" w:space="0" w:color="auto"/>
          <w:bottom w:val="nil"/>
          <w:insideH w:val="nil"/>
          <w:insideV w:val="nil"/>
        </w:tcBorders>
      </w:tcPr>
    </w:tblStylePr>
    <w:tblStylePr w:type="band1Horz">
      <w:tblPr/>
      <w:tcPr>
        <w:tcBorders>
          <w:left w:val="single" w:sz="12" w:space="0" w:color="000000" w:themeColor="text1"/>
          <w:right w:val="single" w:sz="18" w:space="0" w:color="000000" w:themeColor="text1"/>
        </w:tcBorders>
        <w:shd w:val="clear" w:color="auto" w:fill="FFFFFF" w:themeFill="background1"/>
      </w:tcPr>
    </w:tblStylePr>
    <w:tblStylePr w:type="band2Horz">
      <w:tblPr/>
      <w:tcPr>
        <w:tcBorders>
          <w:left w:val="single" w:sz="12" w:space="0" w:color="000000" w:themeColor="text1"/>
          <w:right w:val="single" w:sz="18" w:space="0" w:color="000000" w:themeColor="text1"/>
        </w:tcBorders>
        <w:shd w:val="clear" w:color="auto" w:fill="CCCCCC"/>
      </w:tcPr>
    </w:tblStylePr>
  </w:style>
  <w:style w:type="paragraph" w:customStyle="1" w:styleId="Caption-Figure">
    <w:name w:val="Caption - Figure"/>
    <w:basedOn w:val="Normal"/>
    <w:next w:val="Normal"/>
    <w:qFormat/>
    <w:rsid w:val="002F3745"/>
    <w:pPr>
      <w:spacing w:before="40" w:after="40" w:line="240" w:lineRule="auto"/>
      <w:jc w:val="center"/>
    </w:pPr>
    <w:rPr>
      <w:rFonts w:ascii="Times New Roman" w:eastAsia="Times New Roman" w:hAnsi="Times New Roman" w:cs="Times New Roman"/>
      <w:b/>
      <w:i/>
      <w:kern w:val="0"/>
      <w:sz w:val="20"/>
      <w:szCs w:val="24"/>
      <w14:ligatures w14:val="none"/>
    </w:rPr>
  </w:style>
  <w:style w:type="paragraph" w:styleId="ListParagraph">
    <w:name w:val="List Paragraph"/>
    <w:basedOn w:val="Normal"/>
    <w:uiPriority w:val="34"/>
    <w:qFormat/>
    <w:rsid w:val="002F3745"/>
    <w:pPr>
      <w:spacing w:after="0" w:line="240" w:lineRule="auto"/>
      <w:ind w:left="720"/>
      <w:contextualSpacing/>
    </w:pPr>
    <w:rPr>
      <w:rFonts w:ascii="Times New Roman" w:hAnsi="Times New Roman" w:cs="Times New Roman"/>
      <w:kern w:val="0"/>
      <w:sz w:val="24"/>
      <w14:ligatures w14:val="none"/>
    </w:rPr>
  </w:style>
  <w:style w:type="paragraph" w:customStyle="1" w:styleId="0TableLeft">
    <w:name w:val="0 Table Left"/>
    <w:basedOn w:val="Normal"/>
    <w:rsid w:val="00873D5C"/>
    <w:pPr>
      <w:spacing w:after="20" w:line="240" w:lineRule="auto"/>
    </w:pPr>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70034">
      <w:bodyDiv w:val="1"/>
      <w:marLeft w:val="0"/>
      <w:marRight w:val="0"/>
      <w:marTop w:val="0"/>
      <w:marBottom w:val="0"/>
      <w:divBdr>
        <w:top w:val="none" w:sz="0" w:space="0" w:color="auto"/>
        <w:left w:val="none" w:sz="0" w:space="0" w:color="auto"/>
        <w:bottom w:val="none" w:sz="0" w:space="0" w:color="auto"/>
        <w:right w:val="none" w:sz="0" w:space="0" w:color="auto"/>
      </w:divBdr>
    </w:div>
    <w:div w:id="913508142">
      <w:bodyDiv w:val="1"/>
      <w:marLeft w:val="0"/>
      <w:marRight w:val="0"/>
      <w:marTop w:val="0"/>
      <w:marBottom w:val="0"/>
      <w:divBdr>
        <w:top w:val="none" w:sz="0" w:space="0" w:color="auto"/>
        <w:left w:val="none" w:sz="0" w:space="0" w:color="auto"/>
        <w:bottom w:val="none" w:sz="0" w:space="0" w:color="auto"/>
        <w:right w:val="none" w:sz="0" w:space="0" w:color="auto"/>
      </w:divBdr>
    </w:div>
    <w:div w:id="1042753095">
      <w:bodyDiv w:val="1"/>
      <w:marLeft w:val="0"/>
      <w:marRight w:val="0"/>
      <w:marTop w:val="0"/>
      <w:marBottom w:val="0"/>
      <w:divBdr>
        <w:top w:val="none" w:sz="0" w:space="0" w:color="auto"/>
        <w:left w:val="none" w:sz="0" w:space="0" w:color="auto"/>
        <w:bottom w:val="none" w:sz="0" w:space="0" w:color="auto"/>
        <w:right w:val="none" w:sz="0" w:space="0" w:color="auto"/>
      </w:divBdr>
    </w:div>
    <w:div w:id="1047297602">
      <w:bodyDiv w:val="1"/>
      <w:marLeft w:val="0"/>
      <w:marRight w:val="0"/>
      <w:marTop w:val="0"/>
      <w:marBottom w:val="0"/>
      <w:divBdr>
        <w:top w:val="none" w:sz="0" w:space="0" w:color="auto"/>
        <w:left w:val="none" w:sz="0" w:space="0" w:color="auto"/>
        <w:bottom w:val="none" w:sz="0" w:space="0" w:color="auto"/>
        <w:right w:val="none" w:sz="0" w:space="0" w:color="auto"/>
      </w:divBdr>
    </w:div>
    <w:div w:id="1732117705">
      <w:bodyDiv w:val="1"/>
      <w:marLeft w:val="0"/>
      <w:marRight w:val="0"/>
      <w:marTop w:val="0"/>
      <w:marBottom w:val="0"/>
      <w:divBdr>
        <w:top w:val="none" w:sz="0" w:space="0" w:color="auto"/>
        <w:left w:val="none" w:sz="0" w:space="0" w:color="auto"/>
        <w:bottom w:val="none" w:sz="0" w:space="0" w:color="auto"/>
        <w:right w:val="none" w:sz="0" w:space="0" w:color="auto"/>
      </w:divBdr>
    </w:div>
    <w:div w:id="1844079363">
      <w:bodyDiv w:val="1"/>
      <w:marLeft w:val="0"/>
      <w:marRight w:val="0"/>
      <w:marTop w:val="0"/>
      <w:marBottom w:val="0"/>
      <w:divBdr>
        <w:top w:val="none" w:sz="0" w:space="0" w:color="auto"/>
        <w:left w:val="none" w:sz="0" w:space="0" w:color="auto"/>
        <w:bottom w:val="none" w:sz="0" w:space="0" w:color="auto"/>
        <w:right w:val="none" w:sz="0" w:space="0" w:color="auto"/>
      </w:divBdr>
    </w:div>
    <w:div w:id="193724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Soloff</dc:creator>
  <cp:keywords/>
  <dc:description/>
  <cp:lastModifiedBy>Shaun Stewart</cp:lastModifiedBy>
  <cp:revision>2</cp:revision>
  <dcterms:created xsi:type="dcterms:W3CDTF">2024-03-22T12:51:00Z</dcterms:created>
  <dcterms:modified xsi:type="dcterms:W3CDTF">2024-03-22T12:51:00Z</dcterms:modified>
</cp:coreProperties>
</file>