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Example: OVA immunisation and spleen staining</w:t>
      </w:r>
    </w:p>
    <w:p>
      <w:r>
        <w:t xml:space="preserve">Made-up protocol for trying seal-converter. Not a real lab procedure.</w:t>
      </w:r>
    </w:p>
    <w:p>
      <w:pPr>
        <w:pStyle w:val="Heading1"/>
      </w:pPr>
      <w:r>
        <w:t xml:space="preserve">Before experiments</w:t>
      </w:r>
    </w:p>
    <w:p>
      <w:pPr>
        <w:pStyle w:val="Heading2"/>
      </w:pPr>
      <w:r>
        <w:t xml:space="preserve">Buffers</w:t>
      </w:r>
    </w:p>
    <w:tbl>
      <w:tblPr>
        <w:tblStyle w:val="TableGrid"/>
      </w:tblPr>
      <w:tr>
        <w:tc>
          <w:p>
            <w:r>
              <w:rPr>
                <w:b/>
              </w:rPr>
              <w:t xml:space="preserve">Buffer</w:t>
            </w:r>
          </w:p>
        </w:tc>
        <w:tc>
          <w:p>
            <w:r>
              <w:rPr>
                <w:b/>
              </w:rPr>
              <w:t xml:space="preserve">Composition</w:t>
            </w:r>
          </w:p>
        </w:tc>
      </w:tr>
      <w:tr>
        <w:tc>
          <w:p>
            <w:r>
              <w:t xml:space="preserve">FACS buffer</w:t>
            </w:r>
          </w:p>
        </w:tc>
        <w:tc>
          <w:p>
            <w:r>
              <w:t xml:space="preserve">PBS + 2 % FBS + 2 mM EDTA</w:t>
            </w:r>
          </w:p>
        </w:tc>
      </w:tr>
      <w:tr>
        <w:tc>
          <w:p>
            <w:r>
              <w:t xml:space="preserve">Red cell lysis</w:t>
            </w:r>
          </w:p>
        </w:tc>
        <w:tc>
          <w:p>
            <w:r>
              <w:t xml:space="preserve">ACK, 1 mL per spleen</w:t>
            </w:r>
          </w:p>
        </w:tc>
      </w:tr>
    </w:tbl>
    <w:p>
      <w:pPr>
        <w:pStyle w:val="Heading2"/>
      </w:pPr>
      <w:r>
        <w:t xml:space="preserve">Antigen preparation</w:t>
      </w:r>
    </w:p>
    <w:p>
      <w:pPr>
        <w:numPr>
          <w:ilvl w:val="0"/>
          <w:numId w:val="1"/>
        </w:numPr>
      </w:pPr>
      <w:r>
        <w:t xml:space="preserve">Dilute </w:t>
      </w:r>
      <w:r>
        <w:rPr>
          <w:b/>
        </w:rPr>
        <w:t xml:space="preserve">OVA</w:t>
      </w:r>
      <w:r>
        <w:t xml:space="preserve"> to 1 mg/mL in sterile PBS.</w:t>
      </w:r>
    </w:p>
    <w:p>
      <w:pPr>
        <w:numPr>
          <w:ilvl w:val="0"/>
          <w:numId w:val="1"/>
        </w:numPr>
      </w:pPr>
      <w:r>
        <w:t xml:space="preserve">Mix 1:1 with </w:t>
      </w:r>
      <w:r>
        <w:rPr>
          <w:b/>
        </w:rPr>
        <w:t xml:space="preserve">alum</w:t>
      </w:r>
      <w:r>
        <w:t xml:space="preserve"> for 30 min at RT </w:t>
      </w:r>
      <w:r>
        <w:rPr>
          <w:i/>
        </w:rPr>
        <w:t xml:space="preserve">(vortex every 10 min)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Keep on ice — use within 2 h.</w:t>
      </w:r>
    </w:p>
    <w:p>
      <w:pPr>
        <w:pStyle w:val="Heading1"/>
      </w:pPr>
      <w:r>
        <w:t xml:space="preserve">Day 0</w:t>
      </w:r>
    </w:p>
    <w:p>
      <w:pPr>
        <w:pStyle w:val="Heading2"/>
      </w:pPr>
      <w:r>
        <w:t xml:space="preserve">Immunisation</w:t>
      </w:r>
    </w:p>
    <w:p>
      <w:r>
        <w:t xml:space="preserve">1. Inject 50 µL subcutaneously in each hock, 2 times, 10 min apart.</w:t>
      </w:r>
    </w:p>
    <w:p>
      <w:r>
        <w:t xml:space="preserve">2. Check the mice after 1 h.</w:t>
      </w:r>
    </w:p>
    <w:p>
      <w:pPr>
        <w:pStyle w:val="Heading1"/>
      </w:pPr>
      <w:r>
        <w:t xml:space="preserve">Day 7</w:t>
      </w:r>
    </w:p>
    <w:p>
      <w:pPr>
        <w:pStyle w:val="Heading2"/>
      </w:pPr>
      <w:r>
        <w:t xml:space="preserve">Spleen staining</w:t>
      </w:r>
    </w:p>
    <w:p>
      <w:pPr>
        <w:numPr>
          <w:ilvl w:val="0"/>
          <w:numId w:val="1"/>
        </w:numPr>
      </w:pPr>
      <w:r>
        <w:t xml:space="preserve">Plate 2 × 10</w:t>
      </w:r>
      <w:r>
        <w:rPr>
          <w:vertAlign w:val="superscript"/>
        </w:rPr>
        <w:t xml:space="preserve">6</w:t>
      </w:r>
      <w:r>
        <w:t xml:space="preserve"> cells per well.</w:t>
      </w:r>
    </w:p>
    <w:p>
      <w:pPr>
        <w:numPr>
          <w:ilvl w:val="0"/>
          <w:numId w:val="1"/>
        </w:numPr>
      </w:pPr>
      <w:r>
        <w:t xml:space="preserve">Stain with anti-CD45 BV421 at 1:200 for 20 min at 4 °C.</w:t>
      </w:r>
    </w:p>
    <w:p>
      <w:pPr>
        <w:numPr>
          <w:ilvl w:val="0"/>
          <w:numId w:val="1"/>
        </w:numPr>
      </w:pPr>
      <w:r>
        <w:t xml:space="preserve">Spin at 400 x g for 5 min and wash twice with 200 µL </w:t>
      </w:r>
      <w:r>
        <w:rPr>
          <w:b/>
        </w:rPr>
        <w:t xml:space="preserve">FACS buffer</w:t>
      </w:r>
      <w:r>
        <w:t xml:space="preserve">.</w:t>
      </w:r>
    </w:p>
    <w:p>
      <w:r>
        <w:t xml:space="preserve">Gating strategy used on the day:</w:t>
      </w:r>
    </w:p>
    <w:p>
      <w:r>
        <w:drawing>
          <wp:inline distT="0" distB="0" distL="0" distR="0">
            <wp:extent cx="1080000" cy="720000"/>
            <wp:docPr id="1" name="phot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sz w:val="40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image" Target="media/photo.png"/>
</Relationships>
</file>