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KAR</w:t>
      </w:r>
    </w:p>
    <w:p>
      <w:pPr>
        <w:pStyle w:val="DocTitle"/>
      </w:pPr>
      <w:r>
        <w:t>Mission Cost Analysis Directorate</w:t>
      </w:r>
    </w:p>
    <w:p>
      <w:pPr>
        <w:pStyle w:val="DocTitle"/>
      </w:pPr>
      <w:r>
        <w:t>Cost Analysis Data Requirements</w:t>
      </w:r>
    </w:p>
    <w:p>
      <w:pPr>
        <w:pStyle w:val="DocTitle"/>
      </w:pPr>
      <w:r>
        <w:t>PART A</w:t>
      </w:r>
    </w:p>
    <w:p>
      <w:pPr>
        <w:pStyle w:val="DocTitle"/>
      </w:pPr>
      <w:r>
        <w:t>Keralis Binary Interior Survey</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Keralis Binary Interior Survey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one carrier and two beacons. Its operational environment is Reference binary target on preliminary a = 1.24 AU, e = 0.18, i = 3.2° orbit; trajectory is an estimating reference. The nominal duration is 20-month cruise; 14-month survey; 36 months launch-to-closeout. The flight or installed unit is sized at 340 kg and uses 630 W power generation or host allocation as stated in the subsystem budget.</w:t>
      </w:r>
    </w:p>
    <w:p>
      <w:pPr/>
      <w:r>
        <w:t>The design carries low-frequency bistatic radar, laser altimeter and optical navigation camera and dual surface beacons.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KAR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Keralis Binary Interior Survey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Determine bulk density to ±8%, characterize the primary interior to 30 m radial cells where geometry permits, and map the binary mutual orbit to ±5 m range accuracy.</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20-month cruise; 14-month survey; 36 months launch-to-closeout.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One carrier and two beacons; 1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Reference binary target on preliminary a = 1.24 AU, e = 0.18, i = 3.2° orbit; trajectory is an estimating reference.</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20-month cruise; 14-month survey; 36 months launch-to-closeout.</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≤340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≤64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630 W at specified reference; nominal 320 W and peak 500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Determine bulk density to ±8%, characterize the primary interior to 30 m radial cells where geometry permits, and map the binary mutual orbit to ±5 m range accuracy.</w:t>
            </w:r>
          </w:p>
        </w:tc>
        <w:tc>
          <w:tcPr>
            <w:tcW w:type="dxa" w:w="3120"/>
            <w:vAlign w:val="center"/>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18 kg / 120 W; 15–30 MHz stepped radar with 2 MHz useful bandwidth; ~40 m equivalent range cell in material of dielectric constant 4, subject to inversion and geometry.</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21 kg / 65 W; 5 cm ranging precision at 5 km and ≤0.5 m/pixel optical mapping at 3 km under illuminated geometry.</w:t>
            </w:r>
          </w:p>
        </w:tc>
        <w:tc>
          <w:tcPr>
            <w:tcW w:type="dxa" w:w="3120"/>
            <w:vAlign w:val="center"/>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Two 9 kg beacons; 2 W transmitters and 3-year primary-cell capacity with duty cycled operation; survivability after deployment is a mission risk.</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Two star trackers, four reaction wheels, six Sun sensors and optical navigation. Radar baseline pointing ≤0.15°; imaging pointing knowledge ≤0.03° (95th percentile).</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2.0 GB/day during survey</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Aderven Exploration Authority owns system requirements, procurement, risk and mission acceptance.</w:t>
      </w:r>
    </w:p>
    <w:p>
      <w:pPr>
        <w:pStyle w:val="BodyText"/>
      </w:pPr>
      <w:r>
        <w:t>Qevrion Flight Systems owns the integrated unit, interfaces and system-level verification.</w:t>
      </w:r>
    </w:p>
    <w:p>
      <w:pPr>
        <w:pStyle w:val="BodyText"/>
      </w:pPr>
      <w:r>
        <w:t>Mavellis Instrument Foundry delivers the measurement equipment and calibration evidence.</w:t>
      </w:r>
    </w:p>
    <w:p>
      <w:pPr>
        <w:pStyle w:val="BodyText"/>
      </w:pPr>
      <w:r>
        <w:t>Orthen Launch Cooperative delivers the unit to its destination and verifies interface conditions.</w:t>
      </w:r>
    </w:p>
    <w:p>
      <w:pPr>
        <w:pStyle w:val="BodyText"/>
      </w:pPr>
      <w:r>
        <w:t>Luroven Deep Space Network supplies receiving, networking and ground-service capacity.</w:t>
      </w:r>
    </w:p>
    <w:p>
      <w:pPr>
        <w:pStyle w:val="BodyText"/>
      </w:pPr>
      <w:r>
        <w:t>Telvaran Geophysics Institute produces, validates and archives the calibrated mission products.</w:t>
      </w:r>
    </w:p>
    <w:p>
      <w:pPr>
        <w:pStyle w:val="Heading1"/>
      </w:pPr>
      <w:r>
        <w:t>Space Segment Description</w:t>
      </w:r>
    </w:p>
    <w:p>
      <w:pPr/>
      <w:r>
        <w:t>The reference configuration is one carrier and two beacons. Its operational environment is Reference binary target on preliminary a = 1.24 AU, e = 0.18, i = 3.2° orbit; trajectory is an estimating reference. The nominal duration is 20-month cruise; 14-month survey; 36 months launch-to-closeout. The flight or installed unit is sized at 340 kg and uses 630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Reference binary target on preliminary a = 1.24 AU, e = 0.18, i = 3.2° orbit; trajectory is an estimating reference.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340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196 kg dry bus, 64 kg hosted payload, 80 kg propellant = 340 kg carrier</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64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630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320 W / 500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128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550 m/s maneuver requirement; 80 kg monopropellant at 230 s yields ~603 m/s ideal at 340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C3 ≥8 km²/s²; 340 kg carrier including its two beacons + 90 kg adaptor/dispenser = 430 kg; ≥550 kg service capability</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20-month cruise; 14-month survey; 36 months launch-to-closeout.</w:t>
            </w:r>
          </w:p>
        </w:tc>
      </w:tr>
    </w:tbl>
    <w:p>
      <w:pPr>
        <w:pStyle w:val="Heading3"/>
      </w:pPr>
      <w:r>
        <w:t>Structural Subsystem</w:t>
      </w:r>
    </w:p>
    <w:p>
      <w:pPr/>
      <w:r>
        <w:t>The structural design is sized for 340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630 W generation or host provision, 320 W operating demand, 500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630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320 W nominal / 500 W peak</w:t>
            </w:r>
          </w:p>
        </w:tc>
      </w:tr>
    </w:tbl>
    <w:p>
      <w:pPr>
        <w:pStyle w:val="Heading3"/>
      </w:pPr>
      <w:r>
        <w:t>Command and Data Handling</w:t>
      </w:r>
    </w:p>
    <w:p>
      <w:pPr/>
      <w:r>
        <w:t>A redundant or monitored controller executes time-tagged operations, instrument interlocks, fault detection and protected storage. The local allocation is 128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128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2.0 GB/day during survey planning case against memory capacity, contact availability and the required processing latency. Raw records are retained until integrity checks and ingest acknowledgement complete.</w:t>
      </w:r>
    </w:p>
    <w:p>
      <w:pPr>
        <w:pStyle w:val="Heading3"/>
      </w:pPr>
      <w:r>
        <w:t>Thermal Subsystem</w:t>
      </w:r>
    </w:p>
    <w:p>
      <w:pPr/>
      <w:r>
        <w:t>0.82–1.46 AU irradiance envelope; avionics 0–40 °C and radar front-end −10–45 °C; 0.8 m² radiator planning area.</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500 W peak electrical input, the nominal 320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Two star trackers, four reaction wheels, six Sun sensors and optical navigation. Radar baseline pointing ≤0.15°; imaging pointing knowledge ≤0.03° (95th percentile).</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80 kg monopropellant, 230 s effective Isp, 4 × 20 N thrusters; ideal Δv = 603 m/s by rocket equation.</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340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550 m/s maneuver requirement; 80 kg monopropellant at 230 s yields ~603 m/s ideal at 340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80 kg monopropellant, 230 s effective Isp, 4 × 20 N thrusters</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Repeated 3–8 km standoff arcs with 0.2–1.0 m/s corrections; no continuous stable close orbit assumed.</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550 m/s maneuver requirement; 80 kg monopropellant at 230 s yields ~603 m/s ideal at 340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80 kg monopropellant, 230 s effective Isp, 4 × 20 N thrusters; ideal Δv = 603 m/s by rocket equ</w:t>
            </w:r>
          </w:p>
        </w:tc>
      </w:tr>
    </w:tbl>
    <w:p>
      <w:pPr>
        <w:pStyle w:val="Heading3"/>
      </w:pPr>
      <w:r>
        <w:t>Telemetry, Tracking and Command</w:t>
      </w:r>
    </w:p>
    <w:p>
      <w:pPr/>
      <w:r>
        <w:t>At 4 Mb/s, a 90-minute contact yields 2.7 GB gross, leaving 26% protocol/retransmission allowance for 2.0 GB daily return. Schedule 2 h/day in survey.</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4 Mb/s X-band at ≤1.6 AU to a 12 m-class station. The contact budget carries acquisition, engineering telemetry, protocol framing, retransmission and unavailable weather or host periods. The sizing check compares usable transferred bytes per contact with 2.0 GB/day during survey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low-frequency bistatic radar, laser altimeter and optical navigation camera and dual surface beacons. Each element has a separate delivered mass, operating load, mode list, failure assessment and calibration requirement.</w:t>
      </w:r>
    </w:p>
    <w:p>
      <w:pPr>
        <w:pStyle w:val="Heading3"/>
      </w:pPr>
      <w:r>
        <w:t>Low-frequency bistatic radar</w:t>
      </w:r>
    </w:p>
    <w:p>
      <w:pPr/>
      <w:r>
        <w:t>18 kg / 120 W; 15–30 MHz stepped radar with 2 MHz useful bandwidth; ~40 m equivalent range cell in material of dielectric constant 4, subject to inversion and geometry.</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Low-frequency bistatic radar</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18 kg / 120 W; 15–30 MHz stepped radar with 2 MHz useful bandwidth; ~40 m equivalent range cell in material of dielectric constant 4, subject to inversion and geometry.</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0.82–1.46 AU irradiance envelope; avionics 0–40 °C and radar front-end −10–45 °C; 0.8 m² radiator planning area.</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64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Laser altimeter and optical navigation camera</w:t>
      </w:r>
    </w:p>
    <w:p>
      <w:pPr/>
      <w:r>
        <w:t>21 kg / 65 W; 5 cm ranging precision at 5 km and ≤0.5 m/pixel optical mapping at 3 km under illuminated geometry.</w:t>
      </w:r>
    </w:p>
    <w:p>
      <w:pPr/>
      <w:r>
        <w:t>This measurement or process provides an independent check on the primary result. The ground model shall retain geometric, thermal and instrumental uncertainty, including changes caused by the spacecraft or host.</w:t>
      </w:r>
    </w:p>
    <w:p>
      <w:pPr/>
      <w:r>
        <w:t>For Keralis Binary Interior Survey,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Laser altimeter and optical navigation camera</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21 kg / 65 W; 5 cm ranging precision at 5 km and ≤0.5 m/pixel optical mapping at 3 km under illuminated geometry.</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Reference binary target on preliminary a = 1.24 AU, e = 0.18, i = 3.2° orbit; trajectory is an estimating reference.</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2.0 GB/day during survey</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Low-frequency bistatic radar; Laser altimeter and optical navigation camera; Dual surface beacons</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128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64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500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Reference binary target on preliminary a = 1.24 AU, e = 0.18, i = 3.2° orbi</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Dual surface beacons</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0.82–1.46 AU irradiance envelope; avionics 0–40 °C and radar front-end −10–45 °C; 0.8 m² radiator planning area.</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Laser altimeter and optical navigation camera</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KAR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C3 ≥8 km²/s²; 340 kg carrier including its two beacons + 90 kg adaptor/dispenser = 430 kg; ≥550 kg service capability</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Two 12 m-class sites plus one contingency site; ≥8 GB/day ingestion; 60 TB controlled archive.</w:t>
      </w:r>
    </w:p>
    <w:p>
      <w:pPr/>
      <w:r>
        <w:t>At 4 Mb/s, a 90-minute contact yields 2.7 GB gross, leaving 26% protocol/retransmission allowance for 2.0 GB daily return. Schedule 2 h/day in survey.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Two 12 m-class sites plus one contingency site; ≥8 GB/day ingestion; 60 TB controlled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2.0 GB/day during survey; scheduled ground service availability ≥99%.</w:t>
            </w:r>
          </w:p>
        </w:tc>
      </w:tr>
    </w:tbl>
    <w:p>
      <w:pPr/>
      <w:r>
        <w:t>The daily return is 2.0 GB/day during survey.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Two 12 m-class sites plus one contingency site; ≥8 GB/day ingestion; 60 TB controlled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14 months; C 12 months; D1 16 months; D2 8 months; cruise 20 months; survey 14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14</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8</w:t>
            </w:r>
          </w:p>
        </w:tc>
        <w:tc>
          <w:tcPr>
            <w:tcW w:type="dxa" w:w="1170"/>
            <w:vAlign w:val="center"/>
            <w:tcMar>
              <w:top w:w="90" w:type="dxa"/>
              <w:left w:w="90" w:type="dxa"/>
              <w:bottom w:w="90" w:type="dxa"/>
              <w:right w:w="90" w:type="dxa"/>
            </w:tcMar>
          </w:tcPr>
          <w:p>
            <w:pPr>
              <w:spacing w:after="0"/>
            </w:pPr>
            <w:r>
              <w:rPr>
                <w:sz w:val="16"/>
              </w:rPr>
              <w:t>TBD</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Mar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Jan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Mar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Mar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Jun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First flight unit assembled</w:t>
            </w:r>
          </w:p>
        </w:tc>
        <w:tc>
          <w:tcPr>
            <w:tcW w:type="dxa" w:w="2340"/>
            <w:vAlign w:val="center"/>
            <w:shd w:fill="F6F8FA"/>
            <w:tcMar>
              <w:top w:w="90" w:type="dxa"/>
              <w:left w:w="90" w:type="dxa"/>
              <w:bottom w:w="90" w:type="dxa"/>
              <w:right w:w="90" w:type="dxa"/>
            </w:tcMar>
          </w:tcPr>
          <w:p>
            <w:pPr>
              <w:spacing w:after="0"/>
            </w:pPr>
            <w:r>
              <w:rPr>
                <w:sz w:val="16"/>
              </w:rPr>
              <w:t>May 2031</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Oct 2031</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Environmental acceptance</w:t>
            </w:r>
          </w:p>
        </w:tc>
        <w:tc>
          <w:tcPr>
            <w:tcW w:type="dxa" w:w="2340"/>
            <w:vAlign w:val="center"/>
            <w:shd w:fill="F6F8FA"/>
            <w:tcMar>
              <w:top w:w="90" w:type="dxa"/>
              <w:left w:w="90" w:type="dxa"/>
              <w:bottom w:w="90" w:type="dxa"/>
              <w:right w:w="90" w:type="dxa"/>
            </w:tcMar>
          </w:tcPr>
          <w:p>
            <w:pPr>
              <w:spacing w:after="0"/>
            </w:pPr>
            <w:r>
              <w:rPr>
                <w:sz w:val="16"/>
              </w:rPr>
              <w:t>Apr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Sep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w:t>
            </w:r>
          </w:p>
        </w:tc>
        <w:tc>
          <w:tcPr>
            <w:tcW w:type="dxa" w:w="2340"/>
            <w:vAlign w:val="center"/>
            <w:shd w:fill="F6F8FA"/>
            <w:tcMar>
              <w:top w:w="90" w:type="dxa"/>
              <w:left w:w="90" w:type="dxa"/>
              <w:bottom w:w="90" w:type="dxa"/>
              <w:right w:w="90" w:type="dxa"/>
            </w:tcMar>
          </w:tcPr>
          <w:p>
            <w:pPr>
              <w:spacing w:after="0"/>
            </w:pPr>
            <w:r>
              <w:rPr>
                <w:sz w:val="16"/>
              </w:rPr>
              <w:t>Launch</w:t>
            </w:r>
          </w:p>
        </w:tc>
        <w:tc>
          <w:tcPr>
            <w:tcW w:type="dxa" w:w="2340"/>
            <w:vAlign w:val="center"/>
            <w:shd w:fill="F6F8FA"/>
            <w:tcMar>
              <w:top w:w="90" w:type="dxa"/>
              <w:left w:w="90" w:type="dxa"/>
              <w:bottom w:w="90" w:type="dxa"/>
              <w:right w:w="90" w:type="dxa"/>
            </w:tcMar>
          </w:tcPr>
          <w:p>
            <w:pPr>
              <w:spacing w:after="0"/>
            </w:pPr>
            <w:r>
              <w:rPr>
                <w:sz w:val="16"/>
              </w:rPr>
              <w:t>Nov 2032</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Encounter</w:t>
            </w:r>
          </w:p>
        </w:tc>
        <w:tc>
          <w:tcPr>
            <w:tcW w:type="dxa" w:w="2340"/>
            <w:vAlign w:val="center"/>
            <w:tcMar>
              <w:top w:w="90" w:type="dxa"/>
              <w:left w:w="90" w:type="dxa"/>
              <w:bottom w:w="90" w:type="dxa"/>
              <w:right w:w="90" w:type="dxa"/>
            </w:tcMar>
          </w:tcPr>
          <w:p>
            <w:pPr>
              <w:spacing w:after="0"/>
            </w:pPr>
            <w:r>
              <w:rPr>
                <w:sz w:val="16"/>
              </w:rPr>
              <w:t>Jul 2034</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survey end</w:t>
            </w:r>
          </w:p>
        </w:tc>
        <w:tc>
          <w:tcPr>
            <w:tcW w:type="dxa" w:w="2340"/>
            <w:vAlign w:val="center"/>
            <w:shd w:fill="F6F8FA"/>
            <w:tcMar>
              <w:top w:w="90" w:type="dxa"/>
              <w:left w:w="90" w:type="dxa"/>
              <w:bottom w:w="90" w:type="dxa"/>
              <w:right w:w="90" w:type="dxa"/>
            </w:tcMar>
          </w:tcPr>
          <w:p>
            <w:pPr>
              <w:spacing w:after="0"/>
            </w:pPr>
            <w:r>
              <w:rPr>
                <w:sz w:val="16"/>
              </w:rPr>
              <w:t>Sep 2035</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Closeout</w:t>
            </w:r>
          </w:p>
        </w:tc>
        <w:tc>
          <w:tcPr>
            <w:tcW w:type="dxa" w:w="2340"/>
            <w:vAlign w:val="center"/>
            <w:tcMar>
              <w:top w:w="90" w:type="dxa"/>
              <w:left w:w="90" w:type="dxa"/>
              <w:bottom w:w="90" w:type="dxa"/>
              <w:right w:w="90" w:type="dxa"/>
            </w:tcMar>
          </w:tcPr>
          <w:p>
            <w:pPr>
              <w:spacing w:after="0"/>
            </w:pPr>
            <w:r>
              <w:rPr>
                <w:sz w:val="16"/>
              </w:rPr>
              <w:t>Nov 2035</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Keralis Binary Interior Survey, the initial risk concentration is Beacon landing at &lt;0.25 m/s, uncertain dielectric attenuation, complex binary gravity, repeated proximity maneuvers and dust hazard.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Beacon landing at &lt;0.25 m/s, uncertain dielectric attenuation, complex binary gravity, repeated proximity maneuvers and dust hazard.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Aderven Exploration Authority</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Qevrion Flight Systems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Mavellis Instrument Foundry</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Orthen Launch Cooperative</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Luroven Deep Space Network</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Telvaran Geophysics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Telvaran Geophysics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Mavellis Instrument Foundry</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KAR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