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MDFO CADRe Part A</w:t>
      </w:r>
    </w:p>
    <w:p>
      <w:r>
        <w:t>Office of Mission Cost Analysis</w:t>
      </w:r>
    </w:p>
    <w:p>
      <w:r>
        <w:t>Cost Analysis Data Requirements (CADRe)</w:t>
      </w:r>
    </w:p>
    <w:p>
      <w:r>
        <w:t>PART A</w:t>
      </w:r>
    </w:p>
    <w:p>
      <w:r>
        <w:t>Mission: Myralis Dust Field Observatory</w:t>
      </w:r>
    </w:p>
    <w:p>
      <w:r>
        <w:t>Design Reference: Preliminary integrated baseline</w:t>
      </w:r>
    </w:p>
    <w:p>
      <w:r>
        <w:t>Key Decision Point: CDR</w:t>
      </w:r>
    </w:p>
    <w:p>
      <w:r>
        <w:t>Project Gate: R3</w:t>
      </w:r>
    </w:p>
    <w:p>
      <w:r>
        <w:t>Draft 1.0  |  22 September 2026</w:t>
      </w:r>
    </w:p>
    <w:p>
      <w:r>
        <w:t>This document describes one entirely synthesized mission, including its organizations, spacecraft and data.</w:t>
      </w:r>
    </w:p>
    <w:p>
      <w:r>
        <w:br w:type="page"/>
      </w:r>
    </w:p>
    <w:p>
      <w:pPr>
        <w:pStyle w:val="Heading1"/>
      </w:pPr>
      <w:r>
        <w:t>Revision History</w:t>
      </w:r>
    </w:p>
    <w:tbl>
      <w:tblPr>
        <w:tblW w:type="auto" w:w="0"/>
        <w:jc w:val="center"/>
        <w:tblLayout w:type="fixed"/>
        <w:tblLook w:firstColumn="1" w:firstRow="1" w:lastColumn="0" w:lastRow="0" w:noHBand="0" w:noVBand="1" w:val="04A0"/>
      </w:tblPr>
      <w:tblGrid>
        <w:gridCol w:w="2470"/>
        <w:gridCol w:w="2470"/>
        <w:gridCol w:w="2470"/>
        <w:gridCol w:w="2470"/>
      </w:tblGrid>
      <w:tr>
        <w:trPr>
          <w:tblHeader w:val="true"/>
        </w:trPr>
        <w:tc>
          <w:tcPr>
            <w:tcW w:type="dxa" w:w="1440"/>
            <w:vAlign w:val="center"/>
            <w:shd w:fill="18384F"/>
            <w:tcMar>
              <w:top w:w="75" w:type="dxa"/>
              <w:left w:w="75" w:type="dxa"/>
              <w:bottom w:w="75" w:type="dxa"/>
              <w:right w:w="75" w:type="dxa"/>
            </w:tcMar>
          </w:tcPr>
          <w:p>
            <w:pPr>
              <w:spacing w:after="0"/>
            </w:pPr>
            <w:r>
              <w:rPr>
                <w:b/>
                <w:color w:val="FFFFFF"/>
                <w:sz w:val="16"/>
              </w:rPr>
              <w:t>Rev.</w:t>
            </w:r>
          </w:p>
        </w:tc>
        <w:tc>
          <w:tcPr>
            <w:tcW w:type="dxa" w:w="4896"/>
            <w:vAlign w:val="center"/>
            <w:shd w:fill="18384F"/>
            <w:tcMar>
              <w:top w:w="75" w:type="dxa"/>
              <w:left w:w="75" w:type="dxa"/>
              <w:bottom w:w="75" w:type="dxa"/>
              <w:right w:w="75" w:type="dxa"/>
            </w:tcMar>
          </w:tcPr>
          <w:p>
            <w:pPr>
              <w:spacing w:after="0"/>
            </w:pPr>
            <w:r>
              <w:rPr>
                <w:b/>
                <w:color w:val="FFFFFF"/>
                <w:sz w:val="16"/>
              </w:rPr>
              <w:t>Description</w:t>
            </w:r>
          </w:p>
        </w:tc>
        <w:tc>
          <w:tcPr>
            <w:tcW w:type="dxa" w:w="2088"/>
            <w:vAlign w:val="center"/>
            <w:shd w:fill="18384F"/>
            <w:tcMar>
              <w:top w:w="75" w:type="dxa"/>
              <w:left w:w="75" w:type="dxa"/>
              <w:bottom w:w="75" w:type="dxa"/>
              <w:right w:w="75" w:type="dxa"/>
            </w:tcMar>
          </w:tcPr>
          <w:p>
            <w:pPr>
              <w:spacing w:after="0"/>
            </w:pPr>
            <w:r>
              <w:rPr>
                <w:b/>
                <w:color w:val="FFFFFF"/>
                <w:sz w:val="16"/>
              </w:rPr>
              <w:t>Prepared by</w:t>
            </w:r>
          </w:p>
        </w:tc>
        <w:tc>
          <w:tcPr>
            <w:tcW w:type="dxa" w:w="2448"/>
            <w:vAlign w:val="center"/>
            <w:shd w:fill="18384F"/>
            <w:tcMar>
              <w:top w:w="75" w:type="dxa"/>
              <w:left w:w="75" w:type="dxa"/>
              <w:bottom w:w="75" w:type="dxa"/>
              <w:right w:w="75" w:type="dxa"/>
            </w:tcMar>
          </w:tcPr>
          <w:p>
            <w:pPr>
              <w:spacing w:after="0"/>
            </w:pPr>
            <w:r>
              <w:rPr>
                <w:b/>
                <w:color w:val="FFFFFF"/>
                <w:sz w:val="16"/>
              </w:rPr>
              <w:t>Date</w:t>
            </w:r>
          </w:p>
        </w:tc>
      </w:tr>
      <w:tr>
        <w:tc>
          <w:tcPr>
            <w:tcW w:type="dxa" w:w="1440"/>
            <w:vAlign w:val="center"/>
            <w:shd w:fill="FFFFFF"/>
            <w:tcMar>
              <w:top w:w="75" w:type="dxa"/>
              <w:left w:w="75" w:type="dxa"/>
              <w:bottom w:w="75" w:type="dxa"/>
              <w:right w:w="75" w:type="dxa"/>
            </w:tcMar>
          </w:tcPr>
          <w:p>
            <w:pPr>
              <w:spacing w:after="0"/>
            </w:pPr>
            <w:r>
              <w:rPr>
                <w:b w:val="0"/>
                <w:color w:val="12222B"/>
                <w:sz w:val="16"/>
              </w:rPr>
              <w:t>Draft 1.0</w:t>
            </w:r>
          </w:p>
        </w:tc>
        <w:tc>
          <w:tcPr>
            <w:tcW w:type="dxa" w:w="4896"/>
            <w:vAlign w:val="center"/>
            <w:shd w:fill="FFFFFF"/>
            <w:tcMar>
              <w:top w:w="75" w:type="dxa"/>
              <w:left w:w="75" w:type="dxa"/>
              <w:bottom w:w="75" w:type="dxa"/>
              <w:right w:w="75" w:type="dxa"/>
            </w:tcMar>
          </w:tcPr>
          <w:p>
            <w:pPr>
              <w:spacing w:after="0"/>
            </w:pPr>
            <w:r>
              <w:rPr>
                <w:b w:val="0"/>
                <w:color w:val="12222B"/>
                <w:sz w:val="16"/>
              </w:rPr>
              <w:t>Initial integrated architecture and cost-analysis baseline</w:t>
            </w:r>
          </w:p>
        </w:tc>
        <w:tc>
          <w:tcPr>
            <w:tcW w:type="dxa" w:w="2088"/>
            <w:vAlign w:val="center"/>
            <w:shd w:fill="FFFFFF"/>
            <w:tcMar>
              <w:top w:w="75" w:type="dxa"/>
              <w:left w:w="75" w:type="dxa"/>
              <w:bottom w:w="75" w:type="dxa"/>
              <w:right w:w="75" w:type="dxa"/>
            </w:tcMar>
          </w:tcPr>
          <w:p>
            <w:pPr>
              <w:spacing w:after="0"/>
            </w:pPr>
            <w:r>
              <w:rPr>
                <w:b w:val="0"/>
                <w:color w:val="12222B"/>
                <w:sz w:val="16"/>
              </w:rPr>
              <w:t>Mission Analysis Office</w:t>
            </w:r>
          </w:p>
        </w:tc>
        <w:tc>
          <w:tcPr>
            <w:tcW w:type="dxa" w:w="2448"/>
            <w:vAlign w:val="center"/>
            <w:shd w:fill="FFFFFF"/>
            <w:tcMar>
              <w:top w:w="75" w:type="dxa"/>
              <w:left w:w="75" w:type="dxa"/>
              <w:bottom w:w="75" w:type="dxa"/>
              <w:right w:w="75" w:type="dxa"/>
            </w:tcMar>
          </w:tcPr>
          <w:p>
            <w:pPr>
              <w:spacing w:after="0"/>
            </w:pPr>
            <w:r>
              <w:rPr>
                <w:b w:val="0"/>
                <w:color w:val="12222B"/>
                <w:sz w:val="16"/>
              </w:rPr>
              <w:t>22 Sept 2026</w:t>
            </w:r>
          </w:p>
        </w:tc>
      </w:tr>
    </w:tbl>
    <w:p>
      <w:r>
        <w:br w:type="page"/>
      </w:r>
    </w:p>
    <w:p>
      <w:pPr>
        <w:pStyle w:val="Heading1"/>
      </w:pPr>
      <w:r>
        <w:t>Table of Contents</w:t>
      </w:r>
    </w:p>
    <w:p>
      <w:pPr>
        <w:pStyle w:val="CompactTOC"/>
      </w:pPr>
      <w:r>
        <w:t>1  Introduction</w:t>
      </w:r>
    </w:p>
    <w:p>
      <w:pPr>
        <w:pStyle w:val="CompactTOC"/>
      </w:pPr>
      <w:r>
        <w:t xml:space="preserve">    1.1  Purpose of this document</w:t>
      </w:r>
    </w:p>
    <w:p>
      <w:pPr>
        <w:pStyle w:val="CompactTOC"/>
      </w:pPr>
      <w:r>
        <w:t xml:space="preserve">    1.2  Purpose and scope of mission</w:t>
      </w:r>
    </w:p>
    <w:p>
      <w:pPr>
        <w:pStyle w:val="CompactTOC"/>
      </w:pPr>
      <w:r>
        <w:t>2  General Descriptive Information</w:t>
      </w:r>
    </w:p>
    <w:p>
      <w:pPr>
        <w:pStyle w:val="CompactTOC"/>
      </w:pPr>
      <w:r>
        <w:t xml:space="preserve">    2.1  Mission Overview</w:t>
      </w:r>
    </w:p>
    <w:p>
      <w:pPr>
        <w:pStyle w:val="CompactTOC"/>
      </w:pPr>
      <w:r>
        <w:t xml:space="preserve">    2.2  Context</w:t>
      </w:r>
    </w:p>
    <w:p>
      <w:pPr>
        <w:pStyle w:val="CompactTOC"/>
      </w:pPr>
      <w:r>
        <w:t xml:space="preserve">    2.3  Strategic Objectives</w:t>
      </w:r>
    </w:p>
    <w:p>
      <w:pPr>
        <w:pStyle w:val="CompactTOC"/>
      </w:pPr>
      <w:r>
        <w:t xml:space="preserve">    2.4  Selected Mission Requirements</w:t>
      </w:r>
    </w:p>
    <w:p>
      <w:pPr>
        <w:pStyle w:val="CompactTOC"/>
      </w:pPr>
      <w:r>
        <w:t xml:space="preserve">    2.5  High-Level Mission Architecture</w:t>
      </w:r>
    </w:p>
    <w:p>
      <w:pPr>
        <w:pStyle w:val="CompactTOC"/>
      </w:pPr>
      <w:r>
        <w:t>3  Space Segment Description</w:t>
      </w:r>
    </w:p>
    <w:p>
      <w:pPr>
        <w:pStyle w:val="CompactTOC"/>
      </w:pPr>
      <w:r>
        <w:t xml:space="preserve">    3.1  Spacecraft Bus</w:t>
      </w:r>
    </w:p>
    <w:p>
      <w:pPr>
        <w:pStyle w:val="CompactTOC"/>
      </w:pPr>
      <w:r>
        <w:t xml:space="preserve">    3.2  Payload</w:t>
      </w:r>
    </w:p>
    <w:p>
      <w:pPr>
        <w:pStyle w:val="CompactTOC"/>
      </w:pPr>
      <w:r>
        <w:t>4  Launch Segment Description</w:t>
      </w:r>
    </w:p>
    <w:p>
      <w:pPr>
        <w:pStyle w:val="CompactTOC"/>
      </w:pPr>
      <w:r>
        <w:t>5  Ground Segment and Mission Operations</w:t>
      </w:r>
    </w:p>
    <w:p>
      <w:pPr>
        <w:pStyle w:val="CompactTOC"/>
      </w:pPr>
      <w:r>
        <w:t>6  Systems Engineering and Project Management Approach</w:t>
      </w:r>
    </w:p>
    <w:p>
      <w:pPr>
        <w:pStyle w:val="CompactTOC"/>
      </w:pPr>
      <w:r>
        <w:t xml:space="preserve">    6.1  TRL Levels and Heritage</w:t>
      </w:r>
    </w:p>
    <w:p>
      <w:pPr>
        <w:pStyle w:val="CompactTOC"/>
      </w:pPr>
      <w:r>
        <w:t xml:space="preserve">    6.2  Phasing Logic and Naming Conventions</w:t>
      </w:r>
    </w:p>
    <w:p>
      <w:pPr>
        <w:pStyle w:val="CompactTOC"/>
      </w:pPr>
      <w:r>
        <w:t xml:space="preserve">    6.3  Project Milestones</w:t>
      </w:r>
    </w:p>
    <w:p>
      <w:pPr>
        <w:pStyle w:val="CompactTOC"/>
      </w:pPr>
      <w:r>
        <w:t xml:space="preserve">    6.4  Safety and Mission Assurance</w:t>
      </w:r>
    </w:p>
    <w:p>
      <w:pPr>
        <w:pStyle w:val="CompactTOC"/>
      </w:pPr>
      <w:r>
        <w:t xml:space="preserve">    6.5  Qualification and Acceptance Strategy, Model Philosophy</w:t>
      </w:r>
    </w:p>
    <w:p>
      <w:pPr>
        <w:pStyle w:val="CompactTOC"/>
      </w:pPr>
      <w:r>
        <w:t xml:space="preserve">    6.6  Risk Assessment</w:t>
      </w:r>
    </w:p>
    <w:p>
      <w:pPr>
        <w:pStyle w:val="CompactTOC"/>
      </w:pPr>
      <w:r>
        <w:t xml:space="preserve">    6.7  Organizational Breakdown Structure</w:t>
      </w:r>
    </w:p>
    <w:p>
      <w:pPr>
        <w:pStyle w:val="CompactTOC"/>
      </w:pPr>
      <w:r>
        <w:t>Appendices</w:t>
      </w:r>
    </w:p>
    <w:p>
      <w:pPr>
        <w:pStyle w:val="CompactTOC"/>
      </w:pPr>
      <w:r>
        <w:t xml:space="preserve">    A  Acronym List</w:t>
      </w:r>
    </w:p>
    <w:p>
      <w:pPr>
        <w:pStyle w:val="Heading1"/>
      </w:pPr>
      <w:r>
        <w:t>List of Figures</w:t>
      </w:r>
    </w:p>
    <w:p>
      <w:pPr>
        <w:pStyle w:val="CompactTOC"/>
      </w:pPr>
      <w:r>
        <w:t>Figure 1 – Myralis mission concept and reference heliocentric geometry</w:t>
      </w:r>
    </w:p>
    <w:p>
      <w:pPr>
        <w:pStyle w:val="CompactTOC"/>
      </w:pPr>
      <w:r>
        <w:t>Figure 2 – Spacecraft power architecture and budget</w:t>
      </w:r>
    </w:p>
    <w:p>
      <w:pPr>
        <w:pStyle w:val="CompactTOC"/>
      </w:pPr>
      <w:r>
        <w:t>Figure 3 – Attitude control and observation modes</w:t>
      </w:r>
    </w:p>
    <w:p>
      <w:pPr>
        <w:pStyle w:val="CompactTOC"/>
      </w:pPr>
      <w:r>
        <w:t>Figure 4 – Three spacecraft launch configuration</w:t>
      </w:r>
    </w:p>
    <w:p>
      <w:pPr>
        <w:pStyle w:val="CompactTOC"/>
      </w:pPr>
      <w:r>
        <w:t>Figure 5 – Ground mission network and data flow</w:t>
      </w:r>
    </w:p>
    <w:p>
      <w:pPr>
        <w:pStyle w:val="Heading1"/>
      </w:pPr>
      <w:r>
        <w:t>List of Tables</w:t>
      </w:r>
    </w:p>
    <w:p>
      <w:pPr>
        <w:pStyle w:val="CompactTOC"/>
      </w:pPr>
      <w:r>
        <w:t>Table 1 – Strategic Alignment</w:t>
      </w:r>
    </w:p>
    <w:p>
      <w:pPr>
        <w:pStyle w:val="CompactTOC"/>
      </w:pPr>
      <w:r>
        <w:t>Table 2 – Selected Mission Requirements</w:t>
      </w:r>
    </w:p>
    <w:p>
      <w:pPr>
        <w:pStyle w:val="CompactTOC"/>
      </w:pPr>
      <w:r>
        <w:t>Table 3 – Preliminary Spacecraft Allocation and Reference Data</w:t>
      </w:r>
    </w:p>
    <w:p>
      <w:pPr>
        <w:pStyle w:val="CompactTOC"/>
      </w:pPr>
      <w:r>
        <w:t>Table 4 – Project Milestones</w:t>
      </w:r>
    </w:p>
    <w:p>
      <w:r>
        <w:br w:type="page"/>
      </w:r>
    </w:p>
    <w:p>
      <w:pPr>
        <w:pStyle w:val="Heading1"/>
      </w:pPr>
      <w:r>
        <w:t>1  Introduction</w:t>
      </w:r>
    </w:p>
    <w:p>
      <w:pPr>
        <w:pStyle w:val="Heading2"/>
      </w:pPr>
      <w:r>
        <w:t>1.1  Purpose of this document</w:t>
      </w:r>
    </w:p>
    <w:p>
      <w:r>
        <w:t>CADRe Part A provides a standardized mission synopsis for cost estimating. It brings the mission objectives, technical allocations, operating concept, schedule and organizational responsibilities into a single reference baseline. Quantities below are preliminary requirements or estimating assumptions as marked; detailed design and verification will refine them.</w:t>
      </w:r>
    </w:p>
    <w:p>
      <w:r>
        <w:t>Specifically, CADRe Part A:</w:t>
      </w:r>
    </w:p>
    <w:p>
      <w:pPr>
        <w:pStyle w:val="ListBullet"/>
      </w:pPr>
      <w:r>
        <w:t>summarizes the mission architecture and cost-driving quantities;</w:t>
      </w:r>
    </w:p>
    <w:p>
      <w:pPr>
        <w:pStyle w:val="ListBullet"/>
      </w:pPr>
      <w:r>
        <w:t>collects technical and programmatic assumptions in one controlled record;</w:t>
      </w:r>
    </w:p>
    <w:p>
      <w:pPr>
        <w:pStyle w:val="ListBullet"/>
      </w:pPr>
      <w:r>
        <w:t>sets common definitions for spacecraft, launch, ground and operations scope;</w:t>
      </w:r>
    </w:p>
    <w:p>
      <w:pPr>
        <w:pStyle w:val="ListBullet"/>
      </w:pPr>
      <w:r>
        <w:t>identifies quantities to reconcile with schedule, risk and procurement records; and</w:t>
      </w:r>
    </w:p>
    <w:p>
      <w:pPr>
        <w:pStyle w:val="ListBullet"/>
      </w:pPr>
      <w:r>
        <w:t>preserves a traceable starting point for independent cost analysis.</w:t>
      </w:r>
    </w:p>
    <w:p>
      <w:r>
        <w:t>This Part A is a concept-level cost input. The corresponding Part B technical parameter register, Part C schedule and risk baseline, and Part D procurement record must carry the same controlled quantities before an estimate is approved.</w:t>
      </w:r>
    </w:p>
    <w:p>
      <w:pPr>
        <w:pStyle w:val="Heading2"/>
      </w:pPr>
      <w:r>
        <w:t>1.2  Purpose and scope of mission</w:t>
      </w:r>
    </w:p>
    <w:p>
      <w:r>
        <w:t>The Myralis Dust Field Observatory (MDFO) measures the spatial and temporal distribution of micrometre to millimetre particles across an inner heliocentric annulus. Three identical spacecraft, D1–D3, leave one launch vehicle and drift onto separated solar orbits. Each records local impacts and optical dust brightness; time-correlated measurements constrain a three-dimensional dust-density model. The reference science region spans 0.97–1.03 astronomical units (AU), with useful spacecraft separation of 0.04–0.20 AU after deployment.</w:t>
      </w:r>
    </w:p>
    <w:p>
      <w:r>
        <w:t>The mission seeks to determine dust flux by size and direction, identify transient dust enhancements, and produce a calibrated environmental model for vehicle shielding and long-range mission planning. It does not assume imaging of a celestial surface, landing, sampling, or a relay satellite. The sponsor and owner is the Avelune Space Directorate (ASD), with scientific leadership from the Ruvellan Data Institute (RDI).</w:t>
      </w:r>
    </w:p>
    <w:p>
      <w:pPr>
        <w:pStyle w:val="Heading1"/>
      </w:pPr>
      <w:r>
        <w:t>2  General Descriptive Information</w:t>
      </w:r>
    </w:p>
    <w:p>
      <w:pPr>
        <w:pStyle w:val="Heading2"/>
      </w:pPr>
      <w:r>
        <w:t>2.1  Mission Overview</w:t>
      </w:r>
    </w:p>
    <w:p>
      <w:r>
        <w:t>MDFO comprises three 210 kg-class flight spacecraft launched together. Differential separation impulses create modestly different heliocentric periods. A daily spacecraft science return of 0.75 GB (2.25 GB for the constellation) supports event counts, spectra, photometry and housekeeping. A common flight design reduces recurring manufacture and qualification effort. A five-year nominal science phase begins after a six-month cruise and commissioning period.</w:t>
      </w:r>
    </w:p>
    <w:p>
      <w:r>
        <w:t>The measurement strategy combines local impact counting with line-of-sight optical photometry. Correlation of measurements at multiple orbital longitudes constrains regional density changes; individual dust grains are not tracked between spacecraft. A simultaneous viewing window of at least 12 hours per week is planned when geometry permits. Ground inversion is responsible for separating dust brightness from background stars and stray light.</w:t>
      </w:r>
    </w:p>
    <w:p>
      <w:pPr>
        <w:keepNext/>
        <w:jc w:val="center"/>
      </w:pPr>
      <w:r>
        <w:drawing>
          <wp:inline xmlns:a="http://schemas.openxmlformats.org/drawingml/2006/main" xmlns:pic="http://schemas.openxmlformats.org/drawingml/2006/picture">
            <wp:extent cx="6035040" cy="3797835"/>
            <wp:docPr id="1" name="Picture 1"/>
            <wp:cNvGraphicFramePr>
              <a:graphicFrameLocks noChangeAspect="1"/>
            </wp:cNvGraphicFramePr>
            <a:graphic>
              <a:graphicData uri="http://schemas.openxmlformats.org/drawingml/2006/picture">
                <pic:pic>
                  <pic:nvPicPr>
                    <pic:cNvPr id="0" name="mission.png"/>
                    <pic:cNvPicPr/>
                  </pic:nvPicPr>
                  <pic:blipFill>
                    <a:blip r:embed="rId11"/>
                    <a:stretch>
                      <a:fillRect/>
                    </a:stretch>
                  </pic:blipFill>
                  <pic:spPr>
                    <a:xfrm>
                      <a:off x="0" y="0"/>
                      <a:ext cx="6035040" cy="3797835"/>
                    </a:xfrm>
                    <a:prstGeom prst="rect"/>
                  </pic:spPr>
                </pic:pic>
              </a:graphicData>
            </a:graphic>
          </wp:inline>
        </w:drawing>
      </w:r>
    </w:p>
    <w:p>
      <w:pPr>
        <w:pStyle w:val="Caption"/>
      </w:pPr>
      <w:r>
        <w:t>Figure 1 – Reference heliocentric geometry. Radial separation is exaggerated; rings show the analysis region, not fixed operational orbits; D1–D3 drift independently after separation.</w:t>
      </w:r>
    </w:p>
    <w:p>
      <w:pPr>
        <w:pStyle w:val="Heading2"/>
      </w:pPr>
      <w:r>
        <w:t>2.2  Context</w:t>
      </w:r>
    </w:p>
    <w:p>
      <w:r>
        <w:t>Dust impact flux varies with particle size, heliocentric distance and orbital direction. Single-point counts cannot distinguish local enhancements from a spatial gradient without additional assumptions. Three separated measurement stations improve the conditioning of the inversion and provide spatially distributed evidence over a five-year interval. The architecture trades larger flight-unit count and deep-space communication capacity against a single-point observatory.</w:t>
      </w:r>
    </w:p>
    <w:p>
      <w:r>
        <w:t>No existing supplier or instrument configuration is presumed. The concept baseline includes one common bus, one common payload suite per spacecraft, a three-unit launch dispenser, three ground antenna sites, an operations center, an archive and five years of science processing.</w:t>
      </w:r>
    </w:p>
    <w:p>
      <w:pPr>
        <w:pStyle w:val="Heading2"/>
      </w:pPr>
      <w:r>
        <w:t>2.3  Strategic Objectives</w:t>
      </w:r>
    </w:p>
    <w:p>
      <w:pPr>
        <w:pStyle w:val="Caption"/>
      </w:pPr>
      <w:r>
        <w:t>Table 1 – Strategic Alignment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vAlign w:val="center"/>
            <w:shd w:fill="18384F"/>
            <w:tcMar>
              <w:top w:w="75" w:type="dxa"/>
              <w:left w:w="75" w:type="dxa"/>
              <w:bottom w:w="75" w:type="dxa"/>
              <w:right w:w="75" w:type="dxa"/>
            </w:tcMar>
          </w:tcPr>
          <w:p>
            <w:pPr>
              <w:spacing w:after="0"/>
            </w:pPr>
            <w:r>
              <w:rPr>
                <w:b/>
                <w:color w:val="FFFFFF"/>
                <w:sz w:val="16"/>
              </w:rPr>
              <w:t>Objective</w:t>
            </w:r>
          </w:p>
        </w:tc>
        <w:tc>
          <w:tcPr>
            <w:tcW w:type="dxa" w:w="3816"/>
            <w:vAlign w:val="center"/>
            <w:shd w:fill="18384F"/>
            <w:tcMar>
              <w:top w:w="75" w:type="dxa"/>
              <w:left w:w="75" w:type="dxa"/>
              <w:bottom w:w="75" w:type="dxa"/>
              <w:right w:w="75" w:type="dxa"/>
            </w:tcMar>
          </w:tcPr>
          <w:p>
            <w:pPr>
              <w:spacing w:after="0"/>
            </w:pPr>
            <w:r>
              <w:rPr>
                <w:b/>
                <w:color w:val="FFFFFF"/>
                <w:sz w:val="16"/>
              </w:rPr>
              <w:t>Quantified outcome</w:t>
            </w:r>
          </w:p>
        </w:tc>
        <w:tc>
          <w:tcPr>
            <w:tcW w:type="dxa" w:w="3528"/>
            <w:vAlign w:val="center"/>
            <w:shd w:fill="18384F"/>
            <w:tcMar>
              <w:top w:w="75" w:type="dxa"/>
              <w:left w:w="75" w:type="dxa"/>
              <w:bottom w:w="75" w:type="dxa"/>
              <w:right w:w="75" w:type="dxa"/>
            </w:tcMar>
          </w:tcPr>
          <w:p>
            <w:pPr>
              <w:spacing w:after="0"/>
            </w:pPr>
            <w:r>
              <w:rPr>
                <w:b/>
                <w:color w:val="FFFFFF"/>
                <w:sz w:val="16"/>
              </w:rPr>
              <w:t>Measurement basis</w:t>
            </w:r>
          </w:p>
        </w:tc>
      </w:tr>
      <w:tr>
        <w:tc>
          <w:tcPr>
            <w:tcW w:type="dxa" w:w="2160"/>
            <w:vAlign w:val="center"/>
            <w:shd w:fill="FFFFFF"/>
            <w:tcMar>
              <w:top w:w="75" w:type="dxa"/>
              <w:left w:w="75" w:type="dxa"/>
              <w:bottom w:w="75" w:type="dxa"/>
              <w:right w:w="75" w:type="dxa"/>
            </w:tcMar>
          </w:tcPr>
          <w:p>
            <w:pPr>
              <w:spacing w:after="0"/>
            </w:pPr>
            <w:r>
              <w:rPr>
                <w:b w:val="0"/>
                <w:color w:val="12222B"/>
                <w:sz w:val="16"/>
              </w:rPr>
              <w:t>Characterize dust environment</w:t>
            </w:r>
          </w:p>
        </w:tc>
        <w:tc>
          <w:tcPr>
            <w:tcW w:type="dxa" w:w="3816"/>
            <w:vAlign w:val="center"/>
            <w:shd w:fill="FFFFFF"/>
            <w:tcMar>
              <w:top w:w="75" w:type="dxa"/>
              <w:left w:w="75" w:type="dxa"/>
              <w:bottom w:w="75" w:type="dxa"/>
              <w:right w:w="75" w:type="dxa"/>
            </w:tcMar>
          </w:tcPr>
          <w:p>
            <w:pPr>
              <w:spacing w:after="0"/>
            </w:pPr>
            <w:r>
              <w:rPr>
                <w:b w:val="0"/>
                <w:color w:val="12222B"/>
                <w:sz w:val="16"/>
              </w:rPr>
              <w:t>Flux from 10⁻¹³ to 10⁻⁶ kg particles in ≥8 logarithmic mass bins</w:t>
            </w:r>
          </w:p>
        </w:tc>
        <w:tc>
          <w:tcPr>
            <w:tcW w:type="dxa" w:w="3528"/>
            <w:vAlign w:val="center"/>
            <w:shd w:fill="FFFFFF"/>
            <w:tcMar>
              <w:top w:w="75" w:type="dxa"/>
              <w:left w:w="75" w:type="dxa"/>
              <w:bottom w:w="75" w:type="dxa"/>
              <w:right w:w="75" w:type="dxa"/>
            </w:tcMar>
          </w:tcPr>
          <w:p>
            <w:pPr>
              <w:spacing w:after="0"/>
            </w:pPr>
            <w:r>
              <w:rPr>
                <w:b w:val="0"/>
                <w:color w:val="12222B"/>
                <w:sz w:val="16"/>
              </w:rPr>
              <w:t>Impact charge and momentum proxies</w:t>
            </w:r>
          </w:p>
        </w:tc>
      </w:tr>
      <w:tr>
        <w:tc>
          <w:tcPr>
            <w:tcW w:type="dxa" w:w="2160"/>
            <w:vAlign w:val="center"/>
            <w:shd w:fill="F0F5F7"/>
            <w:tcMar>
              <w:top w:w="75" w:type="dxa"/>
              <w:left w:w="75" w:type="dxa"/>
              <w:bottom w:w="75" w:type="dxa"/>
              <w:right w:w="75" w:type="dxa"/>
            </w:tcMar>
          </w:tcPr>
          <w:p>
            <w:pPr>
              <w:spacing w:after="0"/>
            </w:pPr>
            <w:r>
              <w:rPr>
                <w:b w:val="0"/>
                <w:color w:val="12222B"/>
                <w:sz w:val="16"/>
              </w:rPr>
              <w:t>Resolve heliocentric gradients</w:t>
            </w:r>
          </w:p>
        </w:tc>
        <w:tc>
          <w:tcPr>
            <w:tcW w:type="dxa" w:w="3816"/>
            <w:vAlign w:val="center"/>
            <w:shd w:fill="F0F5F7"/>
            <w:tcMar>
              <w:top w:w="75" w:type="dxa"/>
              <w:left w:w="75" w:type="dxa"/>
              <w:bottom w:w="75" w:type="dxa"/>
              <w:right w:w="75" w:type="dxa"/>
            </w:tcMar>
          </w:tcPr>
          <w:p>
            <w:pPr>
              <w:spacing w:after="0"/>
            </w:pPr>
            <w:r>
              <w:rPr>
                <w:b w:val="0"/>
                <w:color w:val="12222B"/>
                <w:sz w:val="16"/>
              </w:rPr>
              <w:t>Map 0.97–1.03 AU with ≤0.01 AU radial grid spacing where coverage supports it</w:t>
            </w:r>
          </w:p>
        </w:tc>
        <w:tc>
          <w:tcPr>
            <w:tcW w:type="dxa" w:w="3528"/>
            <w:vAlign w:val="center"/>
            <w:shd w:fill="F0F5F7"/>
            <w:tcMar>
              <w:top w:w="75" w:type="dxa"/>
              <w:left w:w="75" w:type="dxa"/>
              <w:bottom w:w="75" w:type="dxa"/>
              <w:right w:w="75" w:type="dxa"/>
            </w:tcMar>
          </w:tcPr>
          <w:p>
            <w:pPr>
              <w:spacing w:after="0"/>
            </w:pPr>
            <w:r>
              <w:rPr>
                <w:b w:val="0"/>
                <w:color w:val="12222B"/>
                <w:sz w:val="16"/>
              </w:rPr>
              <w:t>Distributed local counts + photometry</w:t>
            </w:r>
          </w:p>
        </w:tc>
      </w:tr>
      <w:tr>
        <w:tc>
          <w:tcPr>
            <w:tcW w:type="dxa" w:w="2160"/>
            <w:vAlign w:val="center"/>
            <w:shd w:fill="FFFFFF"/>
            <w:tcMar>
              <w:top w:w="75" w:type="dxa"/>
              <w:left w:w="75" w:type="dxa"/>
              <w:bottom w:w="75" w:type="dxa"/>
              <w:right w:w="75" w:type="dxa"/>
            </w:tcMar>
          </w:tcPr>
          <w:p>
            <w:pPr>
              <w:spacing w:after="0"/>
            </w:pPr>
            <w:r>
              <w:rPr>
                <w:b w:val="0"/>
                <w:color w:val="12222B"/>
                <w:sz w:val="16"/>
              </w:rPr>
              <w:t>Detect temporal change</w:t>
            </w:r>
          </w:p>
        </w:tc>
        <w:tc>
          <w:tcPr>
            <w:tcW w:type="dxa" w:w="3816"/>
            <w:vAlign w:val="center"/>
            <w:shd w:fill="FFFFFF"/>
            <w:tcMar>
              <w:top w:w="75" w:type="dxa"/>
              <w:left w:w="75" w:type="dxa"/>
              <w:bottom w:w="75" w:type="dxa"/>
              <w:right w:w="75" w:type="dxa"/>
            </w:tcMar>
          </w:tcPr>
          <w:p>
            <w:pPr>
              <w:spacing w:after="0"/>
            </w:pPr>
            <w:r>
              <w:rPr>
                <w:b w:val="0"/>
                <w:color w:val="12222B"/>
                <w:sz w:val="16"/>
              </w:rPr>
              <w:t>Identify ≥30% flux changes sustained for ≥48 h at 95% confidence in a defined count-rate regime</w:t>
            </w:r>
          </w:p>
        </w:tc>
        <w:tc>
          <w:tcPr>
            <w:tcW w:type="dxa" w:w="3528"/>
            <w:vAlign w:val="center"/>
            <w:shd w:fill="FFFFFF"/>
            <w:tcMar>
              <w:top w:w="75" w:type="dxa"/>
              <w:left w:w="75" w:type="dxa"/>
              <w:bottom w:w="75" w:type="dxa"/>
              <w:right w:w="75" w:type="dxa"/>
            </w:tcMar>
          </w:tcPr>
          <w:p>
            <w:pPr>
              <w:spacing w:after="0"/>
            </w:pPr>
            <w:r>
              <w:rPr>
                <w:b w:val="0"/>
                <w:color w:val="12222B"/>
                <w:sz w:val="16"/>
              </w:rPr>
              <w:t>Time-binned event series</w:t>
            </w:r>
          </w:p>
        </w:tc>
      </w:tr>
      <w:tr>
        <w:tc>
          <w:tcPr>
            <w:tcW w:type="dxa" w:w="2160"/>
            <w:vAlign w:val="center"/>
            <w:shd w:fill="F0F5F7"/>
            <w:tcMar>
              <w:top w:w="75" w:type="dxa"/>
              <w:left w:w="75" w:type="dxa"/>
              <w:bottom w:w="75" w:type="dxa"/>
              <w:right w:w="75" w:type="dxa"/>
            </w:tcMar>
          </w:tcPr>
          <w:p>
            <w:pPr>
              <w:spacing w:after="0"/>
            </w:pPr>
            <w:r>
              <w:rPr>
                <w:b w:val="0"/>
                <w:color w:val="12222B"/>
                <w:sz w:val="16"/>
              </w:rPr>
              <w:t>Deliver reference products</w:t>
            </w:r>
          </w:p>
        </w:tc>
        <w:tc>
          <w:tcPr>
            <w:tcW w:type="dxa" w:w="3816"/>
            <w:vAlign w:val="center"/>
            <w:shd w:fill="F0F5F7"/>
            <w:tcMar>
              <w:top w:w="75" w:type="dxa"/>
              <w:left w:w="75" w:type="dxa"/>
              <w:bottom w:w="75" w:type="dxa"/>
              <w:right w:w="75" w:type="dxa"/>
            </w:tcMar>
          </w:tcPr>
          <w:p>
            <w:pPr>
              <w:spacing w:after="0"/>
            </w:pPr>
            <w:r>
              <w:rPr>
                <w:b w:val="0"/>
                <w:color w:val="12222B"/>
                <w:sz w:val="16"/>
              </w:rPr>
              <w:t>Monthly Level 2 flux maps within 30 days of month end</w:t>
            </w:r>
          </w:p>
        </w:tc>
        <w:tc>
          <w:tcPr>
            <w:tcW w:type="dxa" w:w="3528"/>
            <w:vAlign w:val="center"/>
            <w:shd w:fill="F0F5F7"/>
            <w:tcMar>
              <w:top w:w="75" w:type="dxa"/>
              <w:left w:w="75" w:type="dxa"/>
              <w:bottom w:w="75" w:type="dxa"/>
              <w:right w:w="75" w:type="dxa"/>
            </w:tcMar>
          </w:tcPr>
          <w:p>
            <w:pPr>
              <w:spacing w:after="0"/>
            </w:pPr>
            <w:r>
              <w:rPr>
                <w:b w:val="0"/>
                <w:color w:val="12222B"/>
                <w:sz w:val="16"/>
              </w:rPr>
              <w:t>Calibrated archive and inversion pipeline</w:t>
            </w:r>
          </w:p>
        </w:tc>
      </w:tr>
    </w:tbl>
    <w:p>
      <w:pPr>
        <w:pStyle w:val="Heading2"/>
      </w:pPr>
      <w:r>
        <w:t>2.4  Selected Mission Requirements</w:t>
      </w:r>
    </w:p>
    <w:p>
      <w:r>
        <w:t>The values below define the preliminary estimating baseline. Requirements apply to each spacecraft unless stated otherwise. Sensitivity and confidence claims are conditional on a minimum of 100 valid impacts in the relevant comparison bin; low-count regimes will carry Poisson confidence intervals rather than a blanket detection guarantee.</w:t>
      </w:r>
    </w:p>
    <w:p>
      <w:pPr>
        <w:pStyle w:val="Caption"/>
      </w:pPr>
      <w:r>
        <w:t>Table 2 – Selected Mission Requirements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088"/>
            <w:vAlign w:val="center"/>
            <w:shd w:fill="18384F"/>
            <w:tcMar>
              <w:top w:w="75" w:type="dxa"/>
              <w:left w:w="75" w:type="dxa"/>
              <w:bottom w:w="75" w:type="dxa"/>
              <w:right w:w="75" w:type="dxa"/>
            </w:tcMar>
          </w:tcPr>
          <w:p>
            <w:pPr>
              <w:spacing w:after="0"/>
            </w:pPr>
            <w:r>
              <w:rPr>
                <w:b/>
                <w:color w:val="FFFFFF"/>
                <w:sz w:val="16"/>
              </w:rPr>
              <w:t>Area</w:t>
            </w:r>
          </w:p>
        </w:tc>
        <w:tc>
          <w:tcPr>
            <w:tcW w:type="dxa" w:w="7416"/>
            <w:vAlign w:val="center"/>
            <w:shd w:fill="18384F"/>
            <w:tcMar>
              <w:top w:w="75" w:type="dxa"/>
              <w:left w:w="75" w:type="dxa"/>
              <w:bottom w:w="75" w:type="dxa"/>
              <w:right w:w="75" w:type="dxa"/>
            </w:tcMar>
          </w:tcPr>
          <w:p>
            <w:pPr>
              <w:spacing w:after="0"/>
            </w:pPr>
            <w:r>
              <w:rPr>
                <w:b/>
                <w:color w:val="FFFFFF"/>
                <w:sz w:val="16"/>
              </w:rPr>
              <w:t>Key requirement</w:t>
            </w:r>
          </w:p>
        </w:tc>
      </w:tr>
      <w:tr>
        <w:tc>
          <w:tcPr>
            <w:tcW w:type="dxa" w:w="2088"/>
            <w:vAlign w:val="center"/>
            <w:shd w:fill="FFFFFF"/>
            <w:tcMar>
              <w:top w:w="75" w:type="dxa"/>
              <w:left w:w="75" w:type="dxa"/>
              <w:bottom w:w="75" w:type="dxa"/>
              <w:right w:w="75" w:type="dxa"/>
            </w:tcMar>
          </w:tcPr>
          <w:p>
            <w:pPr>
              <w:spacing w:after="0"/>
            </w:pPr>
            <w:r>
              <w:rPr>
                <w:b w:val="0"/>
                <w:color w:val="12222B"/>
                <w:sz w:val="16"/>
              </w:rPr>
              <w:t>Flight architecture</w:t>
            </w:r>
          </w:p>
        </w:tc>
        <w:tc>
          <w:tcPr>
            <w:tcW w:type="dxa" w:w="7416"/>
            <w:vAlign w:val="center"/>
            <w:shd w:fill="FFFFFF"/>
            <w:tcMar>
              <w:top w:w="75" w:type="dxa"/>
              <w:left w:w="75" w:type="dxa"/>
              <w:bottom w:w="75" w:type="dxa"/>
              <w:right w:w="75" w:type="dxa"/>
            </w:tcMar>
          </w:tcPr>
          <w:p>
            <w:pPr>
              <w:spacing w:after="0"/>
            </w:pPr>
            <w:r>
              <w:rPr>
                <w:b w:val="0"/>
                <w:color w:val="12222B"/>
                <w:sz w:val="16"/>
              </w:rPr>
              <w:t>Three near-identical independent spacecraft; one launch and sequential separation.</w:t>
            </w:r>
          </w:p>
        </w:tc>
      </w:tr>
      <w:tr>
        <w:tc>
          <w:tcPr>
            <w:tcW w:type="dxa" w:w="2088"/>
            <w:vAlign w:val="center"/>
            <w:shd w:fill="F0F5F7"/>
            <w:tcMar>
              <w:top w:w="75" w:type="dxa"/>
              <w:left w:w="75" w:type="dxa"/>
              <w:bottom w:w="75" w:type="dxa"/>
              <w:right w:w="75" w:type="dxa"/>
            </w:tcMar>
          </w:tcPr>
          <w:p>
            <w:pPr>
              <w:spacing w:after="0"/>
            </w:pPr>
            <w:r>
              <w:rPr>
                <w:b w:val="0"/>
                <w:color w:val="12222B"/>
                <w:sz w:val="16"/>
              </w:rPr>
              <w:t>Science region</w:t>
            </w:r>
          </w:p>
        </w:tc>
        <w:tc>
          <w:tcPr>
            <w:tcW w:type="dxa" w:w="7416"/>
            <w:vAlign w:val="center"/>
            <w:shd w:fill="F0F5F7"/>
            <w:tcMar>
              <w:top w:w="75" w:type="dxa"/>
              <w:left w:w="75" w:type="dxa"/>
              <w:bottom w:w="75" w:type="dxa"/>
              <w:right w:w="75" w:type="dxa"/>
            </w:tcMar>
          </w:tcPr>
          <w:p>
            <w:pPr>
              <w:spacing w:after="0"/>
            </w:pPr>
            <w:r>
              <w:rPr>
                <w:b w:val="0"/>
                <w:color w:val="12222B"/>
                <w:sz w:val="16"/>
              </w:rPr>
              <w:t>Heliocentric radius 0.97–1.03 AU; operational solar elongation 40°–140° for photometry.</w:t>
            </w:r>
          </w:p>
        </w:tc>
      </w:tr>
      <w:tr>
        <w:tc>
          <w:tcPr>
            <w:tcW w:type="dxa" w:w="2088"/>
            <w:vAlign w:val="center"/>
            <w:shd w:fill="FFFFFF"/>
            <w:tcMar>
              <w:top w:w="75" w:type="dxa"/>
              <w:left w:w="75" w:type="dxa"/>
              <w:bottom w:w="75" w:type="dxa"/>
              <w:right w:w="75" w:type="dxa"/>
            </w:tcMar>
          </w:tcPr>
          <w:p>
            <w:pPr>
              <w:spacing w:after="0"/>
            </w:pPr>
            <w:r>
              <w:rPr>
                <w:b w:val="0"/>
                <w:color w:val="12222B"/>
                <w:sz w:val="16"/>
              </w:rPr>
              <w:t>Nominal life</w:t>
            </w:r>
          </w:p>
        </w:tc>
        <w:tc>
          <w:tcPr>
            <w:tcW w:type="dxa" w:w="7416"/>
            <w:vAlign w:val="center"/>
            <w:shd w:fill="FFFFFF"/>
            <w:tcMar>
              <w:top w:w="75" w:type="dxa"/>
              <w:left w:w="75" w:type="dxa"/>
              <w:bottom w:w="75" w:type="dxa"/>
              <w:right w:w="75" w:type="dxa"/>
            </w:tcMar>
          </w:tcPr>
          <w:p>
            <w:pPr>
              <w:spacing w:after="0"/>
            </w:pPr>
            <w:r>
              <w:rPr>
                <w:b w:val="0"/>
                <w:color w:val="12222B"/>
                <w:sz w:val="16"/>
              </w:rPr>
              <w:t>Five years of science after six-month cruise/commissioning; propellant and reliability sized to six years after launch.</w:t>
            </w:r>
          </w:p>
        </w:tc>
      </w:tr>
      <w:tr>
        <w:tc>
          <w:tcPr>
            <w:tcW w:type="dxa" w:w="2088"/>
            <w:vAlign w:val="center"/>
            <w:shd w:fill="F0F5F7"/>
            <w:tcMar>
              <w:top w:w="75" w:type="dxa"/>
              <w:left w:w="75" w:type="dxa"/>
              <w:bottom w:w="75" w:type="dxa"/>
              <w:right w:w="75" w:type="dxa"/>
            </w:tcMar>
          </w:tcPr>
          <w:p>
            <w:pPr>
              <w:spacing w:after="0"/>
            </w:pPr>
            <w:r>
              <w:rPr>
                <w:b w:val="0"/>
                <w:color w:val="12222B"/>
                <w:sz w:val="16"/>
              </w:rPr>
              <w:t>Spacecraft mass</w:t>
            </w:r>
          </w:p>
        </w:tc>
        <w:tc>
          <w:tcPr>
            <w:tcW w:type="dxa" w:w="7416"/>
            <w:vAlign w:val="center"/>
            <w:shd w:fill="F0F5F7"/>
            <w:tcMar>
              <w:top w:w="75" w:type="dxa"/>
              <w:left w:w="75" w:type="dxa"/>
              <w:bottom w:w="75" w:type="dxa"/>
              <w:right w:w="75" w:type="dxa"/>
            </w:tcMar>
          </w:tcPr>
          <w:p>
            <w:pPr>
              <w:spacing w:after="0"/>
            </w:pPr>
            <w:r>
              <w:rPr>
                <w:b w:val="0"/>
                <w:color w:val="12222B"/>
                <w:sz w:val="16"/>
              </w:rPr>
              <w:t>≤210 kg launch mass per flight unit; three-unit launch stack ≤790 kg including 160 kg dispenser/adaptor allowance.</w:t>
            </w:r>
          </w:p>
        </w:tc>
      </w:tr>
      <w:tr>
        <w:tc>
          <w:tcPr>
            <w:tcW w:type="dxa" w:w="2088"/>
            <w:vAlign w:val="center"/>
            <w:shd w:fill="FFFFFF"/>
            <w:tcMar>
              <w:top w:w="75" w:type="dxa"/>
              <w:left w:w="75" w:type="dxa"/>
              <w:bottom w:w="75" w:type="dxa"/>
              <w:right w:w="75" w:type="dxa"/>
            </w:tcMar>
          </w:tcPr>
          <w:p>
            <w:pPr>
              <w:spacing w:after="0"/>
            </w:pPr>
            <w:r>
              <w:rPr>
                <w:b w:val="0"/>
                <w:color w:val="12222B"/>
                <w:sz w:val="16"/>
              </w:rPr>
              <w:t>Impact measurement</w:t>
            </w:r>
          </w:p>
        </w:tc>
        <w:tc>
          <w:tcPr>
            <w:tcW w:type="dxa" w:w="7416"/>
            <w:vAlign w:val="center"/>
            <w:shd w:fill="FFFFFF"/>
            <w:tcMar>
              <w:top w:w="75" w:type="dxa"/>
              <w:left w:w="75" w:type="dxa"/>
              <w:bottom w:w="75" w:type="dxa"/>
              <w:right w:w="75" w:type="dxa"/>
            </w:tcMar>
          </w:tcPr>
          <w:p>
            <w:pPr>
              <w:spacing w:after="0"/>
            </w:pPr>
            <w:r>
              <w:rPr>
                <w:b w:val="0"/>
                <w:color w:val="12222B"/>
                <w:sz w:val="16"/>
              </w:rPr>
              <w:t>10⁻¹³–10⁻⁶ kg particles; ≥0.10 m² effective sensitive area; dead time ≤2 ms per accepted event.</w:t>
            </w:r>
          </w:p>
        </w:tc>
      </w:tr>
      <w:tr>
        <w:tc>
          <w:tcPr>
            <w:tcW w:type="dxa" w:w="2088"/>
            <w:vAlign w:val="center"/>
            <w:shd w:fill="F0F5F7"/>
            <w:tcMar>
              <w:top w:w="75" w:type="dxa"/>
              <w:left w:w="75" w:type="dxa"/>
              <w:bottom w:w="75" w:type="dxa"/>
              <w:right w:w="75" w:type="dxa"/>
            </w:tcMar>
          </w:tcPr>
          <w:p>
            <w:pPr>
              <w:spacing w:after="0"/>
            </w:pPr>
            <w:r>
              <w:rPr>
                <w:b w:val="0"/>
                <w:color w:val="12222B"/>
                <w:sz w:val="16"/>
              </w:rPr>
              <w:t>Flux dynamic range</w:t>
            </w:r>
          </w:p>
        </w:tc>
        <w:tc>
          <w:tcPr>
            <w:tcW w:type="dxa" w:w="7416"/>
            <w:vAlign w:val="center"/>
            <w:shd w:fill="F0F5F7"/>
            <w:tcMar>
              <w:top w:w="75" w:type="dxa"/>
              <w:left w:w="75" w:type="dxa"/>
              <w:bottom w:w="75" w:type="dxa"/>
              <w:right w:w="75" w:type="dxa"/>
            </w:tcMar>
          </w:tcPr>
          <w:p>
            <w:pPr>
              <w:spacing w:after="0"/>
            </w:pPr>
            <w:r>
              <w:rPr>
                <w:b w:val="0"/>
                <w:color w:val="12222B"/>
                <w:sz w:val="16"/>
              </w:rPr>
              <w:t>10⁻⁶ to 10² impacts m⁻² s⁻¹ with selectable event threshold and saturation flagging.</w:t>
            </w:r>
          </w:p>
        </w:tc>
      </w:tr>
      <w:tr>
        <w:tc>
          <w:tcPr>
            <w:tcW w:type="dxa" w:w="2088"/>
            <w:vAlign w:val="center"/>
            <w:shd w:fill="FFFFFF"/>
            <w:tcMar>
              <w:top w:w="75" w:type="dxa"/>
              <w:left w:w="75" w:type="dxa"/>
              <w:bottom w:w="75" w:type="dxa"/>
              <w:right w:w="75" w:type="dxa"/>
            </w:tcMar>
          </w:tcPr>
          <w:p>
            <w:pPr>
              <w:spacing w:after="0"/>
            </w:pPr>
            <w:r>
              <w:rPr>
                <w:b w:val="0"/>
                <w:color w:val="12222B"/>
                <w:sz w:val="16"/>
              </w:rPr>
              <w:t>Optical photometry</w:t>
            </w:r>
          </w:p>
        </w:tc>
        <w:tc>
          <w:tcPr>
            <w:tcW w:type="dxa" w:w="7416"/>
            <w:vAlign w:val="center"/>
            <w:shd w:fill="FFFFFF"/>
            <w:tcMar>
              <w:top w:w="75" w:type="dxa"/>
              <w:left w:w="75" w:type="dxa"/>
              <w:bottom w:w="75" w:type="dxa"/>
              <w:right w:w="75" w:type="dxa"/>
            </w:tcMar>
          </w:tcPr>
          <w:p>
            <w:pPr>
              <w:spacing w:after="0"/>
            </w:pPr>
            <w:r>
              <w:rPr>
                <w:b w:val="0"/>
                <w:color w:val="12222B"/>
                <w:sz w:val="16"/>
              </w:rPr>
              <w:t>Three bands centered at 0.48, 0.72 and 1.05 µm; ≥20° field; ≤1% relative repeatability for calibrated brightness &gt;100 nW m⁻² sr⁻¹.</w:t>
            </w:r>
          </w:p>
        </w:tc>
      </w:tr>
      <w:tr>
        <w:tc>
          <w:tcPr>
            <w:tcW w:type="dxa" w:w="2088"/>
            <w:vAlign w:val="center"/>
            <w:shd w:fill="F0F5F7"/>
            <w:tcMar>
              <w:top w:w="75" w:type="dxa"/>
              <w:left w:w="75" w:type="dxa"/>
              <w:bottom w:w="75" w:type="dxa"/>
              <w:right w:w="75" w:type="dxa"/>
            </w:tcMar>
          </w:tcPr>
          <w:p>
            <w:pPr>
              <w:spacing w:after="0"/>
            </w:pPr>
            <w:r>
              <w:rPr>
                <w:b w:val="0"/>
                <w:color w:val="12222B"/>
                <w:sz w:val="16"/>
              </w:rPr>
              <w:t>Pointing and knowledge</w:t>
            </w:r>
          </w:p>
        </w:tc>
        <w:tc>
          <w:tcPr>
            <w:tcW w:type="dxa" w:w="7416"/>
            <w:vAlign w:val="center"/>
            <w:shd w:fill="F0F5F7"/>
            <w:tcMar>
              <w:top w:w="75" w:type="dxa"/>
              <w:left w:w="75" w:type="dxa"/>
              <w:bottom w:w="75" w:type="dxa"/>
              <w:right w:w="75" w:type="dxa"/>
            </w:tcMar>
          </w:tcPr>
          <w:p>
            <w:pPr>
              <w:spacing w:after="0"/>
            </w:pPr>
            <w:r>
              <w:rPr>
                <w:b w:val="0"/>
                <w:color w:val="12222B"/>
                <w:sz w:val="16"/>
              </w:rPr>
              <w:t>≤0.20° absolute pointing error and ≤0.05° knowledge for photometric scans (95th percentile).</w:t>
            </w:r>
          </w:p>
        </w:tc>
      </w:tr>
      <w:tr>
        <w:tc>
          <w:tcPr>
            <w:tcW w:type="dxa" w:w="2088"/>
            <w:vAlign w:val="center"/>
            <w:shd w:fill="FFFFFF"/>
            <w:tcMar>
              <w:top w:w="75" w:type="dxa"/>
              <w:left w:w="75" w:type="dxa"/>
              <w:bottom w:w="75" w:type="dxa"/>
              <w:right w:w="75" w:type="dxa"/>
            </w:tcMar>
          </w:tcPr>
          <w:p>
            <w:pPr>
              <w:spacing w:after="0"/>
            </w:pPr>
            <w:r>
              <w:rPr>
                <w:b w:val="0"/>
                <w:color w:val="12222B"/>
                <w:sz w:val="16"/>
              </w:rPr>
              <w:t>Orbit knowledge</w:t>
            </w:r>
          </w:p>
        </w:tc>
        <w:tc>
          <w:tcPr>
            <w:tcW w:type="dxa" w:w="7416"/>
            <w:vAlign w:val="center"/>
            <w:shd w:fill="FFFFFF"/>
            <w:tcMar>
              <w:top w:w="75" w:type="dxa"/>
              <w:left w:w="75" w:type="dxa"/>
              <w:bottom w:w="75" w:type="dxa"/>
              <w:right w:w="75" w:type="dxa"/>
            </w:tcMar>
          </w:tcPr>
          <w:p>
            <w:pPr>
              <w:spacing w:after="0"/>
            </w:pPr>
            <w:r>
              <w:rPr>
                <w:b w:val="0"/>
                <w:color w:val="12222B"/>
                <w:sz w:val="16"/>
              </w:rPr>
              <w:t>≤20 km position uncertainty (3σ) for science geolocation after ground solution.</w:t>
            </w:r>
          </w:p>
        </w:tc>
      </w:tr>
      <w:tr>
        <w:tc>
          <w:tcPr>
            <w:tcW w:type="dxa" w:w="2088"/>
            <w:vAlign w:val="center"/>
            <w:shd w:fill="F0F5F7"/>
            <w:tcMar>
              <w:top w:w="75" w:type="dxa"/>
              <w:left w:w="75" w:type="dxa"/>
              <w:bottom w:w="75" w:type="dxa"/>
              <w:right w:w="75" w:type="dxa"/>
            </w:tcMar>
          </w:tcPr>
          <w:p>
            <w:pPr>
              <w:spacing w:after="0"/>
            </w:pPr>
            <w:r>
              <w:rPr>
                <w:b w:val="0"/>
                <w:color w:val="12222B"/>
                <w:sz w:val="16"/>
              </w:rPr>
              <w:t>Autonomy</w:t>
            </w:r>
          </w:p>
        </w:tc>
        <w:tc>
          <w:tcPr>
            <w:tcW w:type="dxa" w:w="7416"/>
            <w:vAlign w:val="center"/>
            <w:shd w:fill="F0F5F7"/>
            <w:tcMar>
              <w:top w:w="75" w:type="dxa"/>
              <w:left w:w="75" w:type="dxa"/>
              <w:bottom w:w="75" w:type="dxa"/>
              <w:right w:w="75" w:type="dxa"/>
            </w:tcMar>
          </w:tcPr>
          <w:p>
            <w:pPr>
              <w:spacing w:after="0"/>
            </w:pPr>
            <w:r>
              <w:rPr>
                <w:b w:val="0"/>
                <w:color w:val="12222B"/>
                <w:sz w:val="16"/>
              </w:rPr>
              <w:t>≥96 h safe-mode operation without a ground contact; ≥7 days autonomous stored-data retention.</w:t>
            </w:r>
          </w:p>
        </w:tc>
      </w:tr>
      <w:tr>
        <w:tc>
          <w:tcPr>
            <w:tcW w:type="dxa" w:w="2088"/>
            <w:vAlign w:val="center"/>
            <w:shd w:fill="FFFFFF"/>
            <w:tcMar>
              <w:top w:w="75" w:type="dxa"/>
              <w:left w:w="75" w:type="dxa"/>
              <w:bottom w:w="75" w:type="dxa"/>
              <w:right w:w="75" w:type="dxa"/>
            </w:tcMar>
          </w:tcPr>
          <w:p>
            <w:pPr>
              <w:spacing w:after="0"/>
            </w:pPr>
            <w:r>
              <w:rPr>
                <w:b w:val="0"/>
                <w:color w:val="12222B"/>
                <w:sz w:val="16"/>
              </w:rPr>
              <w:t>Storage</w:t>
            </w:r>
          </w:p>
        </w:tc>
        <w:tc>
          <w:tcPr>
            <w:tcW w:type="dxa" w:w="7416"/>
            <w:vAlign w:val="center"/>
            <w:shd w:fill="FFFFFF"/>
            <w:tcMar>
              <w:top w:w="75" w:type="dxa"/>
              <w:left w:w="75" w:type="dxa"/>
              <w:bottom w:w="75" w:type="dxa"/>
              <w:right w:w="75" w:type="dxa"/>
            </w:tcMar>
          </w:tcPr>
          <w:p>
            <w:pPr>
              <w:spacing w:after="0"/>
            </w:pPr>
            <w:r>
              <w:rPr>
                <w:b w:val="0"/>
                <w:color w:val="12222B"/>
                <w:sz w:val="16"/>
              </w:rPr>
              <w:t>≥64 GB usable nonvolatile storage per spacecraft, with error correction.</w:t>
            </w:r>
          </w:p>
        </w:tc>
      </w:tr>
      <w:tr>
        <w:tc>
          <w:tcPr>
            <w:tcW w:type="dxa" w:w="2088"/>
            <w:vAlign w:val="center"/>
            <w:shd w:fill="F0F5F7"/>
            <w:tcMar>
              <w:top w:w="75" w:type="dxa"/>
              <w:left w:w="75" w:type="dxa"/>
              <w:bottom w:w="75" w:type="dxa"/>
              <w:right w:w="75" w:type="dxa"/>
            </w:tcMar>
          </w:tcPr>
          <w:p>
            <w:pPr>
              <w:spacing w:after="0"/>
            </w:pPr>
            <w:r>
              <w:rPr>
                <w:b w:val="0"/>
                <w:color w:val="12222B"/>
                <w:sz w:val="16"/>
              </w:rPr>
              <w:t>Data volume</w:t>
            </w:r>
          </w:p>
        </w:tc>
        <w:tc>
          <w:tcPr>
            <w:tcW w:type="dxa" w:w="7416"/>
            <w:vAlign w:val="center"/>
            <w:shd w:fill="F0F5F7"/>
            <w:tcMar>
              <w:top w:w="75" w:type="dxa"/>
              <w:left w:w="75" w:type="dxa"/>
              <w:bottom w:w="75" w:type="dxa"/>
              <w:right w:w="75" w:type="dxa"/>
            </w:tcMar>
          </w:tcPr>
          <w:p>
            <w:pPr>
              <w:spacing w:after="0"/>
            </w:pPr>
            <w:r>
              <w:rPr>
                <w:b w:val="0"/>
                <w:color w:val="12222B"/>
                <w:sz w:val="16"/>
              </w:rPr>
              <w:t>0.75 GB/day per spacecraft average; 1.5 GB/day per spacecraft 95th-percentile planning case.</w:t>
            </w:r>
          </w:p>
        </w:tc>
      </w:tr>
      <w:tr>
        <w:tc>
          <w:tcPr>
            <w:tcW w:type="dxa" w:w="2088"/>
            <w:vAlign w:val="center"/>
            <w:shd w:fill="FFFFFF"/>
            <w:tcMar>
              <w:top w:w="75" w:type="dxa"/>
              <w:left w:w="75" w:type="dxa"/>
              <w:bottom w:w="75" w:type="dxa"/>
              <w:right w:w="75" w:type="dxa"/>
            </w:tcMar>
          </w:tcPr>
          <w:p>
            <w:pPr>
              <w:spacing w:after="0"/>
            </w:pPr>
            <w:r>
              <w:rPr>
                <w:b w:val="0"/>
                <w:color w:val="12222B"/>
                <w:sz w:val="16"/>
              </w:rPr>
              <w:t>Communications</w:t>
            </w:r>
          </w:p>
        </w:tc>
        <w:tc>
          <w:tcPr>
            <w:tcW w:type="dxa" w:w="7416"/>
            <w:vAlign w:val="center"/>
            <w:shd w:fill="FFFFFF"/>
            <w:tcMar>
              <w:top w:w="75" w:type="dxa"/>
              <w:left w:w="75" w:type="dxa"/>
              <w:bottom w:w="75" w:type="dxa"/>
              <w:right w:w="75" w:type="dxa"/>
            </w:tcMar>
          </w:tcPr>
          <w:p>
            <w:pPr>
              <w:spacing w:after="0"/>
            </w:pPr>
            <w:r>
              <w:rPr>
                <w:b w:val="0"/>
                <w:color w:val="12222B"/>
                <w:sz w:val="16"/>
              </w:rPr>
              <w:t>X-band ≥2 Mb/s user data rate at 1.5 AU range to 12 m-class antenna at ≥3 dB link margin; S-band command ≥2 kb/s.</w:t>
            </w:r>
          </w:p>
        </w:tc>
      </w:tr>
      <w:tr>
        <w:tc>
          <w:tcPr>
            <w:tcW w:type="dxa" w:w="2088"/>
            <w:vAlign w:val="center"/>
            <w:shd w:fill="F0F5F7"/>
            <w:tcMar>
              <w:top w:w="75" w:type="dxa"/>
              <w:left w:w="75" w:type="dxa"/>
              <w:bottom w:w="75" w:type="dxa"/>
              <w:right w:w="75" w:type="dxa"/>
            </w:tcMar>
          </w:tcPr>
          <w:p>
            <w:pPr>
              <w:spacing w:after="0"/>
            </w:pPr>
            <w:r>
              <w:rPr>
                <w:b w:val="0"/>
                <w:color w:val="12222B"/>
                <w:sz w:val="16"/>
              </w:rPr>
              <w:t>Science latency</w:t>
            </w:r>
          </w:p>
        </w:tc>
        <w:tc>
          <w:tcPr>
            <w:tcW w:type="dxa" w:w="7416"/>
            <w:vAlign w:val="center"/>
            <w:shd w:fill="F0F5F7"/>
            <w:tcMar>
              <w:top w:w="75" w:type="dxa"/>
              <w:left w:w="75" w:type="dxa"/>
              <w:bottom w:w="75" w:type="dxa"/>
              <w:right w:w="75" w:type="dxa"/>
            </w:tcMar>
          </w:tcPr>
          <w:p>
            <w:pPr>
              <w:spacing w:after="0"/>
            </w:pPr>
            <w:r>
              <w:rPr>
                <w:b w:val="0"/>
                <w:color w:val="12222B"/>
                <w:sz w:val="16"/>
              </w:rPr>
              <w:t>Priority event packet delivered ≤24 h after ground receipt; routine L1 ≤7 days; L2 ≤30 days.</w:t>
            </w:r>
          </w:p>
        </w:tc>
      </w:tr>
      <w:tr>
        <w:tc>
          <w:tcPr>
            <w:tcW w:type="dxa" w:w="2088"/>
            <w:vAlign w:val="center"/>
            <w:shd w:fill="FFFFFF"/>
            <w:tcMar>
              <w:top w:w="75" w:type="dxa"/>
              <w:left w:w="75" w:type="dxa"/>
              <w:bottom w:w="75" w:type="dxa"/>
              <w:right w:w="75" w:type="dxa"/>
            </w:tcMar>
          </w:tcPr>
          <w:p>
            <w:pPr>
              <w:spacing w:after="0"/>
            </w:pPr>
            <w:r>
              <w:rPr>
                <w:b w:val="0"/>
                <w:color w:val="12222B"/>
                <w:sz w:val="16"/>
              </w:rPr>
              <w:t>Power</w:t>
            </w:r>
          </w:p>
        </w:tc>
        <w:tc>
          <w:tcPr>
            <w:tcW w:type="dxa" w:w="7416"/>
            <w:vAlign w:val="center"/>
            <w:shd w:fill="FFFFFF"/>
            <w:tcMar>
              <w:top w:w="75" w:type="dxa"/>
              <w:left w:w="75" w:type="dxa"/>
              <w:bottom w:w="75" w:type="dxa"/>
              <w:right w:w="75" w:type="dxa"/>
            </w:tcMar>
          </w:tcPr>
          <w:p>
            <w:pPr>
              <w:spacing w:after="0"/>
            </w:pPr>
            <w:r>
              <w:rPr>
                <w:b w:val="0"/>
                <w:color w:val="12222B"/>
                <w:sz w:val="16"/>
              </w:rPr>
              <w:t>780 W end-of-life generation at 1 AU; nominal science demand ≤410 W; maximum simultaneous peak ≤625 W.</w:t>
            </w:r>
          </w:p>
        </w:tc>
      </w:tr>
      <w:tr>
        <w:tc>
          <w:tcPr>
            <w:tcW w:type="dxa" w:w="2088"/>
            <w:vAlign w:val="center"/>
            <w:shd w:fill="F0F5F7"/>
            <w:tcMar>
              <w:top w:w="75" w:type="dxa"/>
              <w:left w:w="75" w:type="dxa"/>
              <w:bottom w:w="75" w:type="dxa"/>
              <w:right w:w="75" w:type="dxa"/>
            </w:tcMar>
          </w:tcPr>
          <w:p>
            <w:pPr>
              <w:spacing w:after="0"/>
            </w:pPr>
            <w:r>
              <w:rPr>
                <w:b w:val="0"/>
                <w:color w:val="12222B"/>
                <w:sz w:val="16"/>
              </w:rPr>
              <w:t>Thermal</w:t>
            </w:r>
          </w:p>
        </w:tc>
        <w:tc>
          <w:tcPr>
            <w:tcW w:type="dxa" w:w="7416"/>
            <w:vAlign w:val="center"/>
            <w:shd w:fill="F0F5F7"/>
            <w:tcMar>
              <w:top w:w="75" w:type="dxa"/>
              <w:left w:w="75" w:type="dxa"/>
              <w:bottom w:w="75" w:type="dxa"/>
              <w:right w:w="75" w:type="dxa"/>
            </w:tcMar>
          </w:tcPr>
          <w:p>
            <w:pPr>
              <w:spacing w:after="0"/>
            </w:pPr>
            <w:r>
              <w:rPr>
                <w:b w:val="0"/>
                <w:color w:val="12222B"/>
                <w:sz w:val="16"/>
              </w:rPr>
              <w:t>Bus avionics 0–40 °C operating; impact electronics −10–45 °C; detector surfaces calibrated over −20–50 °C.</w:t>
            </w:r>
          </w:p>
        </w:tc>
      </w:tr>
      <w:tr>
        <w:tc>
          <w:tcPr>
            <w:tcW w:type="dxa" w:w="2088"/>
            <w:vAlign w:val="center"/>
            <w:shd w:fill="FFFFFF"/>
            <w:tcMar>
              <w:top w:w="75" w:type="dxa"/>
              <w:left w:w="75" w:type="dxa"/>
              <w:bottom w:w="75" w:type="dxa"/>
              <w:right w:w="75" w:type="dxa"/>
            </w:tcMar>
          </w:tcPr>
          <w:p>
            <w:pPr>
              <w:spacing w:after="0"/>
            </w:pPr>
            <w:r>
              <w:rPr>
                <w:b w:val="0"/>
                <w:color w:val="12222B"/>
                <w:sz w:val="16"/>
              </w:rPr>
              <w:t>Reliability</w:t>
            </w:r>
          </w:p>
        </w:tc>
        <w:tc>
          <w:tcPr>
            <w:tcW w:type="dxa" w:w="7416"/>
            <w:vAlign w:val="center"/>
            <w:shd w:fill="FFFFFF"/>
            <w:tcMar>
              <w:top w:w="75" w:type="dxa"/>
              <w:left w:w="75" w:type="dxa"/>
              <w:bottom w:w="75" w:type="dxa"/>
              <w:right w:w="75" w:type="dxa"/>
            </w:tcMar>
          </w:tcPr>
          <w:p>
            <w:pPr>
              <w:spacing w:after="0"/>
            </w:pPr>
            <w:r>
              <w:rPr>
                <w:b w:val="0"/>
                <w:color w:val="12222B"/>
                <w:sz w:val="16"/>
              </w:rPr>
              <w:t>≥0.80 probability of ≥2 functional spacecraft at end of year five, to be validated by reliability analysis.</w:t>
            </w:r>
          </w:p>
        </w:tc>
      </w:tr>
      <w:tr>
        <w:tc>
          <w:tcPr>
            <w:tcW w:type="dxa" w:w="2088"/>
            <w:vAlign w:val="center"/>
            <w:shd w:fill="F0F5F7"/>
            <w:tcMar>
              <w:top w:w="75" w:type="dxa"/>
              <w:left w:w="75" w:type="dxa"/>
              <w:bottom w:w="75" w:type="dxa"/>
              <w:right w:w="75" w:type="dxa"/>
            </w:tcMar>
          </w:tcPr>
          <w:p>
            <w:pPr>
              <w:spacing w:after="0"/>
            </w:pPr>
            <w:r>
              <w:rPr>
                <w:b w:val="0"/>
                <w:color w:val="12222B"/>
                <w:sz w:val="16"/>
              </w:rPr>
              <w:t>Ground capacity</w:t>
            </w:r>
          </w:p>
        </w:tc>
        <w:tc>
          <w:tcPr>
            <w:tcW w:type="dxa" w:w="7416"/>
            <w:vAlign w:val="center"/>
            <w:shd w:fill="F0F5F7"/>
            <w:tcMar>
              <w:top w:w="75" w:type="dxa"/>
              <w:left w:w="75" w:type="dxa"/>
              <w:bottom w:w="75" w:type="dxa"/>
              <w:right w:w="75" w:type="dxa"/>
            </w:tcMar>
          </w:tcPr>
          <w:p>
            <w:pPr>
              <w:spacing w:after="0"/>
            </w:pPr>
            <w:r>
              <w:rPr>
                <w:b w:val="0"/>
                <w:color w:val="12222B"/>
                <w:sz w:val="16"/>
              </w:rPr>
              <w:t>Three 12 m-class antenna sites; 15 GB/day raw ingest capability; 120 TB managed archive.</w:t>
            </w:r>
          </w:p>
        </w:tc>
      </w:tr>
      <w:tr>
        <w:tc>
          <w:tcPr>
            <w:tcW w:type="dxa" w:w="2088"/>
            <w:vAlign w:val="center"/>
            <w:shd w:fill="FFFFFF"/>
            <w:tcMar>
              <w:top w:w="75" w:type="dxa"/>
              <w:left w:w="75" w:type="dxa"/>
              <w:bottom w:w="75" w:type="dxa"/>
              <w:right w:w="75" w:type="dxa"/>
            </w:tcMar>
          </w:tcPr>
          <w:p>
            <w:pPr>
              <w:spacing w:after="0"/>
            </w:pPr>
            <w:r>
              <w:rPr>
                <w:b w:val="0"/>
                <w:color w:val="12222B"/>
                <w:sz w:val="16"/>
              </w:rPr>
              <w:t>Disposal</w:t>
            </w:r>
          </w:p>
        </w:tc>
        <w:tc>
          <w:tcPr>
            <w:tcW w:type="dxa" w:w="7416"/>
            <w:vAlign w:val="center"/>
            <w:shd w:fill="FFFFFF"/>
            <w:tcMar>
              <w:top w:w="75" w:type="dxa"/>
              <w:left w:w="75" w:type="dxa"/>
              <w:bottom w:w="75" w:type="dxa"/>
              <w:right w:w="75" w:type="dxa"/>
            </w:tcMar>
          </w:tcPr>
          <w:p>
            <w:pPr>
              <w:spacing w:after="0"/>
            </w:pPr>
            <w:r>
              <w:rPr>
                <w:b w:val="0"/>
                <w:color w:val="12222B"/>
                <w:sz w:val="16"/>
              </w:rPr>
              <w:t>Commanded passivation at end of operations; no Earth re-entry or planetary impact in the reference case.</w:t>
            </w:r>
          </w:p>
        </w:tc>
      </w:tr>
    </w:tbl>
    <w:p>
      <w:pPr>
        <w:pStyle w:val="Heading2"/>
      </w:pPr>
      <w:r>
        <w:t>2.5  High-Level Mission Architecture</w:t>
      </w:r>
    </w:p>
    <w:p>
      <w:pPr>
        <w:pStyle w:val="ListBullet"/>
      </w:pPr>
      <w:r>
        <w:t>Government Segment: ASD owns mission requirements, systems engineering, procurement, project controls and mission acceptance.</w:t>
      </w:r>
    </w:p>
    <w:p>
      <w:pPr>
        <w:pStyle w:val="ListBullet"/>
      </w:pPr>
      <w:r>
        <w:t>Space Segment: D1, D2 and D3 share a bus and each carries an impact detector, a three-band photometer and a plasma/context package.</w:t>
      </w:r>
    </w:p>
    <w:p>
      <w:pPr>
        <w:pStyle w:val="ListBullet"/>
      </w:pPr>
      <w:r>
        <w:t>Launch Segment: one launch, a three-port dispenser, sequential deployment and injection into a heliocentric transfer.</w:t>
      </w:r>
    </w:p>
    <w:p>
      <w:pPr>
        <w:pStyle w:val="ListBullet"/>
      </w:pPr>
      <w:r>
        <w:t>Ground Segment: three geographically separated antennas, a mission-control center, flight dynamics, processing and archive.</w:t>
      </w:r>
    </w:p>
    <w:p>
      <w:pPr>
        <w:pStyle w:val="ListBullet"/>
      </w:pPr>
      <w:r>
        <w:t>Operations Segment: one staffed daily operations shift with 24-hour automated monitoring and on-call anomaly response.</w:t>
      </w:r>
    </w:p>
    <w:p>
      <w:pPr>
        <w:pStyle w:val="ListBullet"/>
      </w:pPr>
      <w:r>
        <w:t>Science Segment: RDI maintains the calibration/inversion pipeline and releases controlled Level 1 and Level 2 products.</w:t>
      </w:r>
    </w:p>
    <w:p>
      <w:pPr>
        <w:pStyle w:val="Heading1"/>
      </w:pPr>
      <w:r>
        <w:t>3  Space Segment Description</w:t>
      </w:r>
    </w:p>
    <w:p>
      <w:r>
        <w:t>The space segment consists of three flight units with common hardware and software baselines. Each unit is independently power positive and commandable after separation. Table 3 distinguishes mass allocations from performance targets; the flight design must close against both.</w:t>
      </w:r>
    </w:p>
    <w:p>
      <w:pPr>
        <w:pStyle w:val="Heading2"/>
      </w:pPr>
      <w:r>
        <w:t>3.1  Spacecraft Bus</w:t>
      </w:r>
    </w:p>
    <w:p>
      <w:pPr>
        <w:pStyle w:val="Caption"/>
      </w:pPr>
      <w:r>
        <w:t>Table 3 – Preliminary Spacecraft Allocation and Reference Data</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752"/>
            <w:vAlign w:val="center"/>
            <w:shd w:fill="18384F"/>
            <w:tcMar>
              <w:top w:w="75" w:type="dxa"/>
              <w:left w:w="75" w:type="dxa"/>
              <w:bottom w:w="75" w:type="dxa"/>
              <w:right w:w="75" w:type="dxa"/>
            </w:tcMar>
          </w:tcPr>
          <w:p>
            <w:pPr>
              <w:spacing w:after="0"/>
            </w:pPr>
            <w:r>
              <w:rPr>
                <w:b/>
                <w:color w:val="FFFFFF"/>
                <w:sz w:val="16"/>
              </w:rPr>
              <w:t>Parameter</w:t>
            </w:r>
          </w:p>
        </w:tc>
        <w:tc>
          <w:tcPr>
            <w:tcW w:type="dxa" w:w="4752"/>
            <w:vAlign w:val="center"/>
            <w:shd w:fill="18384F"/>
            <w:tcMar>
              <w:top w:w="75" w:type="dxa"/>
              <w:left w:w="75" w:type="dxa"/>
              <w:bottom w:w="75" w:type="dxa"/>
              <w:right w:w="75" w:type="dxa"/>
            </w:tcMar>
          </w:tcPr>
          <w:p>
            <w:pPr>
              <w:spacing w:after="0"/>
            </w:pPr>
            <w:r>
              <w:rPr>
                <w:b/>
                <w:color w:val="FFFFFF"/>
                <w:sz w:val="16"/>
              </w:rPr>
              <w:t>Per spacecraft allocation / target</w:t>
            </w:r>
          </w:p>
        </w:tc>
      </w:tr>
      <w:tr>
        <w:tc>
          <w:tcPr>
            <w:tcW w:type="dxa" w:w="4752"/>
            <w:vAlign w:val="center"/>
            <w:shd w:fill="FFFFFF"/>
            <w:tcMar>
              <w:top w:w="75" w:type="dxa"/>
              <w:left w:w="75" w:type="dxa"/>
              <w:bottom w:w="75" w:type="dxa"/>
              <w:right w:w="75" w:type="dxa"/>
            </w:tcMar>
          </w:tcPr>
          <w:p>
            <w:pPr>
              <w:spacing w:after="0"/>
            </w:pPr>
            <w:r>
              <w:rPr>
                <w:b w:val="0"/>
                <w:color w:val="12222B"/>
                <w:sz w:val="16"/>
              </w:rPr>
              <w:t>Dry bus including structure, avionics, ADCS, propulsion hardware</w:t>
            </w:r>
          </w:p>
        </w:tc>
        <w:tc>
          <w:tcPr>
            <w:tcW w:type="dxa" w:w="4752"/>
            <w:vAlign w:val="center"/>
            <w:shd w:fill="FFFFFF"/>
            <w:tcMar>
              <w:top w:w="75" w:type="dxa"/>
              <w:left w:w="75" w:type="dxa"/>
              <w:bottom w:w="75" w:type="dxa"/>
              <w:right w:w="75" w:type="dxa"/>
            </w:tcMar>
          </w:tcPr>
          <w:p>
            <w:pPr>
              <w:spacing w:after="0"/>
            </w:pPr>
            <w:r>
              <w:rPr>
                <w:b w:val="0"/>
                <w:color w:val="12222B"/>
                <w:sz w:val="16"/>
              </w:rPr>
              <w:t>104 kg</w:t>
            </w:r>
          </w:p>
        </w:tc>
      </w:tr>
      <w:tr>
        <w:tc>
          <w:tcPr>
            <w:tcW w:type="dxa" w:w="4752"/>
            <w:vAlign w:val="center"/>
            <w:shd w:fill="F0F5F7"/>
            <w:tcMar>
              <w:top w:w="75" w:type="dxa"/>
              <w:left w:w="75" w:type="dxa"/>
              <w:bottom w:w="75" w:type="dxa"/>
              <w:right w:w="75" w:type="dxa"/>
            </w:tcMar>
          </w:tcPr>
          <w:p>
            <w:pPr>
              <w:spacing w:after="0"/>
            </w:pPr>
            <w:r>
              <w:rPr>
                <w:b w:val="0"/>
                <w:color w:val="12222B"/>
                <w:sz w:val="16"/>
              </w:rPr>
              <w:t>Payload suite including electronics and accommodation</w:t>
            </w:r>
          </w:p>
        </w:tc>
        <w:tc>
          <w:tcPr>
            <w:tcW w:type="dxa" w:w="4752"/>
            <w:vAlign w:val="center"/>
            <w:shd w:fill="F0F5F7"/>
            <w:tcMar>
              <w:top w:w="75" w:type="dxa"/>
              <w:left w:w="75" w:type="dxa"/>
              <w:bottom w:w="75" w:type="dxa"/>
              <w:right w:w="75" w:type="dxa"/>
            </w:tcMar>
          </w:tcPr>
          <w:p>
            <w:pPr>
              <w:spacing w:after="0"/>
            </w:pPr>
            <w:r>
              <w:rPr>
                <w:b w:val="0"/>
                <w:color w:val="12222B"/>
                <w:sz w:val="16"/>
              </w:rPr>
              <w:t>38 kg</w:t>
            </w:r>
          </w:p>
        </w:tc>
      </w:tr>
      <w:tr>
        <w:tc>
          <w:tcPr>
            <w:tcW w:type="dxa" w:w="4752"/>
            <w:vAlign w:val="center"/>
            <w:shd w:fill="FFFFFF"/>
            <w:tcMar>
              <w:top w:w="75" w:type="dxa"/>
              <w:left w:w="75" w:type="dxa"/>
              <w:bottom w:w="75" w:type="dxa"/>
              <w:right w:w="75" w:type="dxa"/>
            </w:tcMar>
          </w:tcPr>
          <w:p>
            <w:pPr>
              <w:spacing w:after="0"/>
            </w:pPr>
            <w:r>
              <w:rPr>
                <w:b w:val="0"/>
                <w:color w:val="12222B"/>
                <w:sz w:val="16"/>
              </w:rPr>
              <w:t>Propellant and pressurant</w:t>
            </w:r>
          </w:p>
        </w:tc>
        <w:tc>
          <w:tcPr>
            <w:tcW w:type="dxa" w:w="4752"/>
            <w:vAlign w:val="center"/>
            <w:shd w:fill="FFFFFF"/>
            <w:tcMar>
              <w:top w:w="75" w:type="dxa"/>
              <w:left w:w="75" w:type="dxa"/>
              <w:bottom w:w="75" w:type="dxa"/>
              <w:right w:w="75" w:type="dxa"/>
            </w:tcMar>
          </w:tcPr>
          <w:p>
            <w:pPr>
              <w:spacing w:after="0"/>
            </w:pPr>
            <w:r>
              <w:rPr>
                <w:b w:val="0"/>
                <w:color w:val="12222B"/>
                <w:sz w:val="16"/>
              </w:rPr>
              <w:t>24 kg</w:t>
            </w:r>
          </w:p>
        </w:tc>
      </w:tr>
      <w:tr>
        <w:tc>
          <w:tcPr>
            <w:tcW w:type="dxa" w:w="4752"/>
            <w:vAlign w:val="center"/>
            <w:shd w:fill="F0F5F7"/>
            <w:tcMar>
              <w:top w:w="75" w:type="dxa"/>
              <w:left w:w="75" w:type="dxa"/>
              <w:bottom w:w="75" w:type="dxa"/>
              <w:right w:w="75" w:type="dxa"/>
            </w:tcMar>
          </w:tcPr>
          <w:p>
            <w:pPr>
              <w:spacing w:after="0"/>
            </w:pPr>
            <w:r>
              <w:rPr>
                <w:b w:val="0"/>
                <w:color w:val="12222B"/>
                <w:sz w:val="16"/>
              </w:rPr>
              <w:t>Harness, thermal and mechanical provisions</w:t>
            </w:r>
          </w:p>
        </w:tc>
        <w:tc>
          <w:tcPr>
            <w:tcW w:type="dxa" w:w="4752"/>
            <w:vAlign w:val="center"/>
            <w:shd w:fill="F0F5F7"/>
            <w:tcMar>
              <w:top w:w="75" w:type="dxa"/>
              <w:left w:w="75" w:type="dxa"/>
              <w:bottom w:w="75" w:type="dxa"/>
              <w:right w:w="75" w:type="dxa"/>
            </w:tcMar>
          </w:tcPr>
          <w:p>
            <w:pPr>
              <w:spacing w:after="0"/>
            </w:pPr>
            <w:r>
              <w:rPr>
                <w:b w:val="0"/>
                <w:color w:val="12222B"/>
                <w:sz w:val="16"/>
              </w:rPr>
              <w:t>14 kg</w:t>
            </w:r>
          </w:p>
        </w:tc>
      </w:tr>
      <w:tr>
        <w:tc>
          <w:tcPr>
            <w:tcW w:type="dxa" w:w="4752"/>
            <w:vAlign w:val="center"/>
            <w:shd w:fill="FFFFFF"/>
            <w:tcMar>
              <w:top w:w="75" w:type="dxa"/>
              <w:left w:w="75" w:type="dxa"/>
              <w:bottom w:w="75" w:type="dxa"/>
              <w:right w:w="75" w:type="dxa"/>
            </w:tcMar>
          </w:tcPr>
          <w:p>
            <w:pPr>
              <w:spacing w:after="0"/>
            </w:pPr>
            <w:r>
              <w:rPr>
                <w:b w:val="0"/>
                <w:color w:val="12222B"/>
                <w:sz w:val="16"/>
              </w:rPr>
              <w:t>Allocated mass subtotal</w:t>
            </w:r>
          </w:p>
        </w:tc>
        <w:tc>
          <w:tcPr>
            <w:tcW w:type="dxa" w:w="4752"/>
            <w:vAlign w:val="center"/>
            <w:shd w:fill="FFFFFF"/>
            <w:tcMar>
              <w:top w:w="75" w:type="dxa"/>
              <w:left w:w="75" w:type="dxa"/>
              <w:bottom w:w="75" w:type="dxa"/>
              <w:right w:w="75" w:type="dxa"/>
            </w:tcMar>
          </w:tcPr>
          <w:p>
            <w:pPr>
              <w:spacing w:after="0"/>
            </w:pPr>
            <w:r>
              <w:rPr>
                <w:b w:val="0"/>
                <w:color w:val="12222B"/>
                <w:sz w:val="16"/>
              </w:rPr>
              <w:t>180 kg</w:t>
            </w:r>
          </w:p>
        </w:tc>
      </w:tr>
      <w:tr>
        <w:tc>
          <w:tcPr>
            <w:tcW w:type="dxa" w:w="4752"/>
            <w:vAlign w:val="center"/>
            <w:shd w:fill="F0F5F7"/>
            <w:tcMar>
              <w:top w:w="75" w:type="dxa"/>
              <w:left w:w="75" w:type="dxa"/>
              <w:bottom w:w="75" w:type="dxa"/>
              <w:right w:w="75" w:type="dxa"/>
            </w:tcMar>
          </w:tcPr>
          <w:p>
            <w:pPr>
              <w:spacing w:after="0"/>
            </w:pPr>
            <w:r>
              <w:rPr>
                <w:b w:val="0"/>
                <w:color w:val="12222B"/>
                <w:sz w:val="16"/>
              </w:rPr>
              <w:t>Unallocated system mass reserve</w:t>
            </w:r>
          </w:p>
        </w:tc>
        <w:tc>
          <w:tcPr>
            <w:tcW w:type="dxa" w:w="4752"/>
            <w:vAlign w:val="center"/>
            <w:shd w:fill="F0F5F7"/>
            <w:tcMar>
              <w:top w:w="75" w:type="dxa"/>
              <w:left w:w="75" w:type="dxa"/>
              <w:bottom w:w="75" w:type="dxa"/>
              <w:right w:w="75" w:type="dxa"/>
            </w:tcMar>
          </w:tcPr>
          <w:p>
            <w:pPr>
              <w:spacing w:after="0"/>
            </w:pPr>
            <w:r>
              <w:rPr>
                <w:b w:val="0"/>
                <w:color w:val="12222B"/>
                <w:sz w:val="16"/>
              </w:rPr>
              <w:t>30 kg (16.7% of allocated subtotal)</w:t>
            </w:r>
          </w:p>
        </w:tc>
      </w:tr>
      <w:tr>
        <w:tc>
          <w:tcPr>
            <w:tcW w:type="dxa" w:w="4752"/>
            <w:vAlign w:val="center"/>
            <w:shd w:fill="FFFFFF"/>
            <w:tcMar>
              <w:top w:w="75" w:type="dxa"/>
              <w:left w:w="75" w:type="dxa"/>
              <w:bottom w:w="75" w:type="dxa"/>
              <w:right w:w="75" w:type="dxa"/>
            </w:tcMar>
          </w:tcPr>
          <w:p>
            <w:pPr>
              <w:spacing w:after="0"/>
            </w:pPr>
            <w:r>
              <w:rPr>
                <w:b w:val="0"/>
                <w:color w:val="12222B"/>
                <w:sz w:val="16"/>
              </w:rPr>
              <w:t>Maximum launch mass</w:t>
            </w:r>
          </w:p>
        </w:tc>
        <w:tc>
          <w:tcPr>
            <w:tcW w:type="dxa" w:w="4752"/>
            <w:vAlign w:val="center"/>
            <w:shd w:fill="FFFFFF"/>
            <w:tcMar>
              <w:top w:w="75" w:type="dxa"/>
              <w:left w:w="75" w:type="dxa"/>
              <w:bottom w:w="75" w:type="dxa"/>
              <w:right w:w="75" w:type="dxa"/>
            </w:tcMar>
          </w:tcPr>
          <w:p>
            <w:pPr>
              <w:spacing w:after="0"/>
            </w:pPr>
            <w:r>
              <w:rPr>
                <w:b w:val="0"/>
                <w:color w:val="12222B"/>
                <w:sz w:val="16"/>
              </w:rPr>
              <w:t>210 kg</w:t>
            </w:r>
          </w:p>
        </w:tc>
      </w:tr>
      <w:tr>
        <w:tc>
          <w:tcPr>
            <w:tcW w:type="dxa" w:w="4752"/>
            <w:vAlign w:val="center"/>
            <w:shd w:fill="F0F5F7"/>
            <w:tcMar>
              <w:top w:w="75" w:type="dxa"/>
              <w:left w:w="75" w:type="dxa"/>
              <w:bottom w:w="75" w:type="dxa"/>
              <w:right w:w="75" w:type="dxa"/>
            </w:tcMar>
          </w:tcPr>
          <w:p>
            <w:pPr>
              <w:spacing w:after="0"/>
            </w:pPr>
            <w:r>
              <w:rPr>
                <w:b w:val="0"/>
                <w:color w:val="12222B"/>
                <w:sz w:val="16"/>
              </w:rPr>
              <w:t>Usable mission-data storage</w:t>
            </w:r>
          </w:p>
        </w:tc>
        <w:tc>
          <w:tcPr>
            <w:tcW w:type="dxa" w:w="4752"/>
            <w:vAlign w:val="center"/>
            <w:shd w:fill="F0F5F7"/>
            <w:tcMar>
              <w:top w:w="75" w:type="dxa"/>
              <w:left w:w="75" w:type="dxa"/>
              <w:bottom w:w="75" w:type="dxa"/>
              <w:right w:w="75" w:type="dxa"/>
            </w:tcMar>
          </w:tcPr>
          <w:p>
            <w:pPr>
              <w:spacing w:after="0"/>
            </w:pPr>
            <w:r>
              <w:rPr>
                <w:b w:val="0"/>
                <w:color w:val="12222B"/>
                <w:sz w:val="16"/>
              </w:rPr>
              <w:t>64 GB minimum</w:t>
            </w:r>
          </w:p>
        </w:tc>
      </w:tr>
      <w:tr>
        <w:tc>
          <w:tcPr>
            <w:tcW w:type="dxa" w:w="4752"/>
            <w:vAlign w:val="center"/>
            <w:shd w:fill="FFFFFF"/>
            <w:tcMar>
              <w:top w:w="75" w:type="dxa"/>
              <w:left w:w="75" w:type="dxa"/>
              <w:bottom w:w="75" w:type="dxa"/>
              <w:right w:w="75" w:type="dxa"/>
            </w:tcMar>
          </w:tcPr>
          <w:p>
            <w:pPr>
              <w:spacing w:after="0"/>
            </w:pPr>
            <w:r>
              <w:rPr>
                <w:b w:val="0"/>
                <w:color w:val="12222B"/>
                <w:sz w:val="16"/>
              </w:rPr>
              <w:t>Δv capacity</w:t>
            </w:r>
          </w:p>
        </w:tc>
        <w:tc>
          <w:tcPr>
            <w:tcW w:type="dxa" w:w="4752"/>
            <w:vAlign w:val="center"/>
            <w:shd w:fill="FFFFFF"/>
            <w:tcMar>
              <w:top w:w="75" w:type="dxa"/>
              <w:left w:w="75" w:type="dxa"/>
              <w:bottom w:w="75" w:type="dxa"/>
              <w:right w:w="75" w:type="dxa"/>
            </w:tcMar>
          </w:tcPr>
          <w:p>
            <w:pPr>
              <w:spacing w:after="0"/>
            </w:pPr>
            <w:r>
              <w:rPr>
                <w:b w:val="0"/>
                <w:color w:val="12222B"/>
                <w:sz w:val="16"/>
              </w:rPr>
              <w:t>≥180 m/s, including 25% propellant/dispersion reserve</w:t>
            </w:r>
          </w:p>
        </w:tc>
      </w:tr>
      <w:tr>
        <w:tc>
          <w:tcPr>
            <w:tcW w:type="dxa" w:w="4752"/>
            <w:vAlign w:val="center"/>
            <w:shd w:fill="F0F5F7"/>
            <w:tcMar>
              <w:top w:w="75" w:type="dxa"/>
              <w:left w:w="75" w:type="dxa"/>
              <w:bottom w:w="75" w:type="dxa"/>
              <w:right w:w="75" w:type="dxa"/>
            </w:tcMar>
          </w:tcPr>
          <w:p>
            <w:pPr>
              <w:spacing w:after="0"/>
            </w:pPr>
            <w:r>
              <w:rPr>
                <w:b w:val="0"/>
                <w:color w:val="12222B"/>
                <w:sz w:val="16"/>
              </w:rPr>
              <w:t>EOL power generation at 1 AU</w:t>
            </w:r>
          </w:p>
        </w:tc>
        <w:tc>
          <w:tcPr>
            <w:tcW w:type="dxa" w:w="4752"/>
            <w:vAlign w:val="center"/>
            <w:shd w:fill="F0F5F7"/>
            <w:tcMar>
              <w:top w:w="75" w:type="dxa"/>
              <w:left w:w="75" w:type="dxa"/>
              <w:bottom w:w="75" w:type="dxa"/>
              <w:right w:w="75" w:type="dxa"/>
            </w:tcMar>
          </w:tcPr>
          <w:p>
            <w:pPr>
              <w:spacing w:after="0"/>
            </w:pPr>
            <w:r>
              <w:rPr>
                <w:b w:val="0"/>
                <w:color w:val="12222B"/>
                <w:sz w:val="16"/>
              </w:rPr>
              <w:t>780 W</w:t>
            </w:r>
          </w:p>
        </w:tc>
      </w:tr>
      <w:tr>
        <w:tc>
          <w:tcPr>
            <w:tcW w:type="dxa" w:w="4752"/>
            <w:vAlign w:val="center"/>
            <w:shd w:fill="FFFFFF"/>
            <w:tcMar>
              <w:top w:w="75" w:type="dxa"/>
              <w:left w:w="75" w:type="dxa"/>
              <w:bottom w:w="75" w:type="dxa"/>
              <w:right w:w="75" w:type="dxa"/>
            </w:tcMar>
          </w:tcPr>
          <w:p>
            <w:pPr>
              <w:spacing w:after="0"/>
            </w:pPr>
            <w:r>
              <w:rPr>
                <w:b w:val="0"/>
                <w:color w:val="12222B"/>
                <w:sz w:val="16"/>
              </w:rPr>
              <w:t>Nominal / peak loads</w:t>
            </w:r>
          </w:p>
        </w:tc>
        <w:tc>
          <w:tcPr>
            <w:tcW w:type="dxa" w:w="4752"/>
            <w:vAlign w:val="center"/>
            <w:shd w:fill="FFFFFF"/>
            <w:tcMar>
              <w:top w:w="75" w:type="dxa"/>
              <w:left w:w="75" w:type="dxa"/>
              <w:bottom w:w="75" w:type="dxa"/>
              <w:right w:w="75" w:type="dxa"/>
            </w:tcMar>
          </w:tcPr>
          <w:p>
            <w:pPr>
              <w:spacing w:after="0"/>
            </w:pPr>
            <w:r>
              <w:rPr>
                <w:b w:val="0"/>
                <w:color w:val="12222B"/>
                <w:sz w:val="16"/>
              </w:rPr>
              <w:t>410 W / 625 W</w:t>
            </w:r>
          </w:p>
        </w:tc>
      </w:tr>
      <w:tr>
        <w:tc>
          <w:tcPr>
            <w:tcW w:type="dxa" w:w="4752"/>
            <w:vAlign w:val="center"/>
            <w:shd w:fill="F0F5F7"/>
            <w:tcMar>
              <w:top w:w="75" w:type="dxa"/>
              <w:left w:w="75" w:type="dxa"/>
              <w:bottom w:w="75" w:type="dxa"/>
              <w:right w:w="75" w:type="dxa"/>
            </w:tcMar>
          </w:tcPr>
          <w:p>
            <w:pPr>
              <w:spacing w:after="0"/>
            </w:pPr>
            <w:r>
              <w:rPr>
                <w:b w:val="0"/>
                <w:color w:val="12222B"/>
                <w:sz w:val="16"/>
              </w:rPr>
              <w:t>Maximum commanded autonomy</w:t>
            </w:r>
          </w:p>
        </w:tc>
        <w:tc>
          <w:tcPr>
            <w:tcW w:type="dxa" w:w="4752"/>
            <w:vAlign w:val="center"/>
            <w:shd w:fill="F0F5F7"/>
            <w:tcMar>
              <w:top w:w="75" w:type="dxa"/>
              <w:left w:w="75" w:type="dxa"/>
              <w:bottom w:w="75" w:type="dxa"/>
              <w:right w:w="75" w:type="dxa"/>
            </w:tcMar>
          </w:tcPr>
          <w:p>
            <w:pPr>
              <w:spacing w:after="0"/>
            </w:pPr>
            <w:r>
              <w:rPr>
                <w:b w:val="0"/>
                <w:color w:val="12222B"/>
                <w:sz w:val="16"/>
              </w:rPr>
              <w:t>96 h safe mode</w:t>
            </w:r>
          </w:p>
        </w:tc>
      </w:tr>
    </w:tbl>
    <w:p>
      <w:pPr>
        <w:pStyle w:val="Heading3"/>
      </w:pPr>
      <w:r>
        <w:t>Structural Subsystem</w:t>
      </w:r>
    </w:p>
    <w:p>
      <w:r>
        <w:t>A central aluminum alloy shear structure transfers 210 kg maximum flight mass into a standard separation ring. Two hinged array wings, a fixed impact plate and an offset optical baffle fit inside a 1.55 m × 1.35 m × 1.65 m allocated stowed envelope. The preliminary first-mode targets are ≥25 Hz lateral and ≥40 Hz axial, subject to launch-provider coupled-loads analysis. A spacecraft-level finite-element model controls local instrument interface accelerations and alignment drift.</w:t>
      </w:r>
    </w:p>
    <w:p>
      <w:r>
        <w:t>Mass properties shall be measured for each unit before shipment. The bus is sized for 6 g quasi-static axial loading and 2 g lateral loading at concept level; final qualification levels and factors derive from the selected launch service. A 210 kg unit at 6 g produces approximately 12.4 kN axial inertial load before factors of safety.</w:t>
      </w:r>
    </w:p>
    <w:p>
      <w:pPr>
        <w:pStyle w:val="Heading3"/>
      </w:pPr>
      <w:r>
        <w:t>Electrical Power Subsystem</w:t>
      </w:r>
    </w:p>
    <w:p>
      <w:r>
        <w:t>Each spacecraft carries two deployable arrays with a combined 3.0 m² active area. The estimating case assumes 30% end-of-life cell efficiency and 1,361 W/m² irradiance at 1 AU, giving 1,225 W ideal normal-incidence power. A combined incidence, wiring, thermal and conversion derating of 0.637 yields 780 W at 1 AU. At 1.03 AU, available power falls to approximately 735 W by inverse-square scaling, before battery support. The science timeline limits sustained deep-space demand to 430 W and prohibits the 625 W peak mode without load shedding.</w:t>
      </w:r>
    </w:p>
    <w:p>
      <w:r>
        <w:t>A 28 V regulated bus and 1.6 kWh usable lithium-ion battery cover deployment, brief array off-pointing and transmitter peaks. With 150 W safe-mode load, the battery provides approximately 10.7 h before reserve constraints. The 96 h autonomy requirement assumes solar array generation, not battery-only survival. A 20% minimum nominal power margin applies at the 1.03 AU operating case: 735 / 430 − 1 = 71%.</w:t>
      </w:r>
    </w:p>
    <w:p>
      <w:pPr>
        <w:keepNext/>
        <w:jc w:val="center"/>
      </w:pPr>
      <w:r>
        <w:drawing>
          <wp:inline xmlns:a="http://schemas.openxmlformats.org/drawingml/2006/main" xmlns:pic="http://schemas.openxmlformats.org/drawingml/2006/picture">
            <wp:extent cx="6035040" cy="1914661"/>
            <wp:docPr id="2" name="Picture 2"/>
            <wp:cNvGraphicFramePr>
              <a:graphicFrameLocks noChangeAspect="1"/>
            </wp:cNvGraphicFramePr>
            <a:graphic>
              <a:graphicData uri="http://schemas.openxmlformats.org/drawingml/2006/picture">
                <pic:pic>
                  <pic:nvPicPr>
                    <pic:cNvPr id="0" name="power.png"/>
                    <pic:cNvPicPr/>
                  </pic:nvPicPr>
                  <pic:blipFill>
                    <a:blip r:embed="rId12"/>
                    <a:stretch>
                      <a:fillRect/>
                    </a:stretch>
                  </pic:blipFill>
                  <pic:spPr>
                    <a:xfrm>
                      <a:off x="0" y="0"/>
                      <a:ext cx="6035040" cy="1914661"/>
                    </a:xfrm>
                    <a:prstGeom prst="rect"/>
                  </pic:spPr>
                </pic:pic>
              </a:graphicData>
            </a:graphic>
          </wp:inline>
        </w:drawing>
      </w:r>
    </w:p>
    <w:p>
      <w:pPr>
        <w:pStyle w:val="Caption"/>
      </w:pPr>
      <w:r>
        <w:t>Figure 2 – Per-spacecraft power distribution at 1 AU. Values are end-of-life planning allocations; mode-specific loads and distance scaling govern operation.</w:t>
      </w:r>
    </w:p>
    <w:p>
      <w:pPr>
        <w:pStyle w:val="Heading3"/>
      </w:pPr>
      <w:r>
        <w:t>Command and Data Handling</w:t>
      </w:r>
    </w:p>
    <w:p>
      <w:r>
        <w:t>Dual redundant flight processors execute command sequences, onboard event filtering, safe-mode logic and time-tagged instrument operations. A radiation-tolerant 64 GB usable storage partition includes error detection and correction; at the 1.5 GB/day planning peak it stores more than 42 days of science data, subject to a 15% housekeeping and file-system allowance reducing practical retention to approximately 36 days. The seven-day retention requirement therefore has substantial headroom.</w:t>
      </w:r>
    </w:p>
    <w:p>
      <w:r>
        <w:t>Impact records include time to ≤100 µs UTC-equivalent accuracy after time correlation, detector charge, event classification, spacecraft state and quality flags. The payload data interface sustains ≥5 MB/s during burst acquisition. Daily average 0.75 GB is 69 kb/s over 24 h; link sizing is driven by contact duration, range and outage, not the average rate alone.</w:t>
      </w:r>
    </w:p>
    <w:p>
      <w:r>
        <w:t>Fault protection detects processor watchdog expiry, battery undervoltage, uncommanded attitude rates, thermal excursions and loss of communications. It isolates a failed device, enters a Sun-safe attitude and retains at least 96 h of time-tagged recovery instructions. All three spacecraft carry separately uploaded command and software baselines.</w:t>
      </w:r>
    </w:p>
    <w:p>
      <w:pPr>
        <w:pStyle w:val="Heading3"/>
      </w:pPr>
      <w:r>
        <w:t>Thermal Subsystem</w:t>
      </w:r>
    </w:p>
    <w:p>
      <w:r>
        <w:t>Passive coatings, multilayer insulation, radiator panels, straps and thermostatically controlled heaters maintain the bus limits. Solar input at 0.97 AU is 1.063 times the 1 AU value; the radiator and baffle design is sized for a 0.97 AU hot case with a 625 W peak load of no more than 20 minutes. A 1.03 AU cold case assumes safe mode, low instrument dissipation and reduced incident flux. Preliminary radiator allocation is 0.65 m² per spacecraft; detailed orbital thermal analysis shall determine the final area.</w:t>
      </w:r>
    </w:p>
    <w:p>
      <w:r>
        <w:t>Temperature sensors are distributed across the photometer bench, impact front end, battery, propulsion lines and array hinges. Ground calibration shall measure photometric responsivity across −20 to 50 °C detector temperature and shall support temperature correction in Level 1 products.</w:t>
      </w:r>
    </w:p>
    <w:p>
      <w:pPr>
        <w:pStyle w:val="Heading3"/>
      </w:pPr>
      <w:r>
        <w:t>Attitude Determination and Control Subsystem</w:t>
      </w:r>
    </w:p>
    <w:p>
      <w:r>
        <w:t>Two star trackers, six coarse Sun sensors, one inertial measurement unit and four reaction wheels support three-axis control. Eight cold-gas attitude thrusters provide wheel desaturation and safe recovery. The science attitude keeps the optical axis within 40°–140° solar elongation and rotates the impact detector toward the expected dust ram direction when thermal limits allow. Photometric scans require ≤0.20° 95th-percentile absolute pointing error and ≤0.05° knowledge. Wheel jitter allocation is ≤30 arcsec rms across a 10 s exposure.</w:t>
      </w:r>
    </w:p>
    <w:p>
      <w:pPr>
        <w:keepNext/>
        <w:jc w:val="center"/>
      </w:pPr>
      <w:r>
        <w:drawing>
          <wp:inline xmlns:a="http://schemas.openxmlformats.org/drawingml/2006/main" xmlns:pic="http://schemas.openxmlformats.org/drawingml/2006/picture">
            <wp:extent cx="6035040" cy="2174157"/>
            <wp:docPr id="3" name="Picture 3"/>
            <wp:cNvGraphicFramePr>
              <a:graphicFrameLocks noChangeAspect="1"/>
            </wp:cNvGraphicFramePr>
            <a:graphic>
              <a:graphicData uri="http://schemas.openxmlformats.org/drawingml/2006/picture">
                <pic:pic>
                  <pic:nvPicPr>
                    <pic:cNvPr id="0" name="adcs.png"/>
                    <pic:cNvPicPr/>
                  </pic:nvPicPr>
                  <pic:blipFill>
                    <a:blip r:embed="rId13"/>
                    <a:stretch>
                      <a:fillRect/>
                    </a:stretch>
                  </pic:blipFill>
                  <pic:spPr>
                    <a:xfrm>
                      <a:off x="0" y="0"/>
                      <a:ext cx="6035040" cy="2174157"/>
                    </a:xfrm>
                    <a:prstGeom prst="rect"/>
                  </pic:spPr>
                </pic:pic>
              </a:graphicData>
            </a:graphic>
          </wp:inline>
        </w:drawing>
      </w:r>
    </w:p>
    <w:p>
      <w:pPr>
        <w:pStyle w:val="Caption"/>
      </w:pPr>
      <w:r>
        <w:t>Figure 3 – Instrument fields and attitude modes. The arrows indicate functional interfaces; scan, impact and downlink modes are scheduled separately.</w:t>
      </w:r>
    </w:p>
    <w:p>
      <w:pPr>
        <w:pStyle w:val="Heading3"/>
      </w:pPr>
      <w:r>
        <w:t>Propulsion Subsystem</w:t>
      </w:r>
    </w:p>
    <w:p>
      <w:r>
        <w:t>A monopropellant system with four 5 N thrusters provides separation corrections and orbit trimming. An effective specific impulse of 225 s and 24 kg propellant at 210 kg initial mass yield ideal Δv ≈267 m/s from the rocket equation; after 20% unusable/contingency allowance, the usable planning capability is approximately 214 m/s. The requirement is 180 m/s, leaving 34 m/s design headroom. This calculation is a reference sizing check, not a final performance guarantee.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6624"/>
            <w:vAlign w:val="center"/>
            <w:shd w:fill="18384F"/>
            <w:tcMar>
              <w:top w:w="75" w:type="dxa"/>
              <w:left w:w="75" w:type="dxa"/>
              <w:bottom w:w="75" w:type="dxa"/>
              <w:right w:w="75" w:type="dxa"/>
            </w:tcMar>
          </w:tcPr>
          <w:p>
            <w:pPr>
              <w:spacing w:after="0"/>
            </w:pPr>
            <w:r>
              <w:rPr>
                <w:b/>
                <w:color w:val="FFFFFF"/>
                <w:sz w:val="16"/>
              </w:rPr>
              <w:t>Δv use</w:t>
            </w:r>
          </w:p>
        </w:tc>
        <w:tc>
          <w:tcPr>
            <w:tcW w:type="dxa" w:w="2880"/>
            <w:vAlign w:val="center"/>
            <w:shd w:fill="18384F"/>
            <w:tcMar>
              <w:top w:w="75" w:type="dxa"/>
              <w:left w:w="75" w:type="dxa"/>
              <w:bottom w:w="75" w:type="dxa"/>
              <w:right w:w="75" w:type="dxa"/>
            </w:tcMar>
          </w:tcPr>
          <w:p>
            <w:pPr>
              <w:spacing w:after="0"/>
            </w:pPr>
            <w:r>
              <w:rPr>
                <w:b/>
                <w:color w:val="FFFFFF"/>
                <w:sz w:val="16"/>
              </w:rPr>
              <w:t>Allocation</w:t>
            </w:r>
          </w:p>
        </w:tc>
      </w:tr>
      <w:tr>
        <w:tc>
          <w:tcPr>
            <w:tcW w:type="dxa" w:w="6624"/>
            <w:vAlign w:val="center"/>
            <w:shd w:fill="FFFFFF"/>
            <w:tcMar>
              <w:top w:w="75" w:type="dxa"/>
              <w:left w:w="75" w:type="dxa"/>
              <w:bottom w:w="75" w:type="dxa"/>
              <w:right w:w="75" w:type="dxa"/>
            </w:tcMar>
          </w:tcPr>
          <w:p>
            <w:pPr>
              <w:spacing w:after="0"/>
            </w:pPr>
            <w:r>
              <w:rPr>
                <w:b w:val="0"/>
                <w:color w:val="12222B"/>
                <w:sz w:val="16"/>
              </w:rPr>
              <w:t>Post-separation phasing</w:t>
            </w:r>
          </w:p>
        </w:tc>
        <w:tc>
          <w:tcPr>
            <w:tcW w:type="dxa" w:w="2880"/>
            <w:vAlign w:val="center"/>
            <w:shd w:fill="FFFFFF"/>
            <w:tcMar>
              <w:top w:w="75" w:type="dxa"/>
              <w:left w:w="75" w:type="dxa"/>
              <w:bottom w:w="75" w:type="dxa"/>
              <w:right w:w="75" w:type="dxa"/>
            </w:tcMar>
          </w:tcPr>
          <w:p>
            <w:pPr>
              <w:spacing w:after="0"/>
            </w:pPr>
            <w:r>
              <w:rPr>
                <w:b w:val="0"/>
                <w:color w:val="12222B"/>
                <w:sz w:val="16"/>
              </w:rPr>
              <w:t>70 m/s</w:t>
            </w:r>
          </w:p>
        </w:tc>
      </w:tr>
      <w:tr>
        <w:tc>
          <w:tcPr>
            <w:tcW w:type="dxa" w:w="6624"/>
            <w:vAlign w:val="center"/>
            <w:shd w:fill="F0F5F7"/>
            <w:tcMar>
              <w:top w:w="75" w:type="dxa"/>
              <w:left w:w="75" w:type="dxa"/>
              <w:bottom w:w="75" w:type="dxa"/>
              <w:right w:w="75" w:type="dxa"/>
            </w:tcMar>
          </w:tcPr>
          <w:p>
            <w:pPr>
              <w:spacing w:after="0"/>
            </w:pPr>
            <w:r>
              <w:rPr>
                <w:b w:val="0"/>
                <w:color w:val="12222B"/>
                <w:sz w:val="16"/>
              </w:rPr>
              <w:t>Cruise trajectory corrections</w:t>
            </w:r>
          </w:p>
        </w:tc>
        <w:tc>
          <w:tcPr>
            <w:tcW w:type="dxa" w:w="2880"/>
            <w:vAlign w:val="center"/>
            <w:shd w:fill="F0F5F7"/>
            <w:tcMar>
              <w:top w:w="75" w:type="dxa"/>
              <w:left w:w="75" w:type="dxa"/>
              <w:bottom w:w="75" w:type="dxa"/>
              <w:right w:w="75" w:type="dxa"/>
            </w:tcMar>
          </w:tcPr>
          <w:p>
            <w:pPr>
              <w:spacing w:after="0"/>
            </w:pPr>
            <w:r>
              <w:rPr>
                <w:b w:val="0"/>
                <w:color w:val="12222B"/>
                <w:sz w:val="16"/>
              </w:rPr>
              <w:t>35 m/s</w:t>
            </w:r>
          </w:p>
        </w:tc>
      </w:tr>
      <w:tr>
        <w:tc>
          <w:tcPr>
            <w:tcW w:type="dxa" w:w="6624"/>
            <w:vAlign w:val="center"/>
            <w:shd w:fill="FFFFFF"/>
            <w:tcMar>
              <w:top w:w="75" w:type="dxa"/>
              <w:left w:w="75" w:type="dxa"/>
              <w:bottom w:w="75" w:type="dxa"/>
              <w:right w:w="75" w:type="dxa"/>
            </w:tcMar>
          </w:tcPr>
          <w:p>
            <w:pPr>
              <w:spacing w:after="0"/>
            </w:pPr>
            <w:r>
              <w:rPr>
                <w:b w:val="0"/>
                <w:color w:val="12222B"/>
                <w:sz w:val="16"/>
              </w:rPr>
              <w:t>Five-year orbit maintenance and geometry control</w:t>
            </w:r>
          </w:p>
        </w:tc>
        <w:tc>
          <w:tcPr>
            <w:tcW w:type="dxa" w:w="2880"/>
            <w:vAlign w:val="center"/>
            <w:shd w:fill="FFFFFF"/>
            <w:tcMar>
              <w:top w:w="75" w:type="dxa"/>
              <w:left w:w="75" w:type="dxa"/>
              <w:bottom w:w="75" w:type="dxa"/>
              <w:right w:w="75" w:type="dxa"/>
            </w:tcMar>
          </w:tcPr>
          <w:p>
            <w:pPr>
              <w:spacing w:after="0"/>
            </w:pPr>
            <w:r>
              <w:rPr>
                <w:b w:val="0"/>
                <w:color w:val="12222B"/>
                <w:sz w:val="16"/>
              </w:rPr>
              <w:t>25 m/s</w:t>
            </w:r>
          </w:p>
        </w:tc>
      </w:tr>
      <w:tr>
        <w:tc>
          <w:tcPr>
            <w:tcW w:type="dxa" w:w="6624"/>
            <w:vAlign w:val="center"/>
            <w:shd w:fill="F0F5F7"/>
            <w:tcMar>
              <w:top w:w="75" w:type="dxa"/>
              <w:left w:w="75" w:type="dxa"/>
              <w:bottom w:w="75" w:type="dxa"/>
              <w:right w:w="75" w:type="dxa"/>
            </w:tcMar>
          </w:tcPr>
          <w:p>
            <w:pPr>
              <w:spacing w:after="0"/>
            </w:pPr>
            <w:r>
              <w:rPr>
                <w:b w:val="0"/>
                <w:color w:val="12222B"/>
                <w:sz w:val="16"/>
              </w:rPr>
              <w:t>Momentum management / contingencies</w:t>
            </w:r>
          </w:p>
        </w:tc>
        <w:tc>
          <w:tcPr>
            <w:tcW w:type="dxa" w:w="2880"/>
            <w:vAlign w:val="center"/>
            <w:shd w:fill="F0F5F7"/>
            <w:tcMar>
              <w:top w:w="75" w:type="dxa"/>
              <w:left w:w="75" w:type="dxa"/>
              <w:bottom w:w="75" w:type="dxa"/>
              <w:right w:w="75" w:type="dxa"/>
            </w:tcMar>
          </w:tcPr>
          <w:p>
            <w:pPr>
              <w:spacing w:after="0"/>
            </w:pPr>
            <w:r>
              <w:rPr>
                <w:b w:val="0"/>
                <w:color w:val="12222B"/>
                <w:sz w:val="16"/>
              </w:rPr>
              <w:t>14 m/s</w:t>
            </w:r>
          </w:p>
        </w:tc>
      </w:tr>
      <w:tr>
        <w:tc>
          <w:tcPr>
            <w:tcW w:type="dxa" w:w="6624"/>
            <w:vAlign w:val="center"/>
            <w:shd w:fill="FFFFFF"/>
            <w:tcMar>
              <w:top w:w="75" w:type="dxa"/>
              <w:left w:w="75" w:type="dxa"/>
              <w:bottom w:w="75" w:type="dxa"/>
              <w:right w:w="75" w:type="dxa"/>
            </w:tcMar>
          </w:tcPr>
          <w:p>
            <w:pPr>
              <w:spacing w:after="0"/>
            </w:pPr>
            <w:r>
              <w:rPr>
                <w:b w:val="0"/>
                <w:color w:val="12222B"/>
                <w:sz w:val="16"/>
              </w:rPr>
              <w:t>Navigation and performance reserve</w:t>
            </w:r>
          </w:p>
        </w:tc>
        <w:tc>
          <w:tcPr>
            <w:tcW w:type="dxa" w:w="2880"/>
            <w:vAlign w:val="center"/>
            <w:shd w:fill="FFFFFF"/>
            <w:tcMar>
              <w:top w:w="75" w:type="dxa"/>
              <w:left w:w="75" w:type="dxa"/>
              <w:bottom w:w="75" w:type="dxa"/>
              <w:right w:w="75" w:type="dxa"/>
            </w:tcMar>
          </w:tcPr>
          <w:p>
            <w:pPr>
              <w:spacing w:after="0"/>
            </w:pPr>
            <w:r>
              <w:rPr>
                <w:b w:val="0"/>
                <w:color w:val="12222B"/>
                <w:sz w:val="16"/>
              </w:rPr>
              <w:t>36 m/s</w:t>
            </w:r>
          </w:p>
        </w:tc>
      </w:tr>
      <w:tr>
        <w:tc>
          <w:tcPr>
            <w:tcW w:type="dxa" w:w="6624"/>
            <w:vAlign w:val="center"/>
            <w:shd w:fill="F0F5F7"/>
            <w:tcMar>
              <w:top w:w="75" w:type="dxa"/>
              <w:left w:w="75" w:type="dxa"/>
              <w:bottom w:w="75" w:type="dxa"/>
              <w:right w:w="75" w:type="dxa"/>
            </w:tcMar>
          </w:tcPr>
          <w:p>
            <w:pPr>
              <w:spacing w:after="0"/>
            </w:pPr>
            <w:r>
              <w:rPr>
                <w:b w:val="0"/>
                <w:color w:val="12222B"/>
                <w:sz w:val="16"/>
              </w:rPr>
              <w:t>Total requirement</w:t>
            </w:r>
          </w:p>
        </w:tc>
        <w:tc>
          <w:tcPr>
            <w:tcW w:type="dxa" w:w="2880"/>
            <w:vAlign w:val="center"/>
            <w:shd w:fill="F0F5F7"/>
            <w:tcMar>
              <w:top w:w="75" w:type="dxa"/>
              <w:left w:w="75" w:type="dxa"/>
              <w:bottom w:w="75" w:type="dxa"/>
              <w:right w:w="75" w:type="dxa"/>
            </w:tcMar>
          </w:tcPr>
          <w:p>
            <w:pPr>
              <w:spacing w:after="0"/>
            </w:pPr>
            <w:r>
              <w:rPr>
                <w:b w:val="0"/>
                <w:color w:val="12222B"/>
                <w:sz w:val="16"/>
              </w:rPr>
              <w:t>180 m/s</w:t>
            </w:r>
          </w:p>
        </w:tc>
      </w:tr>
    </w:tbl>
    <w:p>
      <w:r>
        <w:t>Orbit dispersion and fuel use will be propagated across the three units; none requires a target-body insertion burn. A collision-avoidance separation analysis is required through the first 72 h after release. Commanded passivation vents residual propellant and discharges stored energy at end of operations.</w:t>
      </w:r>
    </w:p>
    <w:p>
      <w:pPr>
        <w:pStyle w:val="Heading3"/>
      </w:pPr>
      <w:r>
        <w:t>Telemetry, Tracking and Command</w:t>
      </w:r>
    </w:p>
    <w:p>
      <w:r>
        <w:t>A low-gain S-band link supports contingency commanding at ≥2 kb/s. A two-axis pointed X-band high-gain antenna supports ≥2 Mb/s user data at 1.5 AU with ≥3 dB link margin to a 12 m-class receiving station, assuming a 20 W RF transmitter; the final link budget must establish antenna gain, weather allowance, coding loss and ground-equipment noise temperature. The X-band downlink is scheduled for up to 60 minutes per spacecraft per day on average.</w:t>
      </w:r>
    </w:p>
    <w:p>
      <w:r>
        <w:t>At 2 Mb/s, one hour provides 0.9 GB before protocol overhead; a 0.75 GB daily return requires ≥83.3% end-to-end payload efficiency for that contact. The 95th-percentile case of 1.5 GB requires about 100 minutes at the same efficiency, or a higher effective rate. Antenna time, range variation and weather outages are direct operations-cost drivers.</w:t>
      </w:r>
    </w:p>
    <w:p>
      <w:pPr>
        <w:pStyle w:val="Heading2"/>
      </w:pPr>
      <w:r>
        <w:t>3.2  Payload</w:t>
      </w:r>
    </w:p>
    <w:p>
      <w:r>
        <w:t>Each spacecraft carries three coordinated measurement packages: an impact ionization detector (IID), a three-band dust-scattered-light photometer (DSP) and a compact plasma/context sensor (PCS). A common electronics unit applies timestamps, onboard screening and data compression. The total payload allocation is 38 kg and 270 W peak; instrument simultaneous use is constrained by the spacecraft power case.</w:t>
      </w:r>
    </w:p>
    <w:p>
      <w:pPr>
        <w:pStyle w:val="Heading3"/>
      </w:pPr>
      <w:r>
        <w:t>Impact Ionization Detector</w:t>
      </w:r>
    </w:p>
    <w:p>
      <w:r>
        <w:t>An exposed 0.12 m² impact target collects plasma generated by high-speed particle impacts. The electronics digitize charge and rise time, classify event amplitude and reject spacecraft-generated noise. The measurement target is 10⁻¹³–10⁻⁶ kg over calibrated impact speeds of 5–70 km/s; mass inference is model dependent and must be reported as probability bins, not exact mass. Effective area is ≥0.10 m² for incidence within 60° of the normal.</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536"/>
            <w:vAlign w:val="center"/>
            <w:shd w:fill="18384F"/>
            <w:tcMar>
              <w:top w:w="75" w:type="dxa"/>
              <w:left w:w="75" w:type="dxa"/>
              <w:bottom w:w="75" w:type="dxa"/>
              <w:right w:w="75" w:type="dxa"/>
            </w:tcMar>
          </w:tcPr>
          <w:p>
            <w:pPr>
              <w:spacing w:after="0"/>
            </w:pPr>
            <w:r>
              <w:rPr>
                <w:b/>
                <w:color w:val="FFFFFF"/>
                <w:sz w:val="16"/>
              </w:rPr>
              <w:t>Parameter</w:t>
            </w:r>
          </w:p>
        </w:tc>
        <w:tc>
          <w:tcPr>
            <w:tcW w:type="dxa" w:w="4968"/>
            <w:vAlign w:val="center"/>
            <w:shd w:fill="18384F"/>
            <w:tcMar>
              <w:top w:w="75" w:type="dxa"/>
              <w:left w:w="75" w:type="dxa"/>
              <w:bottom w:w="75" w:type="dxa"/>
              <w:right w:w="75" w:type="dxa"/>
            </w:tcMar>
          </w:tcPr>
          <w:p>
            <w:pPr>
              <w:spacing w:after="0"/>
            </w:pPr>
            <w:r>
              <w:rPr>
                <w:b/>
                <w:color w:val="FFFFFF"/>
                <w:sz w:val="16"/>
              </w:rPr>
              <w:t>Preliminary requirement</w:t>
            </w:r>
          </w:p>
        </w:tc>
      </w:tr>
      <w:tr>
        <w:tc>
          <w:tcPr>
            <w:tcW w:type="dxa" w:w="4536"/>
            <w:vAlign w:val="center"/>
            <w:shd w:fill="FFFFFF"/>
            <w:tcMar>
              <w:top w:w="75" w:type="dxa"/>
              <w:left w:w="75" w:type="dxa"/>
              <w:bottom w:w="75" w:type="dxa"/>
              <w:right w:w="75" w:type="dxa"/>
            </w:tcMar>
          </w:tcPr>
          <w:p>
            <w:pPr>
              <w:spacing w:after="0"/>
            </w:pPr>
            <w:r>
              <w:rPr>
                <w:b w:val="0"/>
                <w:color w:val="12222B"/>
                <w:sz w:val="16"/>
              </w:rPr>
              <w:t>Mass / operating power</w:t>
            </w:r>
          </w:p>
        </w:tc>
        <w:tc>
          <w:tcPr>
            <w:tcW w:type="dxa" w:w="4968"/>
            <w:vAlign w:val="center"/>
            <w:shd w:fill="FFFFFF"/>
            <w:tcMar>
              <w:top w:w="75" w:type="dxa"/>
              <w:left w:w="75" w:type="dxa"/>
              <w:bottom w:w="75" w:type="dxa"/>
              <w:right w:w="75" w:type="dxa"/>
            </w:tcMar>
          </w:tcPr>
          <w:p>
            <w:pPr>
              <w:spacing w:after="0"/>
            </w:pPr>
            <w:r>
              <w:rPr>
                <w:b w:val="0"/>
                <w:color w:val="12222B"/>
                <w:sz w:val="16"/>
              </w:rPr>
              <w:t>14 kg / 55 W</w:t>
            </w:r>
          </w:p>
        </w:tc>
      </w:tr>
      <w:tr>
        <w:tc>
          <w:tcPr>
            <w:tcW w:type="dxa" w:w="4536"/>
            <w:vAlign w:val="center"/>
            <w:shd w:fill="F0F5F7"/>
            <w:tcMar>
              <w:top w:w="75" w:type="dxa"/>
              <w:left w:w="75" w:type="dxa"/>
              <w:bottom w:w="75" w:type="dxa"/>
              <w:right w:w="75" w:type="dxa"/>
            </w:tcMar>
          </w:tcPr>
          <w:p>
            <w:pPr>
              <w:spacing w:after="0"/>
            </w:pPr>
            <w:r>
              <w:rPr>
                <w:b w:val="0"/>
                <w:color w:val="12222B"/>
                <w:sz w:val="16"/>
              </w:rPr>
              <w:t>Geometric / effective sensitive area</w:t>
            </w:r>
          </w:p>
        </w:tc>
        <w:tc>
          <w:tcPr>
            <w:tcW w:type="dxa" w:w="4968"/>
            <w:vAlign w:val="center"/>
            <w:shd w:fill="F0F5F7"/>
            <w:tcMar>
              <w:top w:w="75" w:type="dxa"/>
              <w:left w:w="75" w:type="dxa"/>
              <w:bottom w:w="75" w:type="dxa"/>
              <w:right w:w="75" w:type="dxa"/>
            </w:tcMar>
          </w:tcPr>
          <w:p>
            <w:pPr>
              <w:spacing w:after="0"/>
            </w:pPr>
            <w:r>
              <w:rPr>
                <w:b w:val="0"/>
                <w:color w:val="12222B"/>
                <w:sz w:val="16"/>
              </w:rPr>
              <w:t>0.12 / ≥0.10 m²</w:t>
            </w:r>
          </w:p>
        </w:tc>
      </w:tr>
      <w:tr>
        <w:tc>
          <w:tcPr>
            <w:tcW w:type="dxa" w:w="4536"/>
            <w:vAlign w:val="center"/>
            <w:shd w:fill="FFFFFF"/>
            <w:tcMar>
              <w:top w:w="75" w:type="dxa"/>
              <w:left w:w="75" w:type="dxa"/>
              <w:bottom w:w="75" w:type="dxa"/>
              <w:right w:w="75" w:type="dxa"/>
            </w:tcMar>
          </w:tcPr>
          <w:p>
            <w:pPr>
              <w:spacing w:after="0"/>
            </w:pPr>
            <w:r>
              <w:rPr>
                <w:b w:val="0"/>
                <w:color w:val="12222B"/>
                <w:sz w:val="16"/>
              </w:rPr>
              <w:t>Mass range</w:t>
            </w:r>
          </w:p>
        </w:tc>
        <w:tc>
          <w:tcPr>
            <w:tcW w:type="dxa" w:w="4968"/>
            <w:vAlign w:val="center"/>
            <w:shd w:fill="FFFFFF"/>
            <w:tcMar>
              <w:top w:w="75" w:type="dxa"/>
              <w:left w:w="75" w:type="dxa"/>
              <w:bottom w:w="75" w:type="dxa"/>
              <w:right w:w="75" w:type="dxa"/>
            </w:tcMar>
          </w:tcPr>
          <w:p>
            <w:pPr>
              <w:spacing w:after="0"/>
            </w:pPr>
            <w:r>
              <w:rPr>
                <w:b w:val="0"/>
                <w:color w:val="12222B"/>
                <w:sz w:val="16"/>
              </w:rPr>
              <w:t>10⁻¹³–10⁻⁶ kg, speed dependent</w:t>
            </w:r>
          </w:p>
        </w:tc>
      </w:tr>
      <w:tr>
        <w:tc>
          <w:tcPr>
            <w:tcW w:type="dxa" w:w="4536"/>
            <w:vAlign w:val="center"/>
            <w:shd w:fill="F0F5F7"/>
            <w:tcMar>
              <w:top w:w="75" w:type="dxa"/>
              <w:left w:w="75" w:type="dxa"/>
              <w:bottom w:w="75" w:type="dxa"/>
              <w:right w:w="75" w:type="dxa"/>
            </w:tcMar>
          </w:tcPr>
          <w:p>
            <w:pPr>
              <w:spacing w:after="0"/>
            </w:pPr>
            <w:r>
              <w:rPr>
                <w:b w:val="0"/>
                <w:color w:val="12222B"/>
                <w:sz w:val="16"/>
              </w:rPr>
              <w:t>Maximum accepted event rate</w:t>
            </w:r>
          </w:p>
        </w:tc>
        <w:tc>
          <w:tcPr>
            <w:tcW w:type="dxa" w:w="4968"/>
            <w:vAlign w:val="center"/>
            <w:shd w:fill="F0F5F7"/>
            <w:tcMar>
              <w:top w:w="75" w:type="dxa"/>
              <w:left w:w="75" w:type="dxa"/>
              <w:bottom w:w="75" w:type="dxa"/>
              <w:right w:w="75" w:type="dxa"/>
            </w:tcMar>
          </w:tcPr>
          <w:p>
            <w:pPr>
              <w:spacing w:after="0"/>
            </w:pPr>
            <w:r>
              <w:rPr>
                <w:b w:val="0"/>
                <w:color w:val="12222B"/>
                <w:sz w:val="16"/>
              </w:rPr>
              <w:t>500 events/s with ≤2 ms dead time</w:t>
            </w:r>
          </w:p>
        </w:tc>
      </w:tr>
      <w:tr>
        <w:tc>
          <w:tcPr>
            <w:tcW w:type="dxa" w:w="4536"/>
            <w:vAlign w:val="center"/>
            <w:shd w:fill="FFFFFF"/>
            <w:tcMar>
              <w:top w:w="75" w:type="dxa"/>
              <w:left w:w="75" w:type="dxa"/>
              <w:bottom w:w="75" w:type="dxa"/>
              <w:right w:w="75" w:type="dxa"/>
            </w:tcMar>
          </w:tcPr>
          <w:p>
            <w:pPr>
              <w:spacing w:after="0"/>
            </w:pPr>
            <w:r>
              <w:rPr>
                <w:b w:val="0"/>
                <w:color w:val="12222B"/>
                <w:sz w:val="16"/>
              </w:rPr>
              <w:t>Time-tag accuracy</w:t>
            </w:r>
          </w:p>
        </w:tc>
        <w:tc>
          <w:tcPr>
            <w:tcW w:type="dxa" w:w="4968"/>
            <w:vAlign w:val="center"/>
            <w:shd w:fill="FFFFFF"/>
            <w:tcMar>
              <w:top w:w="75" w:type="dxa"/>
              <w:left w:w="75" w:type="dxa"/>
              <w:bottom w:w="75" w:type="dxa"/>
              <w:right w:w="75" w:type="dxa"/>
            </w:tcMar>
          </w:tcPr>
          <w:p>
            <w:pPr>
              <w:spacing w:after="0"/>
            </w:pPr>
            <w:r>
              <w:rPr>
                <w:b w:val="0"/>
                <w:color w:val="12222B"/>
                <w:sz w:val="16"/>
              </w:rPr>
              <w:t>≤100 µs after correlation</w:t>
            </w:r>
          </w:p>
        </w:tc>
      </w:tr>
      <w:tr>
        <w:tc>
          <w:tcPr>
            <w:tcW w:type="dxa" w:w="4536"/>
            <w:vAlign w:val="center"/>
            <w:shd w:fill="F0F5F7"/>
            <w:tcMar>
              <w:top w:w="75" w:type="dxa"/>
              <w:left w:w="75" w:type="dxa"/>
              <w:bottom w:w="75" w:type="dxa"/>
              <w:right w:w="75" w:type="dxa"/>
            </w:tcMar>
          </w:tcPr>
          <w:p>
            <w:pPr>
              <w:spacing w:after="0"/>
            </w:pPr>
            <w:r>
              <w:rPr>
                <w:b w:val="0"/>
                <w:color w:val="12222B"/>
                <w:sz w:val="16"/>
              </w:rPr>
              <w:t>Calibration</w:t>
            </w:r>
          </w:p>
        </w:tc>
        <w:tc>
          <w:tcPr>
            <w:tcW w:type="dxa" w:w="4968"/>
            <w:vAlign w:val="center"/>
            <w:shd w:fill="F0F5F7"/>
            <w:tcMar>
              <w:top w:w="75" w:type="dxa"/>
              <w:left w:w="75" w:type="dxa"/>
              <w:bottom w:w="75" w:type="dxa"/>
              <w:right w:w="75" w:type="dxa"/>
            </w:tcMar>
          </w:tcPr>
          <w:p>
            <w:pPr>
              <w:spacing w:after="0"/>
            </w:pPr>
            <w:r>
              <w:rPr>
                <w:b w:val="0"/>
                <w:color w:val="12222B"/>
                <w:sz w:val="16"/>
              </w:rPr>
              <w:t>Charge injection daily; impact analogues before flight</w:t>
            </w:r>
          </w:p>
        </w:tc>
      </w:tr>
    </w:tbl>
    <w:p>
      <w:pPr>
        <w:pStyle w:val="Heading3"/>
      </w:pPr>
      <w:r>
        <w:t>Dust Scattered-Light Photometer</w:t>
      </w:r>
    </w:p>
    <w:p>
      <w:r>
        <w:t>The DSP observes diffuse sunlight scattered by dust in three spectral bands centered at 0.48, 0.72 and 1.05 µm, with respective full widths of 0.08, 0.10 and 0.12 µm. A 20° × 20° instantaneous field is sampled in 0.1° angular bins by controlled spacecraft scanning. A deployable baffle constrains direct solar stray light at elongation ≥40°. The primary product is calibrated surface brightness by band, viewing geometry and time.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536"/>
            <w:vAlign w:val="center"/>
            <w:shd w:fill="18384F"/>
            <w:tcMar>
              <w:top w:w="75" w:type="dxa"/>
              <w:left w:w="75" w:type="dxa"/>
              <w:bottom w:w="75" w:type="dxa"/>
              <w:right w:w="75" w:type="dxa"/>
            </w:tcMar>
          </w:tcPr>
          <w:p>
            <w:pPr>
              <w:spacing w:after="0"/>
            </w:pPr>
            <w:r>
              <w:rPr>
                <w:b/>
                <w:color w:val="FFFFFF"/>
                <w:sz w:val="16"/>
              </w:rPr>
              <w:t>Parameter</w:t>
            </w:r>
          </w:p>
        </w:tc>
        <w:tc>
          <w:tcPr>
            <w:tcW w:type="dxa" w:w="4968"/>
            <w:vAlign w:val="center"/>
            <w:shd w:fill="18384F"/>
            <w:tcMar>
              <w:top w:w="75" w:type="dxa"/>
              <w:left w:w="75" w:type="dxa"/>
              <w:bottom w:w="75" w:type="dxa"/>
              <w:right w:w="75" w:type="dxa"/>
            </w:tcMar>
          </w:tcPr>
          <w:p>
            <w:pPr>
              <w:spacing w:after="0"/>
            </w:pPr>
            <w:r>
              <w:rPr>
                <w:b/>
                <w:color w:val="FFFFFF"/>
                <w:sz w:val="16"/>
              </w:rPr>
              <w:t>Preliminary requirement</w:t>
            </w:r>
          </w:p>
        </w:tc>
      </w:tr>
      <w:tr>
        <w:tc>
          <w:tcPr>
            <w:tcW w:type="dxa" w:w="4536"/>
            <w:vAlign w:val="center"/>
            <w:shd w:fill="FFFFFF"/>
            <w:tcMar>
              <w:top w:w="75" w:type="dxa"/>
              <w:left w:w="75" w:type="dxa"/>
              <w:bottom w:w="75" w:type="dxa"/>
              <w:right w:w="75" w:type="dxa"/>
            </w:tcMar>
          </w:tcPr>
          <w:p>
            <w:pPr>
              <w:spacing w:after="0"/>
            </w:pPr>
            <w:r>
              <w:rPr>
                <w:b w:val="0"/>
                <w:color w:val="12222B"/>
                <w:sz w:val="16"/>
              </w:rPr>
              <w:t>Mass / operating power</w:t>
            </w:r>
          </w:p>
        </w:tc>
        <w:tc>
          <w:tcPr>
            <w:tcW w:type="dxa" w:w="4968"/>
            <w:vAlign w:val="center"/>
            <w:shd w:fill="FFFFFF"/>
            <w:tcMar>
              <w:top w:w="75" w:type="dxa"/>
              <w:left w:w="75" w:type="dxa"/>
              <w:bottom w:w="75" w:type="dxa"/>
              <w:right w:w="75" w:type="dxa"/>
            </w:tcMar>
          </w:tcPr>
          <w:p>
            <w:pPr>
              <w:spacing w:after="0"/>
            </w:pPr>
            <w:r>
              <w:rPr>
                <w:b w:val="0"/>
                <w:color w:val="12222B"/>
                <w:sz w:val="16"/>
              </w:rPr>
              <w:t>11 kg / 95 W</w:t>
            </w:r>
          </w:p>
        </w:tc>
      </w:tr>
      <w:tr>
        <w:tc>
          <w:tcPr>
            <w:tcW w:type="dxa" w:w="4536"/>
            <w:vAlign w:val="center"/>
            <w:shd w:fill="F0F5F7"/>
            <w:tcMar>
              <w:top w:w="75" w:type="dxa"/>
              <w:left w:w="75" w:type="dxa"/>
              <w:bottom w:w="75" w:type="dxa"/>
              <w:right w:w="75" w:type="dxa"/>
            </w:tcMar>
          </w:tcPr>
          <w:p>
            <w:pPr>
              <w:spacing w:after="0"/>
            </w:pPr>
            <w:r>
              <w:rPr>
                <w:b w:val="0"/>
                <w:color w:val="12222B"/>
                <w:sz w:val="16"/>
              </w:rPr>
              <w:t>Field and sampling</w:t>
            </w:r>
          </w:p>
        </w:tc>
        <w:tc>
          <w:tcPr>
            <w:tcW w:type="dxa" w:w="4968"/>
            <w:vAlign w:val="center"/>
            <w:shd w:fill="F0F5F7"/>
            <w:tcMar>
              <w:top w:w="75" w:type="dxa"/>
              <w:left w:w="75" w:type="dxa"/>
              <w:bottom w:w="75" w:type="dxa"/>
              <w:right w:w="75" w:type="dxa"/>
            </w:tcMar>
          </w:tcPr>
          <w:p>
            <w:pPr>
              <w:spacing w:after="0"/>
            </w:pPr>
            <w:r>
              <w:rPr>
                <w:b w:val="0"/>
                <w:color w:val="12222B"/>
                <w:sz w:val="16"/>
              </w:rPr>
              <w:t>20° × 20°; ≤0.1° output angular grid</w:t>
            </w:r>
          </w:p>
        </w:tc>
      </w:tr>
      <w:tr>
        <w:tc>
          <w:tcPr>
            <w:tcW w:type="dxa" w:w="4536"/>
            <w:vAlign w:val="center"/>
            <w:shd w:fill="FFFFFF"/>
            <w:tcMar>
              <w:top w:w="75" w:type="dxa"/>
              <w:left w:w="75" w:type="dxa"/>
              <w:bottom w:w="75" w:type="dxa"/>
              <w:right w:w="75" w:type="dxa"/>
            </w:tcMar>
          </w:tcPr>
          <w:p>
            <w:pPr>
              <w:spacing w:after="0"/>
            </w:pPr>
            <w:r>
              <w:rPr>
                <w:b w:val="0"/>
                <w:color w:val="12222B"/>
                <w:sz w:val="16"/>
              </w:rPr>
              <w:t>Spectral channels</w:t>
            </w:r>
          </w:p>
        </w:tc>
        <w:tc>
          <w:tcPr>
            <w:tcW w:type="dxa" w:w="4968"/>
            <w:vAlign w:val="center"/>
            <w:shd w:fill="FFFFFF"/>
            <w:tcMar>
              <w:top w:w="75" w:type="dxa"/>
              <w:left w:w="75" w:type="dxa"/>
              <w:bottom w:w="75" w:type="dxa"/>
              <w:right w:w="75" w:type="dxa"/>
            </w:tcMar>
          </w:tcPr>
          <w:p>
            <w:pPr>
              <w:spacing w:after="0"/>
            </w:pPr>
            <w:r>
              <w:rPr>
                <w:b w:val="0"/>
                <w:color w:val="12222B"/>
                <w:sz w:val="16"/>
              </w:rPr>
              <w:t>0.48 / 0.72 / 1.05 µm centers</w:t>
            </w:r>
          </w:p>
        </w:tc>
      </w:tr>
      <w:tr>
        <w:tc>
          <w:tcPr>
            <w:tcW w:type="dxa" w:w="4536"/>
            <w:vAlign w:val="center"/>
            <w:shd w:fill="F0F5F7"/>
            <w:tcMar>
              <w:top w:w="75" w:type="dxa"/>
              <w:left w:w="75" w:type="dxa"/>
              <w:bottom w:w="75" w:type="dxa"/>
              <w:right w:w="75" w:type="dxa"/>
            </w:tcMar>
          </w:tcPr>
          <w:p>
            <w:pPr>
              <w:spacing w:after="0"/>
            </w:pPr>
            <w:r>
              <w:rPr>
                <w:b w:val="0"/>
                <w:color w:val="12222B"/>
                <w:sz w:val="16"/>
              </w:rPr>
              <w:t>Relative repeatability</w:t>
            </w:r>
          </w:p>
        </w:tc>
        <w:tc>
          <w:tcPr>
            <w:tcW w:type="dxa" w:w="4968"/>
            <w:vAlign w:val="center"/>
            <w:shd w:fill="F0F5F7"/>
            <w:tcMar>
              <w:top w:w="75" w:type="dxa"/>
              <w:left w:w="75" w:type="dxa"/>
              <w:bottom w:w="75" w:type="dxa"/>
              <w:right w:w="75" w:type="dxa"/>
            </w:tcMar>
          </w:tcPr>
          <w:p>
            <w:pPr>
              <w:spacing w:after="0"/>
            </w:pPr>
            <w:r>
              <w:rPr>
                <w:b w:val="0"/>
                <w:color w:val="12222B"/>
                <w:sz w:val="16"/>
              </w:rPr>
              <w:t>≤1% for calibrated brightness above 100 nW m⁻² sr⁻¹ band-integrated radiance</w:t>
            </w:r>
          </w:p>
        </w:tc>
      </w:tr>
      <w:tr>
        <w:tc>
          <w:tcPr>
            <w:tcW w:type="dxa" w:w="4536"/>
            <w:vAlign w:val="center"/>
            <w:shd w:fill="FFFFFF"/>
            <w:tcMar>
              <w:top w:w="75" w:type="dxa"/>
              <w:left w:w="75" w:type="dxa"/>
              <w:bottom w:w="75" w:type="dxa"/>
              <w:right w:w="75" w:type="dxa"/>
            </w:tcMar>
          </w:tcPr>
          <w:p>
            <w:pPr>
              <w:spacing w:after="0"/>
            </w:pPr>
            <w:r>
              <w:rPr>
                <w:b w:val="0"/>
                <w:color w:val="12222B"/>
                <w:sz w:val="16"/>
              </w:rPr>
              <w:t>Dark / flat calibration</w:t>
            </w:r>
          </w:p>
        </w:tc>
        <w:tc>
          <w:tcPr>
            <w:tcW w:type="dxa" w:w="4968"/>
            <w:vAlign w:val="center"/>
            <w:shd w:fill="FFFFFF"/>
            <w:tcMar>
              <w:top w:w="75" w:type="dxa"/>
              <w:left w:w="75" w:type="dxa"/>
              <w:bottom w:w="75" w:type="dxa"/>
              <w:right w:w="75" w:type="dxa"/>
            </w:tcMar>
          </w:tcPr>
          <w:p>
            <w:pPr>
              <w:spacing w:after="0"/>
            </w:pPr>
            <w:r>
              <w:rPr>
                <w:b w:val="0"/>
                <w:color w:val="12222B"/>
                <w:sz w:val="16"/>
              </w:rPr>
              <w:t>Daily dark frames; monthly flat-field sequence</w:t>
            </w:r>
          </w:p>
        </w:tc>
      </w:tr>
      <w:tr>
        <w:tc>
          <w:tcPr>
            <w:tcW w:type="dxa" w:w="4536"/>
            <w:vAlign w:val="center"/>
            <w:shd w:fill="F0F5F7"/>
            <w:tcMar>
              <w:top w:w="75" w:type="dxa"/>
              <w:left w:w="75" w:type="dxa"/>
              <w:bottom w:w="75" w:type="dxa"/>
              <w:right w:w="75" w:type="dxa"/>
            </w:tcMar>
          </w:tcPr>
          <w:p>
            <w:pPr>
              <w:spacing w:after="0"/>
            </w:pPr>
            <w:r>
              <w:rPr>
                <w:b w:val="0"/>
                <w:color w:val="12222B"/>
                <w:sz w:val="16"/>
              </w:rPr>
              <w:t>Stray-light verification</w:t>
            </w:r>
          </w:p>
        </w:tc>
        <w:tc>
          <w:tcPr>
            <w:tcW w:type="dxa" w:w="4968"/>
            <w:vAlign w:val="center"/>
            <w:shd w:fill="F0F5F7"/>
            <w:tcMar>
              <w:top w:w="75" w:type="dxa"/>
              <w:left w:w="75" w:type="dxa"/>
              <w:bottom w:w="75" w:type="dxa"/>
              <w:right w:w="75" w:type="dxa"/>
            </w:tcMar>
          </w:tcPr>
          <w:p>
            <w:pPr>
              <w:spacing w:after="0"/>
            </w:pPr>
            <w:r>
              <w:rPr>
                <w:b w:val="0"/>
                <w:color w:val="12222B"/>
                <w:sz w:val="16"/>
              </w:rPr>
              <w:t>Ground test and in-flight off-axis scans</w:t>
            </w:r>
          </w:p>
        </w:tc>
      </w:tr>
    </w:tbl>
    <w:p>
      <w:pPr>
        <w:pStyle w:val="Heading3"/>
      </w:pPr>
      <w:r>
        <w:t>Plasma and Context Sensor</w:t>
      </w:r>
    </w:p>
    <w:p>
      <w:r>
        <w:t>The PCS measures local electron density and spacecraft charging state so impact pulse classifications can be screened against plasma background. Two short deployable sensors sample at 1 Hz nominally and 16 Hz in event mode. The 7 kg / 35 W allocation includes sensor booms, electronics and deployment. Its science value is contextual; the prime mission success criterion relies on IID and DSP data.</w:t>
      </w:r>
    </w:p>
    <w:p>
      <w:pPr>
        <w:pStyle w:val="Heading3"/>
      </w:pPr>
      <w:r>
        <w:t>Payload Electronics and Calibration</w:t>
      </w:r>
    </w:p>
    <w:p>
      <w:r>
        <w:t>The 6 kg / 85 W payload electronics unit distributes power, enforces science mode interlocks and formats event records. The combined payload masses are IID 14 kg, DSP 11 kg, PCS 7 kg and electronics 6 kg = 38 kg. Combined operating allocations total 270 W; the peak case assumes mutually compatible modes, while prolonged combined operation at 1.03 AU is prohibited by the power budget.</w:t>
      </w:r>
    </w:p>
    <w:p>
      <w:r>
        <w:t>IID gain shall be characterized at multiple impact energies and incidence angles using laboratory analogues; in-flight charge injection tracks electronics gain but cannot replicate an actual grain impact. DSP dark correction occurs daily and its radiometric scale is checked against internally controlled reference illumination and repeated sky fields. A calibration register links raw parameters to released products; monthly trending flags drift exceeding 2% from the accepted reference.</w:t>
      </w:r>
    </w:p>
    <w:p>
      <w:pPr>
        <w:pStyle w:val="Heading1"/>
      </w:pPr>
      <w:r>
        <w:t>4  Launch Segment Description</w:t>
      </w:r>
    </w:p>
    <w:p>
      <w:r>
        <w:t>The reference launch purchases a single commercial service to a near-Earth escape transfer with characteristic energy C3 ≥2 km²/s² and a payload capacity of at least 950 kg for the required inclination and injection window. Three flight spacecraft contribute 630 kg and the dispenser/adaptor allowance contributes 160 kg, producing a 790 kg reference stack and 160 kg, or 16.8%, capacity margin against the 950 kg service requirement. The contract shall define injection dispersions, separation sequence and collision avoidance.</w:t>
      </w:r>
    </w:p>
    <w:p>
      <w:pPr>
        <w:keepNext/>
        <w:jc w:val="center"/>
      </w:pPr>
      <w:r>
        <w:drawing>
          <wp:inline xmlns:a="http://schemas.openxmlformats.org/drawingml/2006/main" xmlns:pic="http://schemas.openxmlformats.org/drawingml/2006/picture">
            <wp:extent cx="5577840" cy="2134685"/>
            <wp:docPr id="4" name="Picture 4"/>
            <wp:cNvGraphicFramePr>
              <a:graphicFrameLocks noChangeAspect="1"/>
            </wp:cNvGraphicFramePr>
            <a:graphic>
              <a:graphicData uri="http://schemas.openxmlformats.org/drawingml/2006/picture">
                <pic:pic>
                  <pic:nvPicPr>
                    <pic:cNvPr id="0" name="launch.png"/>
                    <pic:cNvPicPr/>
                  </pic:nvPicPr>
                  <pic:blipFill>
                    <a:blip r:embed="rId14"/>
                    <a:stretch>
                      <a:fillRect/>
                    </a:stretch>
                  </pic:blipFill>
                  <pic:spPr>
                    <a:xfrm>
                      <a:off x="0" y="0"/>
                      <a:ext cx="5577840" cy="2134685"/>
                    </a:xfrm>
                    <a:prstGeom prst="rect"/>
                  </pic:spPr>
                </pic:pic>
              </a:graphicData>
            </a:graphic>
          </wp:inline>
        </w:drawing>
      </w:r>
    </w:p>
    <w:p>
      <w:pPr>
        <w:pStyle w:val="Caption"/>
      </w:pPr>
      <w:r>
        <w:t>Figure 4 – Reference three-port launch stack. Dimensions and mass allocations are preliminary; the launch provider verifies fit, loads and separation clearances.</w:t>
      </w:r>
    </w:p>
    <w:p>
      <w:r>
        <w:t>The launch campaign includes shipment, battery conditioning, propellant safety controls, combined electrical verification, dispenser integration and a separation-system test. Insurance, launch-service price, dispenser nonrecurring design and launch-site support are separately identified cost elements. A 30-day launch window is the planning assumption; monthly window sensitivity will be assessed in the schedule risk model.</w:t>
      </w:r>
    </w:p>
    <w:p>
      <w:pPr>
        <w:pStyle w:val="Heading1"/>
      </w:pPr>
      <w:r>
        <w:t>5  Ground Segment and Mission Operations</w:t>
      </w:r>
    </w:p>
    <w:p>
      <w:r>
        <w:t>Three geographically separated 12 m-class antenna sites provide scheduled X-band contacts and S-band contingency support. An assumed daily average of 60 minutes per spacecraft requires 3 antenna-hours/day before setup and maintenance; the 95th-percentile data case requires approximately 5 antenna-hours/day. A site outage shall be recoverable by rescheduling within 48 h under nominal geometry. Antenna geographic coordinates and visibility will be fixed at ground-network procurement.</w:t>
      </w:r>
    </w:p>
    <w:p>
      <w:pPr>
        <w:keepNext/>
        <w:jc w:val="center"/>
      </w:pPr>
      <w:r>
        <w:drawing>
          <wp:inline xmlns:a="http://schemas.openxmlformats.org/drawingml/2006/main" xmlns:pic="http://schemas.openxmlformats.org/drawingml/2006/picture">
            <wp:extent cx="6035040" cy="1690232"/>
            <wp:docPr id="5" name="Picture 5"/>
            <wp:cNvGraphicFramePr>
              <a:graphicFrameLocks noChangeAspect="1"/>
            </wp:cNvGraphicFramePr>
            <a:graphic>
              <a:graphicData uri="http://schemas.openxmlformats.org/drawingml/2006/picture">
                <pic:pic>
                  <pic:nvPicPr>
                    <pic:cNvPr id="0" name="ground.png"/>
                    <pic:cNvPicPr/>
                  </pic:nvPicPr>
                  <pic:blipFill>
                    <a:blip r:embed="rId15"/>
                    <a:stretch>
                      <a:fillRect/>
                    </a:stretch>
                  </pic:blipFill>
                  <pic:spPr>
                    <a:xfrm>
                      <a:off x="0" y="0"/>
                      <a:ext cx="6035040" cy="1690232"/>
                    </a:xfrm>
                    <a:prstGeom prst="rect"/>
                  </pic:spPr>
                </pic:pic>
              </a:graphicData>
            </a:graphic>
          </wp:inline>
        </w:drawing>
      </w:r>
    </w:p>
    <w:p>
      <w:pPr>
        <w:pStyle w:val="Caption"/>
      </w:pPr>
      <w:r>
        <w:t>Figure 5 – Ground and data-processing chain. The three ground sites feed a common control and science system; labels state planning capacities.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096"/>
            <w:vAlign w:val="center"/>
            <w:shd w:fill="18384F"/>
            <w:tcMar>
              <w:top w:w="75" w:type="dxa"/>
              <w:left w:w="75" w:type="dxa"/>
              <w:bottom w:w="75" w:type="dxa"/>
              <w:right w:w="75" w:type="dxa"/>
            </w:tcMar>
          </w:tcPr>
          <w:p>
            <w:pPr>
              <w:spacing w:after="0"/>
            </w:pPr>
            <w:r>
              <w:rPr>
                <w:b/>
                <w:color w:val="FFFFFF"/>
                <w:sz w:val="16"/>
              </w:rPr>
              <w:t>Ground element</w:t>
            </w:r>
          </w:p>
        </w:tc>
        <w:tc>
          <w:tcPr>
            <w:tcW w:type="dxa" w:w="6408"/>
            <w:vAlign w:val="center"/>
            <w:shd w:fill="18384F"/>
            <w:tcMar>
              <w:top w:w="75" w:type="dxa"/>
              <w:left w:w="75" w:type="dxa"/>
              <w:bottom w:w="75" w:type="dxa"/>
              <w:right w:w="75" w:type="dxa"/>
            </w:tcMar>
          </w:tcPr>
          <w:p>
            <w:pPr>
              <w:spacing w:after="0"/>
            </w:pPr>
            <w:r>
              <w:rPr>
                <w:b/>
                <w:color w:val="FFFFFF"/>
                <w:sz w:val="16"/>
              </w:rPr>
              <w:t>Planning scope</w:t>
            </w:r>
          </w:p>
        </w:tc>
      </w:tr>
      <w:tr>
        <w:tc>
          <w:tcPr>
            <w:tcW w:type="dxa" w:w="3096"/>
            <w:vAlign w:val="center"/>
            <w:shd w:fill="FFFFFF"/>
            <w:tcMar>
              <w:top w:w="75" w:type="dxa"/>
              <w:left w:w="75" w:type="dxa"/>
              <w:bottom w:w="75" w:type="dxa"/>
              <w:right w:w="75" w:type="dxa"/>
            </w:tcMar>
          </w:tcPr>
          <w:p>
            <w:pPr>
              <w:spacing w:after="0"/>
            </w:pPr>
            <w:r>
              <w:rPr>
                <w:b w:val="0"/>
                <w:color w:val="12222B"/>
                <w:sz w:val="16"/>
              </w:rPr>
              <w:t>Mission planning and flight dynamics</w:t>
            </w:r>
          </w:p>
        </w:tc>
        <w:tc>
          <w:tcPr>
            <w:tcW w:type="dxa" w:w="6408"/>
            <w:vAlign w:val="center"/>
            <w:shd w:fill="FFFFFF"/>
            <w:tcMar>
              <w:top w:w="75" w:type="dxa"/>
              <w:left w:w="75" w:type="dxa"/>
              <w:bottom w:w="75" w:type="dxa"/>
              <w:right w:w="75" w:type="dxa"/>
            </w:tcMar>
          </w:tcPr>
          <w:p>
            <w:pPr>
              <w:spacing w:after="0"/>
            </w:pPr>
            <w:r>
              <w:rPr>
                <w:b w:val="0"/>
                <w:color w:val="12222B"/>
                <w:sz w:val="16"/>
              </w:rPr>
              <w:t>Daily contact plan; weekly trajectory solution; thrust screening before each maneuver.</w:t>
            </w:r>
          </w:p>
        </w:tc>
      </w:tr>
      <w:tr>
        <w:tc>
          <w:tcPr>
            <w:tcW w:type="dxa" w:w="3096"/>
            <w:vAlign w:val="center"/>
            <w:shd w:fill="F0F5F7"/>
            <w:tcMar>
              <w:top w:w="75" w:type="dxa"/>
              <w:left w:w="75" w:type="dxa"/>
              <w:bottom w:w="75" w:type="dxa"/>
              <w:right w:w="75" w:type="dxa"/>
            </w:tcMar>
          </w:tcPr>
          <w:p>
            <w:pPr>
              <w:spacing w:after="0"/>
            </w:pPr>
            <w:r>
              <w:rPr>
                <w:b w:val="0"/>
                <w:color w:val="12222B"/>
                <w:sz w:val="16"/>
              </w:rPr>
              <w:t>Spacecraft control</w:t>
            </w:r>
          </w:p>
        </w:tc>
        <w:tc>
          <w:tcPr>
            <w:tcW w:type="dxa" w:w="6408"/>
            <w:vAlign w:val="center"/>
            <w:shd w:fill="F0F5F7"/>
            <w:tcMar>
              <w:top w:w="75" w:type="dxa"/>
              <w:left w:w="75" w:type="dxa"/>
              <w:bottom w:w="75" w:type="dxa"/>
              <w:right w:w="75" w:type="dxa"/>
            </w:tcMar>
          </w:tcPr>
          <w:p>
            <w:pPr>
              <w:spacing w:after="0"/>
            </w:pPr>
            <w:r>
              <w:rPr>
                <w:b w:val="0"/>
                <w:color w:val="12222B"/>
                <w:sz w:val="16"/>
              </w:rPr>
              <w:t>Three independently configurable flight units; one staffed shift per day and continuous automated monitoring.</w:t>
            </w:r>
          </w:p>
        </w:tc>
      </w:tr>
      <w:tr>
        <w:tc>
          <w:tcPr>
            <w:tcW w:type="dxa" w:w="3096"/>
            <w:vAlign w:val="center"/>
            <w:shd w:fill="FFFFFF"/>
            <w:tcMar>
              <w:top w:w="75" w:type="dxa"/>
              <w:left w:w="75" w:type="dxa"/>
              <w:bottom w:w="75" w:type="dxa"/>
              <w:right w:w="75" w:type="dxa"/>
            </w:tcMar>
          </w:tcPr>
          <w:p>
            <w:pPr>
              <w:spacing w:after="0"/>
            </w:pPr>
            <w:r>
              <w:rPr>
                <w:b w:val="0"/>
                <w:color w:val="12222B"/>
                <w:sz w:val="16"/>
              </w:rPr>
              <w:t>Ground receiving</w:t>
            </w:r>
          </w:p>
        </w:tc>
        <w:tc>
          <w:tcPr>
            <w:tcW w:type="dxa" w:w="6408"/>
            <w:vAlign w:val="center"/>
            <w:shd w:fill="FFFFFF"/>
            <w:tcMar>
              <w:top w:w="75" w:type="dxa"/>
              <w:left w:w="75" w:type="dxa"/>
              <w:bottom w:w="75" w:type="dxa"/>
              <w:right w:w="75" w:type="dxa"/>
            </w:tcMar>
          </w:tcPr>
          <w:p>
            <w:pPr>
              <w:spacing w:after="0"/>
            </w:pPr>
            <w:r>
              <w:rPr>
                <w:b w:val="0"/>
                <w:color w:val="12222B"/>
                <w:sz w:val="16"/>
              </w:rPr>
              <w:t>Three 12 m-class antenna sites; ≥15 GB/day raw ingest capacity.</w:t>
            </w:r>
          </w:p>
        </w:tc>
      </w:tr>
      <w:tr>
        <w:tc>
          <w:tcPr>
            <w:tcW w:type="dxa" w:w="3096"/>
            <w:vAlign w:val="center"/>
            <w:shd w:fill="F0F5F7"/>
            <w:tcMar>
              <w:top w:w="75" w:type="dxa"/>
              <w:left w:w="75" w:type="dxa"/>
              <w:bottom w:w="75" w:type="dxa"/>
              <w:right w:w="75" w:type="dxa"/>
            </w:tcMar>
          </w:tcPr>
          <w:p>
            <w:pPr>
              <w:spacing w:after="0"/>
            </w:pPr>
            <w:r>
              <w:rPr>
                <w:b w:val="0"/>
                <w:color w:val="12222B"/>
                <w:sz w:val="16"/>
              </w:rPr>
              <w:t>Processing</w:t>
            </w:r>
          </w:p>
        </w:tc>
        <w:tc>
          <w:tcPr>
            <w:tcW w:type="dxa" w:w="6408"/>
            <w:vAlign w:val="center"/>
            <w:shd w:fill="F0F5F7"/>
            <w:tcMar>
              <w:top w:w="75" w:type="dxa"/>
              <w:left w:w="75" w:type="dxa"/>
              <w:bottom w:w="75" w:type="dxa"/>
              <w:right w:w="75" w:type="dxa"/>
            </w:tcMar>
          </w:tcPr>
          <w:p>
            <w:pPr>
              <w:spacing w:after="0"/>
            </w:pPr>
            <w:r>
              <w:rPr>
                <w:b w:val="0"/>
                <w:color w:val="12222B"/>
                <w:sz w:val="16"/>
              </w:rPr>
              <w:t>Level 0 packets, calibrated Level 1 events/brightness, monthly Level 2 flux grids.</w:t>
            </w:r>
          </w:p>
        </w:tc>
      </w:tr>
      <w:tr>
        <w:tc>
          <w:tcPr>
            <w:tcW w:type="dxa" w:w="3096"/>
            <w:vAlign w:val="center"/>
            <w:shd w:fill="FFFFFF"/>
            <w:tcMar>
              <w:top w:w="75" w:type="dxa"/>
              <w:left w:w="75" w:type="dxa"/>
              <w:bottom w:w="75" w:type="dxa"/>
              <w:right w:w="75" w:type="dxa"/>
            </w:tcMar>
          </w:tcPr>
          <w:p>
            <w:pPr>
              <w:spacing w:after="0"/>
            </w:pPr>
            <w:r>
              <w:rPr>
                <w:b w:val="0"/>
                <w:color w:val="12222B"/>
                <w:sz w:val="16"/>
              </w:rPr>
              <w:t>Archive and dissemination</w:t>
            </w:r>
          </w:p>
        </w:tc>
        <w:tc>
          <w:tcPr>
            <w:tcW w:type="dxa" w:w="6408"/>
            <w:vAlign w:val="center"/>
            <w:shd w:fill="FFFFFF"/>
            <w:tcMar>
              <w:top w:w="75" w:type="dxa"/>
              <w:left w:w="75" w:type="dxa"/>
              <w:bottom w:w="75" w:type="dxa"/>
              <w:right w:w="75" w:type="dxa"/>
            </w:tcMar>
          </w:tcPr>
          <w:p>
            <w:pPr>
              <w:spacing w:after="0"/>
            </w:pPr>
            <w:r>
              <w:rPr>
                <w:b w:val="0"/>
                <w:color w:val="12222B"/>
                <w:sz w:val="16"/>
              </w:rPr>
              <w:t>120 TB managed capacity with replicated metadata and controlled release; ≤24 h priority delivery after receipt.</w:t>
            </w:r>
          </w:p>
        </w:tc>
      </w:tr>
    </w:tbl>
    <w:p>
      <w:r>
        <w:t>The average combined downlink is 2.25 GB/day; five years produces approximately 4.1 TB raw science return before housekeeping and reprocessing. The 120 TB archive allocation covers replicated raw packets, calibration versions, intermediate products, sensitivity runs and metadata, a roughly 29-fold multiplier over raw science alone. This multiplier is an estimating allocation to validate through a data-management plan.</w:t>
      </w:r>
    </w:p>
    <w:p>
      <w:pPr>
        <w:pStyle w:val="Heading1"/>
      </w:pPr>
      <w:r>
        <w:t>6  Systems Engineering and Project Management Approach</w:t>
      </w:r>
    </w:p>
    <w:p>
      <w:pPr>
        <w:pStyle w:val="Heading2"/>
      </w:pPr>
      <w:r>
        <w:t>6.1  TRL Levels and Heritage</w:t>
      </w:r>
    </w:p>
    <w:p>
      <w:r>
        <w:t>The common bus uses mature component classes, but its integrated three-unit deep-space configuration is a new qualification baseline. The impact front end and baffle are treated as critical development items. Critical payload elements shall demonstrate technology readiness level (TRL) 6 at preliminary design review and TRL 8 before flight acceptance; bus components target TRL 8 before spacecraft environmental qualification. Claims of heritage require part numbers, operating envelopes and qualification records, not resemblance of function.</w:t>
      </w:r>
    </w:p>
    <w:p>
      <w:pPr>
        <w:pStyle w:val="Heading2"/>
      </w:pPr>
      <w:r>
        <w:t>6.2  Phasing Logic and Naming Conventions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center"/>
            <w:shd w:fill="18384F"/>
            <w:tcMar>
              <w:top w:w="75" w:type="dxa"/>
              <w:left w:w="75" w:type="dxa"/>
              <w:bottom w:w="75" w:type="dxa"/>
              <w:right w:w="75" w:type="dxa"/>
            </w:tcMar>
          </w:tcPr>
          <w:p>
            <w:pPr>
              <w:spacing w:after="0"/>
            </w:pPr>
            <w:r>
              <w:rPr>
                <w:b/>
                <w:color w:val="FFFFFF"/>
                <w:sz w:val="16"/>
              </w:rPr>
              <w:t>Phase</w:t>
            </w:r>
          </w:p>
        </w:tc>
        <w:tc>
          <w:tcPr>
            <w:tcW w:type="dxa" w:w="7272"/>
            <w:vAlign w:val="center"/>
            <w:shd w:fill="18384F"/>
            <w:tcMar>
              <w:top w:w="75" w:type="dxa"/>
              <w:left w:w="75" w:type="dxa"/>
              <w:bottom w:w="75" w:type="dxa"/>
              <w:right w:w="75" w:type="dxa"/>
            </w:tcMar>
          </w:tcPr>
          <w:p>
            <w:pPr>
              <w:spacing w:after="0"/>
            </w:pPr>
            <w:r>
              <w:rPr>
                <w:b/>
                <w:color w:val="FFFFFF"/>
                <w:sz w:val="16"/>
              </w:rPr>
              <w:t>Scope / nominal duration</w:t>
            </w:r>
          </w:p>
        </w:tc>
      </w:tr>
      <w:tr>
        <w:tc>
          <w:tcPr>
            <w:tcW w:type="dxa" w:w="2232"/>
            <w:vAlign w:val="center"/>
            <w:shd w:fill="FFFFFF"/>
            <w:tcMar>
              <w:top w:w="75" w:type="dxa"/>
              <w:left w:w="75" w:type="dxa"/>
              <w:bottom w:w="75" w:type="dxa"/>
              <w:right w:w="75" w:type="dxa"/>
            </w:tcMar>
          </w:tcPr>
          <w:p>
            <w:pPr>
              <w:spacing w:after="0"/>
            </w:pPr>
            <w:r>
              <w:rPr>
                <w:b w:val="0"/>
                <w:color w:val="12222B"/>
                <w:sz w:val="16"/>
              </w:rPr>
              <w:t>PREP 1 / PREP 2</w:t>
            </w:r>
          </w:p>
        </w:tc>
        <w:tc>
          <w:tcPr>
            <w:tcW w:type="dxa" w:w="7272"/>
            <w:vAlign w:val="center"/>
            <w:shd w:fill="FFFFFF"/>
            <w:tcMar>
              <w:top w:w="75" w:type="dxa"/>
              <w:left w:w="75" w:type="dxa"/>
              <w:bottom w:w="75" w:type="dxa"/>
              <w:right w:w="75" w:type="dxa"/>
            </w:tcMar>
          </w:tcPr>
          <w:p>
            <w:pPr>
              <w:spacing w:after="0"/>
            </w:pPr>
            <w:r>
              <w:rPr>
                <w:b w:val="0"/>
                <w:color w:val="12222B"/>
                <w:sz w:val="16"/>
              </w:rPr>
              <w:t>Measurement simulations and detector prototypes; 6 / 6 months.</w:t>
            </w:r>
          </w:p>
        </w:tc>
      </w:tr>
      <w:tr>
        <w:tc>
          <w:tcPr>
            <w:tcW w:type="dxa" w:w="2232"/>
            <w:vAlign w:val="center"/>
            <w:shd w:fill="F0F5F7"/>
            <w:tcMar>
              <w:top w:w="75" w:type="dxa"/>
              <w:left w:w="75" w:type="dxa"/>
              <w:bottom w:w="75" w:type="dxa"/>
              <w:right w:w="75" w:type="dxa"/>
            </w:tcMar>
          </w:tcPr>
          <w:p>
            <w:pPr>
              <w:spacing w:after="0"/>
            </w:pPr>
            <w:r>
              <w:rPr>
                <w:b w:val="0"/>
                <w:color w:val="12222B"/>
                <w:sz w:val="16"/>
              </w:rPr>
              <w:t>Phase 0 / A</w:t>
            </w:r>
          </w:p>
        </w:tc>
        <w:tc>
          <w:tcPr>
            <w:tcW w:type="dxa" w:w="7272"/>
            <w:vAlign w:val="center"/>
            <w:shd w:fill="F0F5F7"/>
            <w:tcMar>
              <w:top w:w="75" w:type="dxa"/>
              <w:left w:w="75" w:type="dxa"/>
              <w:bottom w:w="75" w:type="dxa"/>
              <w:right w:w="75" w:type="dxa"/>
            </w:tcMar>
          </w:tcPr>
          <w:p>
            <w:pPr>
              <w:spacing w:after="0"/>
            </w:pPr>
            <w:r>
              <w:rPr>
                <w:b w:val="0"/>
                <w:color w:val="12222B"/>
                <w:sz w:val="16"/>
              </w:rPr>
              <w:t>Concept trades and mission definition; 8 / 10 months.</w:t>
            </w:r>
          </w:p>
        </w:tc>
      </w:tr>
      <w:tr>
        <w:tc>
          <w:tcPr>
            <w:tcW w:type="dxa" w:w="2232"/>
            <w:vAlign w:val="center"/>
            <w:shd w:fill="FFFFFF"/>
            <w:tcMar>
              <w:top w:w="75" w:type="dxa"/>
              <w:left w:w="75" w:type="dxa"/>
              <w:bottom w:w="75" w:type="dxa"/>
              <w:right w:w="75" w:type="dxa"/>
            </w:tcMar>
          </w:tcPr>
          <w:p>
            <w:pPr>
              <w:spacing w:after="0"/>
            </w:pPr>
            <w:r>
              <w:rPr>
                <w:b w:val="0"/>
                <w:color w:val="12222B"/>
                <w:sz w:val="16"/>
              </w:rPr>
              <w:t>Phase B</w:t>
            </w:r>
          </w:p>
        </w:tc>
        <w:tc>
          <w:tcPr>
            <w:tcW w:type="dxa" w:w="7272"/>
            <w:vAlign w:val="center"/>
            <w:shd w:fill="FFFFFF"/>
            <w:tcMar>
              <w:top w:w="75" w:type="dxa"/>
              <w:left w:w="75" w:type="dxa"/>
              <w:bottom w:w="75" w:type="dxa"/>
              <w:right w:w="75" w:type="dxa"/>
            </w:tcMar>
          </w:tcPr>
          <w:p>
            <w:pPr>
              <w:spacing w:after="0"/>
            </w:pPr>
            <w:r>
              <w:rPr>
                <w:b w:val="0"/>
                <w:color w:val="12222B"/>
                <w:sz w:val="16"/>
              </w:rPr>
              <w:t>Preliminary design, instrument breadboards and PDR; 14 months.</w:t>
            </w:r>
          </w:p>
        </w:tc>
      </w:tr>
      <w:tr>
        <w:tc>
          <w:tcPr>
            <w:tcW w:type="dxa" w:w="2232"/>
            <w:vAlign w:val="center"/>
            <w:shd w:fill="F0F5F7"/>
            <w:tcMar>
              <w:top w:w="75" w:type="dxa"/>
              <w:left w:w="75" w:type="dxa"/>
              <w:bottom w:w="75" w:type="dxa"/>
              <w:right w:w="75" w:type="dxa"/>
            </w:tcMar>
          </w:tcPr>
          <w:p>
            <w:pPr>
              <w:spacing w:after="0"/>
            </w:pPr>
            <w:r>
              <w:rPr>
                <w:b w:val="0"/>
                <w:color w:val="12222B"/>
                <w:sz w:val="16"/>
              </w:rPr>
              <w:t>Phase C</w:t>
            </w:r>
          </w:p>
        </w:tc>
        <w:tc>
          <w:tcPr>
            <w:tcW w:type="dxa" w:w="7272"/>
            <w:vAlign w:val="center"/>
            <w:shd w:fill="F0F5F7"/>
            <w:tcMar>
              <w:top w:w="75" w:type="dxa"/>
              <w:left w:w="75" w:type="dxa"/>
              <w:bottom w:w="75" w:type="dxa"/>
              <w:right w:w="75" w:type="dxa"/>
            </w:tcMar>
          </w:tcPr>
          <w:p>
            <w:pPr>
              <w:spacing w:after="0"/>
            </w:pPr>
            <w:r>
              <w:rPr>
                <w:b w:val="0"/>
                <w:color w:val="12222B"/>
                <w:sz w:val="16"/>
              </w:rPr>
              <w:t>Detailed design, critical tests and CDR; 12 months.</w:t>
            </w:r>
          </w:p>
        </w:tc>
      </w:tr>
      <w:tr>
        <w:tc>
          <w:tcPr>
            <w:tcW w:type="dxa" w:w="2232"/>
            <w:vAlign w:val="center"/>
            <w:shd w:fill="FFFFFF"/>
            <w:tcMar>
              <w:top w:w="75" w:type="dxa"/>
              <w:left w:w="75" w:type="dxa"/>
              <w:bottom w:w="75" w:type="dxa"/>
              <w:right w:w="75" w:type="dxa"/>
            </w:tcMar>
          </w:tcPr>
          <w:p>
            <w:pPr>
              <w:spacing w:after="0"/>
            </w:pPr>
            <w:r>
              <w:rPr>
                <w:b w:val="0"/>
                <w:color w:val="12222B"/>
                <w:sz w:val="16"/>
              </w:rPr>
              <w:t>Phase D1</w:t>
            </w:r>
          </w:p>
        </w:tc>
        <w:tc>
          <w:tcPr>
            <w:tcW w:type="dxa" w:w="7272"/>
            <w:vAlign w:val="center"/>
            <w:shd w:fill="FFFFFF"/>
            <w:tcMar>
              <w:top w:w="75" w:type="dxa"/>
              <w:left w:w="75" w:type="dxa"/>
              <w:bottom w:w="75" w:type="dxa"/>
              <w:right w:w="75" w:type="dxa"/>
            </w:tcMar>
          </w:tcPr>
          <w:p>
            <w:pPr>
              <w:spacing w:after="0"/>
            </w:pPr>
            <w:r>
              <w:rPr>
                <w:b w:val="0"/>
                <w:color w:val="12222B"/>
                <w:sz w:val="16"/>
              </w:rPr>
              <w:t>Unit-level manufacture, assembly and environmental qualification; 18 months.</w:t>
            </w:r>
          </w:p>
        </w:tc>
      </w:tr>
      <w:tr>
        <w:tc>
          <w:tcPr>
            <w:tcW w:type="dxa" w:w="2232"/>
            <w:vAlign w:val="center"/>
            <w:shd w:fill="F0F5F7"/>
            <w:tcMar>
              <w:top w:w="75" w:type="dxa"/>
              <w:left w:w="75" w:type="dxa"/>
              <w:bottom w:w="75" w:type="dxa"/>
              <w:right w:w="75" w:type="dxa"/>
            </w:tcMar>
          </w:tcPr>
          <w:p>
            <w:pPr>
              <w:spacing w:after="0"/>
            </w:pPr>
            <w:r>
              <w:rPr>
                <w:b w:val="0"/>
                <w:color w:val="12222B"/>
                <w:sz w:val="16"/>
              </w:rPr>
              <w:t>Phase D2</w:t>
            </w:r>
          </w:p>
        </w:tc>
        <w:tc>
          <w:tcPr>
            <w:tcW w:type="dxa" w:w="7272"/>
            <w:vAlign w:val="center"/>
            <w:shd w:fill="F0F5F7"/>
            <w:tcMar>
              <w:top w:w="75" w:type="dxa"/>
              <w:left w:w="75" w:type="dxa"/>
              <w:bottom w:w="75" w:type="dxa"/>
              <w:right w:w="75" w:type="dxa"/>
            </w:tcMar>
          </w:tcPr>
          <w:p>
            <w:pPr>
              <w:spacing w:after="0"/>
            </w:pPr>
            <w:r>
              <w:rPr>
                <w:b w:val="0"/>
                <w:color w:val="12222B"/>
                <w:sz w:val="16"/>
              </w:rPr>
              <w:t>System integration, acceptance, dispenser fit and launch campaign; 10 months.</w:t>
            </w:r>
          </w:p>
        </w:tc>
      </w:tr>
      <w:tr>
        <w:tc>
          <w:tcPr>
            <w:tcW w:type="dxa" w:w="2232"/>
            <w:vAlign w:val="center"/>
            <w:shd w:fill="FFFFFF"/>
            <w:tcMar>
              <w:top w:w="75" w:type="dxa"/>
              <w:left w:w="75" w:type="dxa"/>
              <w:bottom w:w="75" w:type="dxa"/>
              <w:right w:w="75" w:type="dxa"/>
            </w:tcMar>
          </w:tcPr>
          <w:p>
            <w:pPr>
              <w:spacing w:after="0"/>
            </w:pPr>
            <w:r>
              <w:rPr>
                <w:b w:val="0"/>
                <w:color w:val="12222B"/>
                <w:sz w:val="16"/>
              </w:rPr>
              <w:t>LEOP</w:t>
            </w:r>
          </w:p>
        </w:tc>
        <w:tc>
          <w:tcPr>
            <w:tcW w:type="dxa" w:w="7272"/>
            <w:vAlign w:val="center"/>
            <w:shd w:fill="FFFFFF"/>
            <w:tcMar>
              <w:top w:w="75" w:type="dxa"/>
              <w:left w:w="75" w:type="dxa"/>
              <w:bottom w:w="75" w:type="dxa"/>
              <w:right w:w="75" w:type="dxa"/>
            </w:tcMar>
          </w:tcPr>
          <w:p>
            <w:pPr>
              <w:spacing w:after="0"/>
            </w:pPr>
            <w:r>
              <w:rPr>
                <w:b w:val="0"/>
                <w:color w:val="12222B"/>
                <w:sz w:val="16"/>
              </w:rPr>
              <w:t>Separation and spacecraft commissioning; 1 month.</w:t>
            </w:r>
          </w:p>
        </w:tc>
      </w:tr>
      <w:tr>
        <w:tc>
          <w:tcPr>
            <w:tcW w:type="dxa" w:w="2232"/>
            <w:vAlign w:val="center"/>
            <w:shd w:fill="F0F5F7"/>
            <w:tcMar>
              <w:top w:w="75" w:type="dxa"/>
              <w:left w:w="75" w:type="dxa"/>
              <w:bottom w:w="75" w:type="dxa"/>
              <w:right w:w="75" w:type="dxa"/>
            </w:tcMar>
          </w:tcPr>
          <w:p>
            <w:pPr>
              <w:spacing w:after="0"/>
            </w:pPr>
            <w:r>
              <w:rPr>
                <w:b w:val="0"/>
                <w:color w:val="12222B"/>
                <w:sz w:val="16"/>
              </w:rPr>
              <w:t>Phase E</w:t>
            </w:r>
          </w:p>
        </w:tc>
        <w:tc>
          <w:tcPr>
            <w:tcW w:type="dxa" w:w="7272"/>
            <w:vAlign w:val="center"/>
            <w:shd w:fill="F0F5F7"/>
            <w:tcMar>
              <w:top w:w="75" w:type="dxa"/>
              <w:left w:w="75" w:type="dxa"/>
              <w:bottom w:w="75" w:type="dxa"/>
              <w:right w:w="75" w:type="dxa"/>
            </w:tcMar>
          </w:tcPr>
          <w:p>
            <w:pPr>
              <w:spacing w:after="0"/>
            </w:pPr>
            <w:r>
              <w:rPr>
                <w:b w:val="0"/>
                <w:color w:val="12222B"/>
                <w:sz w:val="16"/>
              </w:rPr>
              <w:t>Six-month cruise/commissioning total, then five-year nominal science phase.</w:t>
            </w:r>
          </w:p>
        </w:tc>
      </w:tr>
      <w:tr>
        <w:tc>
          <w:tcPr>
            <w:tcW w:type="dxa" w:w="2232"/>
            <w:vAlign w:val="center"/>
            <w:shd w:fill="FFFFFF"/>
            <w:tcMar>
              <w:top w:w="75" w:type="dxa"/>
              <w:left w:w="75" w:type="dxa"/>
              <w:bottom w:w="75" w:type="dxa"/>
              <w:right w:w="75" w:type="dxa"/>
            </w:tcMar>
          </w:tcPr>
          <w:p>
            <w:pPr>
              <w:spacing w:after="0"/>
            </w:pPr>
            <w:r>
              <w:rPr>
                <w:b w:val="0"/>
                <w:color w:val="12222B"/>
                <w:sz w:val="16"/>
              </w:rPr>
              <w:t>Phase E EXT / F / G</w:t>
            </w:r>
          </w:p>
        </w:tc>
        <w:tc>
          <w:tcPr>
            <w:tcW w:type="dxa" w:w="7272"/>
            <w:vAlign w:val="center"/>
            <w:shd w:fill="FFFFFF"/>
            <w:tcMar>
              <w:top w:w="75" w:type="dxa"/>
              <w:left w:w="75" w:type="dxa"/>
              <w:bottom w:w="75" w:type="dxa"/>
              <w:right w:w="75" w:type="dxa"/>
            </w:tcMar>
          </w:tcPr>
          <w:p>
            <w:pPr>
              <w:spacing w:after="0"/>
            </w:pPr>
            <w:r>
              <w:rPr>
                <w:b w:val="0"/>
                <w:color w:val="12222B"/>
                <w:sz w:val="16"/>
              </w:rPr>
              <w:t>Optional extension; passivation; continuing archive exploitation.</w:t>
            </w:r>
          </w:p>
        </w:tc>
      </w:tr>
    </w:tbl>
    <w:p>
      <w:r>
        <w:t>Dates in Table 4 are planning milestones, not contract commitments. Phase boundaries are set by accepted review products; the phase durations above overlap for long-lead procurement and unit builds and must not be summed to infer the launch date.</w:t>
      </w:r>
    </w:p>
    <w:p>
      <w:pPr>
        <w:pStyle w:val="Heading2"/>
      </w:pPr>
      <w:r>
        <w:t>6.3  Project Milestones</w:t>
      </w:r>
    </w:p>
    <w:p>
      <w:pPr>
        <w:pStyle w:val="Caption"/>
      </w:pPr>
      <w:r>
        <w:t>Table 4 – Project Milestones</w:t>
      </w:r>
    </w:p>
    <w:tbl>
      <w:tblPr>
        <w:tblW w:type="auto" w:w="0"/>
        <w:jc w:val="center"/>
        <w:tblLayout w:type="fixed"/>
        <w:tblLook w:firstColumn="1" w:firstRow="1" w:lastColumn="0" w:lastRow="0" w:noHBand="0" w:noVBand="1" w:val="04A0"/>
      </w:tblPr>
      <w:tblGrid>
        <w:gridCol w:w="2470"/>
        <w:gridCol w:w="2470"/>
        <w:gridCol w:w="2470"/>
        <w:gridCol w:w="2470"/>
      </w:tblGrid>
      <w:tr>
        <w:trPr>
          <w:tblHeader w:val="true"/>
        </w:trPr>
        <w:tc>
          <w:tcPr>
            <w:tcW w:type="dxa" w:w="1080"/>
            <w:vAlign w:val="center"/>
            <w:shd w:fill="18384F"/>
            <w:tcMar>
              <w:top w:w="75" w:type="dxa"/>
              <w:left w:w="75" w:type="dxa"/>
              <w:bottom w:w="75" w:type="dxa"/>
              <w:right w:w="75" w:type="dxa"/>
            </w:tcMar>
          </w:tcPr>
          <w:p>
            <w:pPr>
              <w:spacing w:after="0"/>
            </w:pPr>
            <w:r>
              <w:rPr>
                <w:b/>
                <w:color w:val="FFFFFF"/>
                <w:sz w:val="16"/>
              </w:rPr>
              <w:t>Phase</w:t>
            </w:r>
          </w:p>
        </w:tc>
        <w:tc>
          <w:tcPr>
            <w:tcW w:type="dxa" w:w="1656"/>
            <w:vAlign w:val="center"/>
            <w:shd w:fill="18384F"/>
            <w:tcMar>
              <w:top w:w="75" w:type="dxa"/>
              <w:left w:w="75" w:type="dxa"/>
              <w:bottom w:w="75" w:type="dxa"/>
              <w:right w:w="75" w:type="dxa"/>
            </w:tcMar>
          </w:tcPr>
          <w:p>
            <w:pPr>
              <w:spacing w:after="0"/>
            </w:pPr>
            <w:r>
              <w:rPr>
                <w:b/>
                <w:color w:val="FFFFFF"/>
                <w:sz w:val="16"/>
              </w:rPr>
              <w:t>Gate / milestone</w:t>
            </w:r>
          </w:p>
        </w:tc>
        <w:tc>
          <w:tcPr>
            <w:tcW w:type="dxa" w:w="4680"/>
            <w:vAlign w:val="center"/>
            <w:shd w:fill="18384F"/>
            <w:tcMar>
              <w:top w:w="75" w:type="dxa"/>
              <w:left w:w="75" w:type="dxa"/>
              <w:bottom w:w="75" w:type="dxa"/>
              <w:right w:w="75" w:type="dxa"/>
            </w:tcMar>
          </w:tcPr>
          <w:p>
            <w:pPr>
              <w:spacing w:after="0"/>
            </w:pPr>
            <w:r>
              <w:rPr>
                <w:b/>
                <w:color w:val="FFFFFF"/>
                <w:sz w:val="16"/>
              </w:rPr>
              <w:t>Major milestone</w:t>
            </w:r>
          </w:p>
        </w:tc>
        <w:tc>
          <w:tcPr>
            <w:tcW w:type="dxa" w:w="2088"/>
            <w:vAlign w:val="center"/>
            <w:shd w:fill="18384F"/>
            <w:tcMar>
              <w:top w:w="75" w:type="dxa"/>
              <w:left w:w="75" w:type="dxa"/>
              <w:bottom w:w="75" w:type="dxa"/>
              <w:right w:w="75" w:type="dxa"/>
            </w:tcMar>
          </w:tcPr>
          <w:p>
            <w:pPr>
              <w:spacing w:after="0"/>
            </w:pPr>
            <w:r>
              <w:rPr>
                <w:b/>
                <w:color w:val="FFFFFF"/>
                <w:sz w:val="16"/>
              </w:rPr>
              <w:t>Date</w:t>
            </w:r>
          </w:p>
        </w:tc>
      </w:tr>
      <w:tr>
        <w:tc>
          <w:tcPr>
            <w:tcW w:type="dxa" w:w="1080"/>
            <w:vAlign w:val="center"/>
            <w:shd w:fill="FFFFFF"/>
            <w:tcMar>
              <w:top w:w="75" w:type="dxa"/>
              <w:left w:w="75" w:type="dxa"/>
              <w:bottom w:w="75" w:type="dxa"/>
              <w:right w:w="75" w:type="dxa"/>
            </w:tcMar>
          </w:tcPr>
          <w:p>
            <w:pPr>
              <w:spacing w:after="0"/>
            </w:pPr>
            <w:r>
              <w:rPr>
                <w:b w:val="0"/>
                <w:color w:val="12222B"/>
                <w:sz w:val="16"/>
              </w:rPr>
              <w:t>0</w:t>
            </w:r>
          </w:p>
        </w:tc>
        <w:tc>
          <w:tcPr>
            <w:tcW w:type="dxa" w:w="1656"/>
            <w:vAlign w:val="center"/>
            <w:shd w:fill="FFFFFF"/>
            <w:tcMar>
              <w:top w:w="75" w:type="dxa"/>
              <w:left w:w="75" w:type="dxa"/>
              <w:bottom w:w="75" w:type="dxa"/>
              <w:right w:w="75" w:type="dxa"/>
            </w:tcMar>
          </w:tcPr>
          <w:p>
            <w:pPr>
              <w:spacing w:after="0"/>
            </w:pPr>
            <w:r>
              <w:rPr>
                <w:b w:val="0"/>
                <w:color w:val="12222B"/>
                <w:sz w:val="16"/>
              </w:rPr>
              <w:t>MCR</w:t>
            </w:r>
          </w:p>
        </w:tc>
        <w:tc>
          <w:tcPr>
            <w:tcW w:type="dxa" w:w="4680"/>
            <w:vAlign w:val="center"/>
            <w:shd w:fill="FFFFFF"/>
            <w:tcMar>
              <w:top w:w="75" w:type="dxa"/>
              <w:left w:w="75" w:type="dxa"/>
              <w:bottom w:w="75" w:type="dxa"/>
              <w:right w:w="75" w:type="dxa"/>
            </w:tcMar>
          </w:tcPr>
          <w:p>
            <w:pPr>
              <w:spacing w:after="0"/>
            </w:pPr>
            <w:r>
              <w:rPr>
                <w:b w:val="0"/>
                <w:color w:val="12222B"/>
                <w:sz w:val="16"/>
              </w:rPr>
              <w:t>Mission Concept Review</w:t>
            </w:r>
          </w:p>
        </w:tc>
        <w:tc>
          <w:tcPr>
            <w:tcW w:type="dxa" w:w="2088"/>
            <w:vAlign w:val="center"/>
            <w:shd w:fill="FFFFFF"/>
            <w:tcMar>
              <w:top w:w="75" w:type="dxa"/>
              <w:left w:w="75" w:type="dxa"/>
              <w:bottom w:w="75" w:type="dxa"/>
              <w:right w:w="75" w:type="dxa"/>
            </w:tcMar>
          </w:tcPr>
          <w:p>
            <w:pPr>
              <w:spacing w:after="0"/>
            </w:pPr>
            <w:r>
              <w:rPr>
                <w:b w:val="0"/>
                <w:color w:val="12222B"/>
                <w:sz w:val="16"/>
              </w:rPr>
              <w:t>Mar 2027</w:t>
            </w:r>
          </w:p>
        </w:tc>
      </w:tr>
      <w:tr>
        <w:tc>
          <w:tcPr>
            <w:tcW w:type="dxa" w:w="1080"/>
            <w:vAlign w:val="center"/>
            <w:shd w:fill="F0F5F7"/>
            <w:tcMar>
              <w:top w:w="75" w:type="dxa"/>
              <w:left w:w="75" w:type="dxa"/>
              <w:bottom w:w="75" w:type="dxa"/>
              <w:right w:w="75" w:type="dxa"/>
            </w:tcMar>
          </w:tcPr>
          <w:p>
            <w:pPr>
              <w:spacing w:after="0"/>
            </w:pPr>
            <w:r>
              <w:rPr>
                <w:b w:val="0"/>
                <w:color w:val="12222B"/>
                <w:sz w:val="16"/>
              </w:rPr>
              <w:t>A</w:t>
            </w:r>
          </w:p>
        </w:tc>
        <w:tc>
          <w:tcPr>
            <w:tcW w:type="dxa" w:w="1656"/>
            <w:vAlign w:val="center"/>
            <w:shd w:fill="F0F5F7"/>
            <w:tcMar>
              <w:top w:w="75" w:type="dxa"/>
              <w:left w:w="75" w:type="dxa"/>
              <w:bottom w:w="75" w:type="dxa"/>
              <w:right w:w="75" w:type="dxa"/>
            </w:tcMar>
          </w:tcPr>
          <w:p>
            <w:pPr>
              <w:spacing w:after="0"/>
            </w:pPr>
            <w:r>
              <w:rPr>
                <w:b w:val="0"/>
                <w:color w:val="12222B"/>
                <w:sz w:val="16"/>
              </w:rPr>
              <w:t>SRR</w:t>
            </w:r>
          </w:p>
        </w:tc>
        <w:tc>
          <w:tcPr>
            <w:tcW w:type="dxa" w:w="4680"/>
            <w:vAlign w:val="center"/>
            <w:shd w:fill="F0F5F7"/>
            <w:tcMar>
              <w:top w:w="75" w:type="dxa"/>
              <w:left w:w="75" w:type="dxa"/>
              <w:bottom w:w="75" w:type="dxa"/>
              <w:right w:w="75" w:type="dxa"/>
            </w:tcMar>
          </w:tcPr>
          <w:p>
            <w:pPr>
              <w:spacing w:after="0"/>
            </w:pPr>
            <w:r>
              <w:rPr>
                <w:b w:val="0"/>
                <w:color w:val="12222B"/>
                <w:sz w:val="16"/>
              </w:rPr>
              <w:t>System Requirements Review</w:t>
            </w:r>
          </w:p>
        </w:tc>
        <w:tc>
          <w:tcPr>
            <w:tcW w:type="dxa" w:w="2088"/>
            <w:vAlign w:val="center"/>
            <w:shd w:fill="F0F5F7"/>
            <w:tcMar>
              <w:top w:w="75" w:type="dxa"/>
              <w:left w:w="75" w:type="dxa"/>
              <w:bottom w:w="75" w:type="dxa"/>
              <w:right w:w="75" w:type="dxa"/>
            </w:tcMar>
          </w:tcPr>
          <w:p>
            <w:pPr>
              <w:spacing w:after="0"/>
            </w:pPr>
            <w:r>
              <w:rPr>
                <w:b w:val="0"/>
                <w:color w:val="12222B"/>
                <w:sz w:val="16"/>
              </w:rPr>
              <w:t>Jan 2028</w:t>
            </w:r>
          </w:p>
        </w:tc>
      </w:tr>
      <w:tr>
        <w:tc>
          <w:tcPr>
            <w:tcW w:type="dxa" w:w="1080"/>
            <w:vAlign w:val="center"/>
            <w:shd w:fill="FFFFFF"/>
            <w:tcMar>
              <w:top w:w="75" w:type="dxa"/>
              <w:left w:w="75" w:type="dxa"/>
              <w:bottom w:w="75" w:type="dxa"/>
              <w:right w:w="75" w:type="dxa"/>
            </w:tcMar>
          </w:tcPr>
          <w:p>
            <w:pPr>
              <w:spacing w:after="0"/>
            </w:pPr>
            <w:r>
              <w:rPr>
                <w:b w:val="0"/>
                <w:color w:val="12222B"/>
                <w:sz w:val="16"/>
              </w:rPr>
              <w:t>B</w:t>
            </w:r>
          </w:p>
        </w:tc>
        <w:tc>
          <w:tcPr>
            <w:tcW w:type="dxa" w:w="1656"/>
            <w:vAlign w:val="center"/>
            <w:shd w:fill="FFFFFF"/>
            <w:tcMar>
              <w:top w:w="75" w:type="dxa"/>
              <w:left w:w="75" w:type="dxa"/>
              <w:bottom w:w="75" w:type="dxa"/>
              <w:right w:w="75" w:type="dxa"/>
            </w:tcMar>
          </w:tcPr>
          <w:p>
            <w:pPr>
              <w:spacing w:after="0"/>
            </w:pPr>
            <w:r>
              <w:rPr>
                <w:b w:val="0"/>
                <w:color w:val="12222B"/>
                <w:sz w:val="16"/>
              </w:rPr>
              <w:t>PDR</w:t>
            </w:r>
          </w:p>
        </w:tc>
        <w:tc>
          <w:tcPr>
            <w:tcW w:type="dxa" w:w="4680"/>
            <w:vAlign w:val="center"/>
            <w:shd w:fill="FFFFFF"/>
            <w:tcMar>
              <w:top w:w="75" w:type="dxa"/>
              <w:left w:w="75" w:type="dxa"/>
              <w:bottom w:w="75" w:type="dxa"/>
              <w:right w:w="75" w:type="dxa"/>
            </w:tcMar>
          </w:tcPr>
          <w:p>
            <w:pPr>
              <w:spacing w:after="0"/>
            </w:pPr>
            <w:r>
              <w:rPr>
                <w:b w:val="0"/>
                <w:color w:val="12222B"/>
                <w:sz w:val="16"/>
              </w:rPr>
              <w:t>Preliminary Design Review</w:t>
            </w:r>
          </w:p>
        </w:tc>
        <w:tc>
          <w:tcPr>
            <w:tcW w:type="dxa" w:w="2088"/>
            <w:vAlign w:val="center"/>
            <w:shd w:fill="FFFFFF"/>
            <w:tcMar>
              <w:top w:w="75" w:type="dxa"/>
              <w:left w:w="75" w:type="dxa"/>
              <w:bottom w:w="75" w:type="dxa"/>
              <w:right w:w="75" w:type="dxa"/>
            </w:tcMar>
          </w:tcPr>
          <w:p>
            <w:pPr>
              <w:spacing w:after="0"/>
            </w:pPr>
            <w:r>
              <w:rPr>
                <w:b w:val="0"/>
                <w:color w:val="12222B"/>
                <w:sz w:val="16"/>
              </w:rPr>
              <w:t>Mar 2029</w:t>
            </w:r>
          </w:p>
        </w:tc>
      </w:tr>
      <w:tr>
        <w:tc>
          <w:tcPr>
            <w:tcW w:type="dxa" w:w="1080"/>
            <w:vAlign w:val="center"/>
            <w:shd w:fill="F0F5F7"/>
            <w:tcMar>
              <w:top w:w="75" w:type="dxa"/>
              <w:left w:w="75" w:type="dxa"/>
              <w:bottom w:w="75" w:type="dxa"/>
              <w:right w:w="75" w:type="dxa"/>
            </w:tcMar>
          </w:tcPr>
          <w:p>
            <w:pPr>
              <w:spacing w:after="0"/>
            </w:pPr>
            <w:r>
              <w:rPr>
                <w:b w:val="0"/>
                <w:color w:val="12222B"/>
                <w:sz w:val="16"/>
              </w:rPr>
              <w:t>C</w:t>
            </w:r>
          </w:p>
        </w:tc>
        <w:tc>
          <w:tcPr>
            <w:tcW w:type="dxa" w:w="1656"/>
            <w:vAlign w:val="center"/>
            <w:shd w:fill="F0F5F7"/>
            <w:tcMar>
              <w:top w:w="75" w:type="dxa"/>
              <w:left w:w="75" w:type="dxa"/>
              <w:bottom w:w="75" w:type="dxa"/>
              <w:right w:w="75" w:type="dxa"/>
            </w:tcMar>
          </w:tcPr>
          <w:p>
            <w:pPr>
              <w:spacing w:after="0"/>
            </w:pPr>
            <w:r>
              <w:rPr>
                <w:b w:val="0"/>
                <w:color w:val="12222B"/>
                <w:sz w:val="16"/>
              </w:rPr>
              <w:t>PL-CDR</w:t>
            </w:r>
          </w:p>
        </w:tc>
        <w:tc>
          <w:tcPr>
            <w:tcW w:type="dxa" w:w="4680"/>
            <w:vAlign w:val="center"/>
            <w:shd w:fill="F0F5F7"/>
            <w:tcMar>
              <w:top w:w="75" w:type="dxa"/>
              <w:left w:w="75" w:type="dxa"/>
              <w:bottom w:w="75" w:type="dxa"/>
              <w:right w:w="75" w:type="dxa"/>
            </w:tcMar>
          </w:tcPr>
          <w:p>
            <w:pPr>
              <w:spacing w:after="0"/>
            </w:pPr>
            <w:r>
              <w:rPr>
                <w:b w:val="0"/>
                <w:color w:val="12222B"/>
                <w:sz w:val="16"/>
              </w:rPr>
              <w:t>Payload Critical Design Review</w:t>
            </w:r>
          </w:p>
        </w:tc>
        <w:tc>
          <w:tcPr>
            <w:tcW w:type="dxa" w:w="2088"/>
            <w:vAlign w:val="center"/>
            <w:shd w:fill="F0F5F7"/>
            <w:tcMar>
              <w:top w:w="75" w:type="dxa"/>
              <w:left w:w="75" w:type="dxa"/>
              <w:bottom w:w="75" w:type="dxa"/>
              <w:right w:w="75" w:type="dxa"/>
            </w:tcMar>
          </w:tcPr>
          <w:p>
            <w:pPr>
              <w:spacing w:after="0"/>
            </w:pPr>
            <w:r>
              <w:rPr>
                <w:b w:val="0"/>
                <w:color w:val="12222B"/>
                <w:sz w:val="16"/>
              </w:rPr>
              <w:t>Feb 2030</w:t>
            </w:r>
          </w:p>
        </w:tc>
      </w:tr>
      <w:tr>
        <w:tc>
          <w:tcPr>
            <w:tcW w:type="dxa" w:w="1080"/>
            <w:vAlign w:val="center"/>
            <w:shd w:fill="FFFFFF"/>
            <w:tcMar>
              <w:top w:w="75" w:type="dxa"/>
              <w:left w:w="75" w:type="dxa"/>
              <w:bottom w:w="75" w:type="dxa"/>
              <w:right w:w="75" w:type="dxa"/>
            </w:tcMar>
          </w:tcPr>
          <w:p>
            <w:pPr>
              <w:spacing w:after="0"/>
            </w:pPr>
            <w:r>
              <w:rPr>
                <w:b w:val="0"/>
                <w:color w:val="12222B"/>
                <w:sz w:val="16"/>
              </w:rPr>
              <w:t>C</w:t>
            </w:r>
          </w:p>
        </w:tc>
        <w:tc>
          <w:tcPr>
            <w:tcW w:type="dxa" w:w="1656"/>
            <w:vAlign w:val="center"/>
            <w:shd w:fill="FFFFFF"/>
            <w:tcMar>
              <w:top w:w="75" w:type="dxa"/>
              <w:left w:w="75" w:type="dxa"/>
              <w:bottom w:w="75" w:type="dxa"/>
              <w:right w:w="75" w:type="dxa"/>
            </w:tcMar>
          </w:tcPr>
          <w:p>
            <w:pPr>
              <w:spacing w:after="0"/>
            </w:pPr>
            <w:r>
              <w:rPr>
                <w:b w:val="0"/>
                <w:color w:val="12222B"/>
                <w:sz w:val="16"/>
              </w:rPr>
              <w:t>CDR</w:t>
            </w:r>
          </w:p>
        </w:tc>
        <w:tc>
          <w:tcPr>
            <w:tcW w:type="dxa" w:w="4680"/>
            <w:vAlign w:val="center"/>
            <w:shd w:fill="FFFFFF"/>
            <w:tcMar>
              <w:top w:w="75" w:type="dxa"/>
              <w:left w:w="75" w:type="dxa"/>
              <w:bottom w:w="75" w:type="dxa"/>
              <w:right w:w="75" w:type="dxa"/>
            </w:tcMar>
          </w:tcPr>
          <w:p>
            <w:pPr>
              <w:spacing w:after="0"/>
            </w:pPr>
            <w:r>
              <w:rPr>
                <w:b w:val="0"/>
                <w:color w:val="12222B"/>
                <w:sz w:val="16"/>
              </w:rPr>
              <w:t>System Critical Design Review</w:t>
            </w:r>
          </w:p>
        </w:tc>
        <w:tc>
          <w:tcPr>
            <w:tcW w:type="dxa" w:w="2088"/>
            <w:vAlign w:val="center"/>
            <w:shd w:fill="FFFFFF"/>
            <w:tcMar>
              <w:top w:w="75" w:type="dxa"/>
              <w:left w:w="75" w:type="dxa"/>
              <w:bottom w:w="75" w:type="dxa"/>
              <w:right w:w="75" w:type="dxa"/>
            </w:tcMar>
          </w:tcPr>
          <w:p>
            <w:pPr>
              <w:spacing w:after="0"/>
            </w:pPr>
            <w:r>
              <w:rPr>
                <w:b w:val="0"/>
                <w:color w:val="12222B"/>
                <w:sz w:val="16"/>
              </w:rPr>
              <w:t>Mar 2030</w:t>
            </w:r>
          </w:p>
        </w:tc>
      </w:tr>
      <w:tr>
        <w:tc>
          <w:tcPr>
            <w:tcW w:type="dxa" w:w="1080"/>
            <w:vAlign w:val="center"/>
            <w:shd w:fill="F0F5F7"/>
            <w:tcMar>
              <w:top w:w="75" w:type="dxa"/>
              <w:left w:w="75" w:type="dxa"/>
              <w:bottom w:w="75" w:type="dxa"/>
              <w:right w:w="75" w:type="dxa"/>
            </w:tcMar>
          </w:tcPr>
          <w:p>
            <w:pPr>
              <w:spacing w:after="0"/>
            </w:pPr>
            <w:r>
              <w:rPr>
                <w:b w:val="0"/>
                <w:color w:val="12222B"/>
                <w:sz w:val="16"/>
              </w:rPr>
              <w:t>D1</w:t>
            </w:r>
          </w:p>
        </w:tc>
        <w:tc>
          <w:tcPr>
            <w:tcW w:type="dxa" w:w="1656"/>
            <w:vAlign w:val="center"/>
            <w:shd w:fill="F0F5F7"/>
            <w:tcMar>
              <w:top w:w="75" w:type="dxa"/>
              <w:left w:w="75" w:type="dxa"/>
              <w:bottom w:w="75" w:type="dxa"/>
              <w:right w:w="75" w:type="dxa"/>
            </w:tcMar>
          </w:tcPr>
          <w:p>
            <w:pPr>
              <w:spacing w:after="0"/>
            </w:pPr>
            <w:r>
              <w:rPr>
                <w:b w:val="0"/>
                <w:color w:val="12222B"/>
                <w:sz w:val="16"/>
              </w:rPr>
              <w:t>MRR</w:t>
            </w:r>
          </w:p>
        </w:tc>
        <w:tc>
          <w:tcPr>
            <w:tcW w:type="dxa" w:w="4680"/>
            <w:vAlign w:val="center"/>
            <w:shd w:fill="F0F5F7"/>
            <w:tcMar>
              <w:top w:w="75" w:type="dxa"/>
              <w:left w:w="75" w:type="dxa"/>
              <w:bottom w:w="75" w:type="dxa"/>
              <w:right w:w="75" w:type="dxa"/>
            </w:tcMar>
          </w:tcPr>
          <w:p>
            <w:pPr>
              <w:spacing w:after="0"/>
            </w:pPr>
            <w:r>
              <w:rPr>
                <w:b w:val="0"/>
                <w:color w:val="12222B"/>
                <w:sz w:val="16"/>
              </w:rPr>
              <w:t>Manufacturing Readiness Review</w:t>
            </w:r>
          </w:p>
        </w:tc>
        <w:tc>
          <w:tcPr>
            <w:tcW w:type="dxa" w:w="2088"/>
            <w:vAlign w:val="center"/>
            <w:shd w:fill="F0F5F7"/>
            <w:tcMar>
              <w:top w:w="75" w:type="dxa"/>
              <w:left w:w="75" w:type="dxa"/>
              <w:bottom w:w="75" w:type="dxa"/>
              <w:right w:w="75" w:type="dxa"/>
            </w:tcMar>
          </w:tcPr>
          <w:p>
            <w:pPr>
              <w:spacing w:after="0"/>
            </w:pPr>
            <w:r>
              <w:rPr>
                <w:b w:val="0"/>
                <w:color w:val="12222B"/>
                <w:sz w:val="16"/>
              </w:rPr>
              <w:t>Jun 2030</w:t>
            </w:r>
          </w:p>
        </w:tc>
      </w:tr>
      <w:tr>
        <w:tc>
          <w:tcPr>
            <w:tcW w:type="dxa" w:w="1080"/>
            <w:vAlign w:val="center"/>
            <w:shd w:fill="FFFFFF"/>
            <w:tcMar>
              <w:top w:w="75" w:type="dxa"/>
              <w:left w:w="75" w:type="dxa"/>
              <w:bottom w:w="75" w:type="dxa"/>
              <w:right w:w="75" w:type="dxa"/>
            </w:tcMar>
          </w:tcPr>
          <w:p>
            <w:pPr>
              <w:spacing w:after="0"/>
            </w:pPr>
            <w:r>
              <w:rPr>
                <w:b w:val="0"/>
                <w:color w:val="12222B"/>
                <w:sz w:val="16"/>
              </w:rPr>
              <w:t>D1</w:t>
            </w:r>
          </w:p>
        </w:tc>
        <w:tc>
          <w:tcPr>
            <w:tcW w:type="dxa" w:w="1656"/>
            <w:vAlign w:val="center"/>
            <w:shd w:fill="FFFFFF"/>
            <w:tcMar>
              <w:top w:w="75" w:type="dxa"/>
              <w:left w:w="75" w:type="dxa"/>
              <w:bottom w:w="75" w:type="dxa"/>
              <w:right w:w="75" w:type="dxa"/>
            </w:tcMar>
          </w:tcPr>
          <w:p>
            <w:pPr>
              <w:spacing w:after="0"/>
            </w:pPr>
            <w:r>
              <w:rPr>
                <w:b w:val="0"/>
                <w:color w:val="12222B"/>
                <w:sz w:val="16"/>
              </w:rPr>
              <w:t>DET-Q</w:t>
            </w:r>
          </w:p>
        </w:tc>
        <w:tc>
          <w:tcPr>
            <w:tcW w:type="dxa" w:w="4680"/>
            <w:vAlign w:val="center"/>
            <w:shd w:fill="FFFFFF"/>
            <w:tcMar>
              <w:top w:w="75" w:type="dxa"/>
              <w:left w:w="75" w:type="dxa"/>
              <w:bottom w:w="75" w:type="dxa"/>
              <w:right w:w="75" w:type="dxa"/>
            </w:tcMar>
          </w:tcPr>
          <w:p>
            <w:pPr>
              <w:spacing w:after="0"/>
            </w:pPr>
            <w:r>
              <w:rPr>
                <w:b w:val="0"/>
                <w:color w:val="12222B"/>
                <w:sz w:val="16"/>
              </w:rPr>
              <w:t>Detector qualification complete</w:t>
            </w:r>
          </w:p>
        </w:tc>
        <w:tc>
          <w:tcPr>
            <w:tcW w:type="dxa" w:w="2088"/>
            <w:vAlign w:val="center"/>
            <w:shd w:fill="FFFFFF"/>
            <w:tcMar>
              <w:top w:w="75" w:type="dxa"/>
              <w:left w:w="75" w:type="dxa"/>
              <w:bottom w:w="75" w:type="dxa"/>
              <w:right w:w="75" w:type="dxa"/>
            </w:tcMar>
          </w:tcPr>
          <w:p>
            <w:pPr>
              <w:spacing w:after="0"/>
            </w:pPr>
            <w:r>
              <w:rPr>
                <w:b w:val="0"/>
                <w:color w:val="12222B"/>
                <w:sz w:val="16"/>
              </w:rPr>
              <w:t>May 2031</w:t>
            </w:r>
          </w:p>
        </w:tc>
      </w:tr>
      <w:tr>
        <w:tc>
          <w:tcPr>
            <w:tcW w:type="dxa" w:w="1080"/>
            <w:vAlign w:val="center"/>
            <w:shd w:fill="F0F5F7"/>
            <w:tcMar>
              <w:top w:w="75" w:type="dxa"/>
              <w:left w:w="75" w:type="dxa"/>
              <w:bottom w:w="75" w:type="dxa"/>
              <w:right w:w="75" w:type="dxa"/>
            </w:tcMar>
          </w:tcPr>
          <w:p>
            <w:pPr>
              <w:spacing w:after="0"/>
            </w:pPr>
            <w:r>
              <w:rPr>
                <w:b w:val="0"/>
                <w:color w:val="12222B"/>
                <w:sz w:val="16"/>
              </w:rPr>
              <w:t>D1</w:t>
            </w:r>
          </w:p>
        </w:tc>
        <w:tc>
          <w:tcPr>
            <w:tcW w:type="dxa" w:w="1656"/>
            <w:vAlign w:val="center"/>
            <w:shd w:fill="F0F5F7"/>
            <w:tcMar>
              <w:top w:w="75" w:type="dxa"/>
              <w:left w:w="75" w:type="dxa"/>
              <w:bottom w:w="75" w:type="dxa"/>
              <w:right w:w="75" w:type="dxa"/>
            </w:tcMar>
          </w:tcPr>
          <w:p>
            <w:pPr>
              <w:spacing w:after="0"/>
            </w:pPr>
            <w:r>
              <w:rPr>
                <w:b w:val="0"/>
                <w:color w:val="12222B"/>
                <w:sz w:val="16"/>
              </w:rPr>
              <w:t>FM-1</w:t>
            </w:r>
          </w:p>
        </w:tc>
        <w:tc>
          <w:tcPr>
            <w:tcW w:type="dxa" w:w="4680"/>
            <w:vAlign w:val="center"/>
            <w:shd w:fill="F0F5F7"/>
            <w:tcMar>
              <w:top w:w="75" w:type="dxa"/>
              <w:left w:w="75" w:type="dxa"/>
              <w:bottom w:w="75" w:type="dxa"/>
              <w:right w:w="75" w:type="dxa"/>
            </w:tcMar>
          </w:tcPr>
          <w:p>
            <w:pPr>
              <w:spacing w:after="0"/>
            </w:pPr>
            <w:r>
              <w:rPr>
                <w:b w:val="0"/>
                <w:color w:val="12222B"/>
                <w:sz w:val="16"/>
              </w:rPr>
              <w:t>First flight unit assembled</w:t>
            </w:r>
          </w:p>
        </w:tc>
        <w:tc>
          <w:tcPr>
            <w:tcW w:type="dxa" w:w="2088"/>
            <w:vAlign w:val="center"/>
            <w:shd w:fill="F0F5F7"/>
            <w:tcMar>
              <w:top w:w="75" w:type="dxa"/>
              <w:left w:w="75" w:type="dxa"/>
              <w:bottom w:w="75" w:type="dxa"/>
              <w:right w:w="75" w:type="dxa"/>
            </w:tcMar>
          </w:tcPr>
          <w:p>
            <w:pPr>
              <w:spacing w:after="0"/>
            </w:pPr>
            <w:r>
              <w:rPr>
                <w:b w:val="0"/>
                <w:color w:val="12222B"/>
                <w:sz w:val="16"/>
              </w:rPr>
              <w:t>Oct 2031</w:t>
            </w:r>
          </w:p>
        </w:tc>
      </w:tr>
      <w:tr>
        <w:tc>
          <w:tcPr>
            <w:tcW w:type="dxa" w:w="1080"/>
            <w:vAlign w:val="center"/>
            <w:shd w:fill="FFFFFF"/>
            <w:tcMar>
              <w:top w:w="75" w:type="dxa"/>
              <w:left w:w="75" w:type="dxa"/>
              <w:bottom w:w="75" w:type="dxa"/>
              <w:right w:w="75" w:type="dxa"/>
            </w:tcMar>
          </w:tcPr>
          <w:p>
            <w:pPr>
              <w:spacing w:after="0"/>
            </w:pPr>
            <w:r>
              <w:rPr>
                <w:b w:val="0"/>
                <w:color w:val="12222B"/>
                <w:sz w:val="16"/>
              </w:rPr>
              <w:t>D1</w:t>
            </w:r>
          </w:p>
        </w:tc>
        <w:tc>
          <w:tcPr>
            <w:tcW w:type="dxa" w:w="1656"/>
            <w:vAlign w:val="center"/>
            <w:shd w:fill="FFFFFF"/>
            <w:tcMar>
              <w:top w:w="75" w:type="dxa"/>
              <w:left w:w="75" w:type="dxa"/>
              <w:bottom w:w="75" w:type="dxa"/>
              <w:right w:w="75" w:type="dxa"/>
            </w:tcMar>
          </w:tcPr>
          <w:p>
            <w:pPr>
              <w:spacing w:after="0"/>
            </w:pPr>
            <w:r>
              <w:rPr>
                <w:b w:val="0"/>
                <w:color w:val="12222B"/>
                <w:sz w:val="16"/>
              </w:rPr>
              <w:t>FM-3</w:t>
            </w:r>
          </w:p>
        </w:tc>
        <w:tc>
          <w:tcPr>
            <w:tcW w:type="dxa" w:w="4680"/>
            <w:vAlign w:val="center"/>
            <w:shd w:fill="FFFFFF"/>
            <w:tcMar>
              <w:top w:w="75" w:type="dxa"/>
              <w:left w:w="75" w:type="dxa"/>
              <w:bottom w:w="75" w:type="dxa"/>
              <w:right w:w="75" w:type="dxa"/>
            </w:tcMar>
          </w:tcPr>
          <w:p>
            <w:pPr>
              <w:spacing w:after="0"/>
            </w:pPr>
            <w:r>
              <w:rPr>
                <w:b w:val="0"/>
                <w:color w:val="12222B"/>
                <w:sz w:val="16"/>
              </w:rPr>
              <w:t>Third flight unit assembled</w:t>
            </w:r>
          </w:p>
        </w:tc>
        <w:tc>
          <w:tcPr>
            <w:tcW w:type="dxa" w:w="2088"/>
            <w:vAlign w:val="center"/>
            <w:shd w:fill="FFFFFF"/>
            <w:tcMar>
              <w:top w:w="75" w:type="dxa"/>
              <w:left w:w="75" w:type="dxa"/>
              <w:bottom w:w="75" w:type="dxa"/>
              <w:right w:w="75" w:type="dxa"/>
            </w:tcMar>
          </w:tcPr>
          <w:p>
            <w:pPr>
              <w:spacing w:after="0"/>
            </w:pPr>
            <w:r>
              <w:rPr>
                <w:b w:val="0"/>
                <w:color w:val="12222B"/>
                <w:sz w:val="16"/>
              </w:rPr>
              <w:t>Feb 2032</w:t>
            </w:r>
          </w:p>
        </w:tc>
      </w:tr>
      <w:tr>
        <w:tc>
          <w:tcPr>
            <w:tcW w:type="dxa" w:w="1080"/>
            <w:vAlign w:val="center"/>
            <w:shd w:fill="F0F5F7"/>
            <w:tcMar>
              <w:top w:w="75" w:type="dxa"/>
              <w:left w:w="75" w:type="dxa"/>
              <w:bottom w:w="75" w:type="dxa"/>
              <w:right w:w="75" w:type="dxa"/>
            </w:tcMar>
          </w:tcPr>
          <w:p>
            <w:pPr>
              <w:spacing w:after="0"/>
            </w:pPr>
            <w:r>
              <w:rPr>
                <w:b w:val="0"/>
                <w:color w:val="12222B"/>
                <w:sz w:val="16"/>
              </w:rPr>
              <w:t>D2</w:t>
            </w:r>
          </w:p>
        </w:tc>
        <w:tc>
          <w:tcPr>
            <w:tcW w:type="dxa" w:w="1656"/>
            <w:vAlign w:val="center"/>
            <w:shd w:fill="F0F5F7"/>
            <w:tcMar>
              <w:top w:w="75" w:type="dxa"/>
              <w:left w:w="75" w:type="dxa"/>
              <w:bottom w:w="75" w:type="dxa"/>
              <w:right w:w="75" w:type="dxa"/>
            </w:tcMar>
          </w:tcPr>
          <w:p>
            <w:pPr>
              <w:spacing w:after="0"/>
            </w:pPr>
            <w:r>
              <w:rPr>
                <w:b w:val="0"/>
                <w:color w:val="12222B"/>
                <w:sz w:val="16"/>
              </w:rPr>
              <w:t>SIR</w:t>
            </w:r>
          </w:p>
        </w:tc>
        <w:tc>
          <w:tcPr>
            <w:tcW w:type="dxa" w:w="4680"/>
            <w:vAlign w:val="center"/>
            <w:shd w:fill="F0F5F7"/>
            <w:tcMar>
              <w:top w:w="75" w:type="dxa"/>
              <w:left w:w="75" w:type="dxa"/>
              <w:bottom w:w="75" w:type="dxa"/>
              <w:right w:w="75" w:type="dxa"/>
            </w:tcMar>
          </w:tcPr>
          <w:p>
            <w:pPr>
              <w:spacing w:after="0"/>
            </w:pPr>
            <w:r>
              <w:rPr>
                <w:b w:val="0"/>
                <w:color w:val="12222B"/>
                <w:sz w:val="16"/>
              </w:rPr>
              <w:t>System Integration Review</w:t>
            </w:r>
          </w:p>
        </w:tc>
        <w:tc>
          <w:tcPr>
            <w:tcW w:type="dxa" w:w="2088"/>
            <w:vAlign w:val="center"/>
            <w:shd w:fill="F0F5F7"/>
            <w:tcMar>
              <w:top w:w="75" w:type="dxa"/>
              <w:left w:w="75" w:type="dxa"/>
              <w:bottom w:w="75" w:type="dxa"/>
              <w:right w:w="75" w:type="dxa"/>
            </w:tcMar>
          </w:tcPr>
          <w:p>
            <w:pPr>
              <w:spacing w:after="0"/>
            </w:pPr>
            <w:r>
              <w:rPr>
                <w:b w:val="0"/>
                <w:color w:val="12222B"/>
                <w:sz w:val="16"/>
              </w:rPr>
              <w:t>Mar 2032</w:t>
            </w:r>
          </w:p>
        </w:tc>
      </w:tr>
      <w:tr>
        <w:tc>
          <w:tcPr>
            <w:tcW w:type="dxa" w:w="1080"/>
            <w:vAlign w:val="center"/>
            <w:shd w:fill="FFFFFF"/>
            <w:tcMar>
              <w:top w:w="75" w:type="dxa"/>
              <w:left w:w="75" w:type="dxa"/>
              <w:bottom w:w="75" w:type="dxa"/>
              <w:right w:w="75" w:type="dxa"/>
            </w:tcMar>
          </w:tcPr>
          <w:p>
            <w:pPr>
              <w:spacing w:after="0"/>
            </w:pPr>
            <w:r>
              <w:rPr>
                <w:b w:val="0"/>
                <w:color w:val="12222B"/>
                <w:sz w:val="16"/>
              </w:rPr>
              <w:t>D2</w:t>
            </w:r>
          </w:p>
        </w:tc>
        <w:tc>
          <w:tcPr>
            <w:tcW w:type="dxa" w:w="1656"/>
            <w:vAlign w:val="center"/>
            <w:shd w:fill="FFFFFF"/>
            <w:tcMar>
              <w:top w:w="75" w:type="dxa"/>
              <w:left w:w="75" w:type="dxa"/>
              <w:bottom w:w="75" w:type="dxa"/>
              <w:right w:w="75" w:type="dxa"/>
            </w:tcMar>
          </w:tcPr>
          <w:p>
            <w:pPr>
              <w:spacing w:after="0"/>
            </w:pPr>
            <w:r>
              <w:rPr>
                <w:b w:val="0"/>
                <w:color w:val="12222B"/>
                <w:sz w:val="16"/>
              </w:rPr>
              <w:t>ETRR</w:t>
            </w:r>
          </w:p>
        </w:tc>
        <w:tc>
          <w:tcPr>
            <w:tcW w:type="dxa" w:w="4680"/>
            <w:vAlign w:val="center"/>
            <w:shd w:fill="FFFFFF"/>
            <w:tcMar>
              <w:top w:w="75" w:type="dxa"/>
              <w:left w:w="75" w:type="dxa"/>
              <w:bottom w:w="75" w:type="dxa"/>
              <w:right w:w="75" w:type="dxa"/>
            </w:tcMar>
          </w:tcPr>
          <w:p>
            <w:pPr>
              <w:spacing w:after="0"/>
            </w:pPr>
            <w:r>
              <w:rPr>
                <w:b w:val="0"/>
                <w:color w:val="12222B"/>
                <w:sz w:val="16"/>
              </w:rPr>
              <w:t>Environmental Test Readiness Review</w:t>
            </w:r>
          </w:p>
        </w:tc>
        <w:tc>
          <w:tcPr>
            <w:tcW w:type="dxa" w:w="2088"/>
            <w:vAlign w:val="center"/>
            <w:shd w:fill="FFFFFF"/>
            <w:tcMar>
              <w:top w:w="75" w:type="dxa"/>
              <w:left w:w="75" w:type="dxa"/>
              <w:bottom w:w="75" w:type="dxa"/>
              <w:right w:w="75" w:type="dxa"/>
            </w:tcMar>
          </w:tcPr>
          <w:p>
            <w:pPr>
              <w:spacing w:after="0"/>
            </w:pPr>
            <w:r>
              <w:rPr>
                <w:b w:val="0"/>
                <w:color w:val="12222B"/>
                <w:sz w:val="16"/>
              </w:rPr>
              <w:t>May 2032</w:t>
            </w:r>
          </w:p>
        </w:tc>
      </w:tr>
      <w:tr>
        <w:tc>
          <w:tcPr>
            <w:tcW w:type="dxa" w:w="1080"/>
            <w:vAlign w:val="center"/>
            <w:shd w:fill="F0F5F7"/>
            <w:tcMar>
              <w:top w:w="75" w:type="dxa"/>
              <w:left w:w="75" w:type="dxa"/>
              <w:bottom w:w="75" w:type="dxa"/>
              <w:right w:w="75" w:type="dxa"/>
            </w:tcMar>
          </w:tcPr>
          <w:p>
            <w:pPr>
              <w:spacing w:after="0"/>
            </w:pPr>
            <w:r>
              <w:rPr>
                <w:b w:val="0"/>
                <w:color w:val="12222B"/>
                <w:sz w:val="16"/>
              </w:rPr>
              <w:t>D2</w:t>
            </w:r>
          </w:p>
        </w:tc>
        <w:tc>
          <w:tcPr>
            <w:tcW w:type="dxa" w:w="1656"/>
            <w:vAlign w:val="center"/>
            <w:shd w:fill="F0F5F7"/>
            <w:tcMar>
              <w:top w:w="75" w:type="dxa"/>
              <w:left w:w="75" w:type="dxa"/>
              <w:bottom w:w="75" w:type="dxa"/>
              <w:right w:w="75" w:type="dxa"/>
            </w:tcMar>
          </w:tcPr>
          <w:p>
            <w:pPr>
              <w:spacing w:after="0"/>
            </w:pPr>
            <w:r>
              <w:rPr>
                <w:b w:val="0"/>
                <w:color w:val="12222B"/>
                <w:sz w:val="16"/>
              </w:rPr>
              <w:t>AR</w:t>
            </w:r>
          </w:p>
        </w:tc>
        <w:tc>
          <w:tcPr>
            <w:tcW w:type="dxa" w:w="4680"/>
            <w:vAlign w:val="center"/>
            <w:shd w:fill="F0F5F7"/>
            <w:tcMar>
              <w:top w:w="75" w:type="dxa"/>
              <w:left w:w="75" w:type="dxa"/>
              <w:bottom w:w="75" w:type="dxa"/>
              <w:right w:w="75" w:type="dxa"/>
            </w:tcMar>
          </w:tcPr>
          <w:p>
            <w:pPr>
              <w:spacing w:after="0"/>
            </w:pPr>
            <w:r>
              <w:rPr>
                <w:b w:val="0"/>
                <w:color w:val="12222B"/>
                <w:sz w:val="16"/>
              </w:rPr>
              <w:t>Flight-unit acceptance</w:t>
            </w:r>
          </w:p>
        </w:tc>
        <w:tc>
          <w:tcPr>
            <w:tcW w:type="dxa" w:w="2088"/>
            <w:vAlign w:val="center"/>
            <w:shd w:fill="F0F5F7"/>
            <w:tcMar>
              <w:top w:w="75" w:type="dxa"/>
              <w:left w:w="75" w:type="dxa"/>
              <w:bottom w:w="75" w:type="dxa"/>
              <w:right w:w="75" w:type="dxa"/>
            </w:tcMar>
          </w:tcPr>
          <w:p>
            <w:pPr>
              <w:spacing w:after="0"/>
            </w:pPr>
            <w:r>
              <w:rPr>
                <w:b w:val="0"/>
                <w:color w:val="12222B"/>
                <w:sz w:val="16"/>
              </w:rPr>
              <w:t>Sep 2032</w:t>
            </w:r>
          </w:p>
        </w:tc>
      </w:tr>
      <w:tr>
        <w:tc>
          <w:tcPr>
            <w:tcW w:type="dxa" w:w="1080"/>
            <w:vAlign w:val="center"/>
            <w:shd w:fill="FFFFFF"/>
            <w:tcMar>
              <w:top w:w="75" w:type="dxa"/>
              <w:left w:w="75" w:type="dxa"/>
              <w:bottom w:w="75" w:type="dxa"/>
              <w:right w:w="75" w:type="dxa"/>
            </w:tcMar>
          </w:tcPr>
          <w:p>
            <w:pPr>
              <w:spacing w:after="0"/>
            </w:pPr>
            <w:r>
              <w:rPr>
                <w:b w:val="0"/>
                <w:color w:val="12222B"/>
                <w:sz w:val="16"/>
              </w:rPr>
              <w:t>D2</w:t>
            </w:r>
          </w:p>
        </w:tc>
        <w:tc>
          <w:tcPr>
            <w:tcW w:type="dxa" w:w="1656"/>
            <w:vAlign w:val="center"/>
            <w:shd w:fill="FFFFFF"/>
            <w:tcMar>
              <w:top w:w="75" w:type="dxa"/>
              <w:left w:w="75" w:type="dxa"/>
              <w:bottom w:w="75" w:type="dxa"/>
              <w:right w:w="75" w:type="dxa"/>
            </w:tcMar>
          </w:tcPr>
          <w:p>
            <w:pPr>
              <w:spacing w:after="0"/>
            </w:pPr>
            <w:r>
              <w:rPr>
                <w:b w:val="0"/>
                <w:color w:val="12222B"/>
                <w:sz w:val="16"/>
              </w:rPr>
              <w:t>LRR</w:t>
            </w:r>
          </w:p>
        </w:tc>
        <w:tc>
          <w:tcPr>
            <w:tcW w:type="dxa" w:w="4680"/>
            <w:vAlign w:val="center"/>
            <w:shd w:fill="FFFFFF"/>
            <w:tcMar>
              <w:top w:w="75" w:type="dxa"/>
              <w:left w:w="75" w:type="dxa"/>
              <w:bottom w:w="75" w:type="dxa"/>
              <w:right w:w="75" w:type="dxa"/>
            </w:tcMar>
          </w:tcPr>
          <w:p>
            <w:pPr>
              <w:spacing w:after="0"/>
            </w:pPr>
            <w:r>
              <w:rPr>
                <w:b w:val="0"/>
                <w:color w:val="12222B"/>
                <w:sz w:val="16"/>
              </w:rPr>
              <w:t>Launch Readiness Review</w:t>
            </w:r>
          </w:p>
        </w:tc>
        <w:tc>
          <w:tcPr>
            <w:tcW w:type="dxa" w:w="2088"/>
            <w:vAlign w:val="center"/>
            <w:shd w:fill="FFFFFF"/>
            <w:tcMar>
              <w:top w:w="75" w:type="dxa"/>
              <w:left w:w="75" w:type="dxa"/>
              <w:bottom w:w="75" w:type="dxa"/>
              <w:right w:w="75" w:type="dxa"/>
            </w:tcMar>
          </w:tcPr>
          <w:p>
            <w:pPr>
              <w:spacing w:after="0"/>
            </w:pPr>
            <w:r>
              <w:rPr>
                <w:b w:val="0"/>
                <w:color w:val="12222B"/>
                <w:sz w:val="16"/>
              </w:rPr>
              <w:t>Nov 2032</w:t>
            </w:r>
          </w:p>
        </w:tc>
      </w:tr>
      <w:tr>
        <w:tc>
          <w:tcPr>
            <w:tcW w:type="dxa" w:w="1080"/>
            <w:vAlign w:val="center"/>
            <w:shd w:fill="F0F5F7"/>
            <w:tcMar>
              <w:top w:w="75" w:type="dxa"/>
              <w:left w:w="75" w:type="dxa"/>
              <w:bottom w:w="75" w:type="dxa"/>
              <w:right w:w="75" w:type="dxa"/>
            </w:tcMar>
          </w:tcPr>
          <w:p>
            <w:pPr>
              <w:spacing w:after="0"/>
            </w:pPr>
            <w:r>
              <w:rPr>
                <w:b w:val="0"/>
                <w:color w:val="12222B"/>
                <w:sz w:val="16"/>
              </w:rPr>
              <w:t>D2</w:t>
            </w:r>
          </w:p>
        </w:tc>
        <w:tc>
          <w:tcPr>
            <w:tcW w:type="dxa" w:w="1656"/>
            <w:vAlign w:val="center"/>
            <w:shd w:fill="F0F5F7"/>
            <w:tcMar>
              <w:top w:w="75" w:type="dxa"/>
              <w:left w:w="75" w:type="dxa"/>
              <w:bottom w:w="75" w:type="dxa"/>
              <w:right w:w="75" w:type="dxa"/>
            </w:tcMar>
          </w:tcPr>
          <w:p>
            <w:pPr>
              <w:spacing w:after="0"/>
            </w:pPr>
            <w:r>
              <w:rPr>
                <w:b w:val="0"/>
                <w:color w:val="12222B"/>
                <w:sz w:val="16"/>
              </w:rPr>
              <w:t>L</w:t>
            </w:r>
          </w:p>
        </w:tc>
        <w:tc>
          <w:tcPr>
            <w:tcW w:type="dxa" w:w="4680"/>
            <w:vAlign w:val="center"/>
            <w:shd w:fill="F0F5F7"/>
            <w:tcMar>
              <w:top w:w="75" w:type="dxa"/>
              <w:left w:w="75" w:type="dxa"/>
              <w:bottom w:w="75" w:type="dxa"/>
              <w:right w:w="75" w:type="dxa"/>
            </w:tcMar>
          </w:tcPr>
          <w:p>
            <w:pPr>
              <w:spacing w:after="0"/>
            </w:pPr>
            <w:r>
              <w:rPr>
                <w:b w:val="0"/>
                <w:color w:val="12222B"/>
                <w:sz w:val="16"/>
              </w:rPr>
              <w:t>Launch</w:t>
            </w:r>
          </w:p>
        </w:tc>
        <w:tc>
          <w:tcPr>
            <w:tcW w:type="dxa" w:w="2088"/>
            <w:vAlign w:val="center"/>
            <w:shd w:fill="F0F5F7"/>
            <w:tcMar>
              <w:top w:w="75" w:type="dxa"/>
              <w:left w:w="75" w:type="dxa"/>
              <w:bottom w:w="75" w:type="dxa"/>
              <w:right w:w="75" w:type="dxa"/>
            </w:tcMar>
          </w:tcPr>
          <w:p>
            <w:pPr>
              <w:spacing w:after="0"/>
            </w:pPr>
            <w:r>
              <w:rPr>
                <w:b w:val="0"/>
                <w:color w:val="12222B"/>
                <w:sz w:val="16"/>
              </w:rPr>
              <w:t>Jan 2033</w:t>
            </w:r>
          </w:p>
        </w:tc>
      </w:tr>
      <w:tr>
        <w:tc>
          <w:tcPr>
            <w:tcW w:type="dxa" w:w="1080"/>
            <w:vAlign w:val="center"/>
            <w:shd w:fill="FFFFFF"/>
            <w:tcMar>
              <w:top w:w="75" w:type="dxa"/>
              <w:left w:w="75" w:type="dxa"/>
              <w:bottom w:w="75" w:type="dxa"/>
              <w:right w:w="75" w:type="dxa"/>
            </w:tcMar>
          </w:tcPr>
          <w:p>
            <w:pPr>
              <w:spacing w:after="0"/>
            </w:pPr>
            <w:r>
              <w:rPr>
                <w:b w:val="0"/>
                <w:color w:val="12222B"/>
                <w:sz w:val="16"/>
              </w:rPr>
              <w:t>LEOP</w:t>
            </w:r>
          </w:p>
        </w:tc>
        <w:tc>
          <w:tcPr>
            <w:tcW w:type="dxa" w:w="1656"/>
            <w:vAlign w:val="center"/>
            <w:shd w:fill="FFFFFF"/>
            <w:tcMar>
              <w:top w:w="75" w:type="dxa"/>
              <w:left w:w="75" w:type="dxa"/>
              <w:bottom w:w="75" w:type="dxa"/>
              <w:right w:w="75" w:type="dxa"/>
            </w:tcMar>
          </w:tcPr>
          <w:p>
            <w:pPr>
              <w:spacing w:after="0"/>
            </w:pPr>
            <w:r>
              <w:rPr>
                <w:b w:val="0"/>
                <w:color w:val="12222B"/>
                <w:sz w:val="16"/>
              </w:rPr>
              <w:t>SEP</w:t>
            </w:r>
          </w:p>
        </w:tc>
        <w:tc>
          <w:tcPr>
            <w:tcW w:type="dxa" w:w="4680"/>
            <w:vAlign w:val="center"/>
            <w:shd w:fill="FFFFFF"/>
            <w:tcMar>
              <w:top w:w="75" w:type="dxa"/>
              <w:left w:w="75" w:type="dxa"/>
              <w:bottom w:w="75" w:type="dxa"/>
              <w:right w:w="75" w:type="dxa"/>
            </w:tcMar>
          </w:tcPr>
          <w:p>
            <w:pPr>
              <w:spacing w:after="0"/>
            </w:pPr>
            <w:r>
              <w:rPr>
                <w:b w:val="0"/>
                <w:color w:val="12222B"/>
                <w:sz w:val="16"/>
              </w:rPr>
              <w:t>All three units separated and acquired</w:t>
            </w:r>
          </w:p>
        </w:tc>
        <w:tc>
          <w:tcPr>
            <w:tcW w:type="dxa" w:w="2088"/>
            <w:vAlign w:val="center"/>
            <w:shd w:fill="FFFFFF"/>
            <w:tcMar>
              <w:top w:w="75" w:type="dxa"/>
              <w:left w:w="75" w:type="dxa"/>
              <w:bottom w:w="75" w:type="dxa"/>
              <w:right w:w="75" w:type="dxa"/>
            </w:tcMar>
          </w:tcPr>
          <w:p>
            <w:pPr>
              <w:spacing w:after="0"/>
            </w:pPr>
            <w:r>
              <w:rPr>
                <w:b w:val="0"/>
                <w:color w:val="12222B"/>
                <w:sz w:val="16"/>
              </w:rPr>
              <w:t>Jan 2033</w:t>
            </w:r>
          </w:p>
        </w:tc>
      </w:tr>
      <w:tr>
        <w:tc>
          <w:tcPr>
            <w:tcW w:type="dxa" w:w="1080"/>
            <w:vAlign w:val="center"/>
            <w:shd w:fill="F0F5F7"/>
            <w:tcMar>
              <w:top w:w="75" w:type="dxa"/>
              <w:left w:w="75" w:type="dxa"/>
              <w:bottom w:w="75" w:type="dxa"/>
              <w:right w:w="75" w:type="dxa"/>
            </w:tcMar>
          </w:tcPr>
          <w:p>
            <w:pPr>
              <w:spacing w:after="0"/>
            </w:pPr>
            <w:r>
              <w:rPr>
                <w:b w:val="0"/>
                <w:color w:val="12222B"/>
                <w:sz w:val="16"/>
              </w:rPr>
              <w:t>E</w:t>
            </w:r>
          </w:p>
        </w:tc>
        <w:tc>
          <w:tcPr>
            <w:tcW w:type="dxa" w:w="1656"/>
            <w:vAlign w:val="center"/>
            <w:shd w:fill="F0F5F7"/>
            <w:tcMar>
              <w:top w:w="75" w:type="dxa"/>
              <w:left w:w="75" w:type="dxa"/>
              <w:bottom w:w="75" w:type="dxa"/>
              <w:right w:w="75" w:type="dxa"/>
            </w:tcMar>
          </w:tcPr>
          <w:p>
            <w:pPr>
              <w:spacing w:after="0"/>
            </w:pPr>
            <w:r>
              <w:rPr>
                <w:b w:val="0"/>
                <w:color w:val="12222B"/>
                <w:sz w:val="16"/>
              </w:rPr>
              <w:t>CCR</w:t>
            </w:r>
          </w:p>
        </w:tc>
        <w:tc>
          <w:tcPr>
            <w:tcW w:type="dxa" w:w="4680"/>
            <w:vAlign w:val="center"/>
            <w:shd w:fill="F0F5F7"/>
            <w:tcMar>
              <w:top w:w="75" w:type="dxa"/>
              <w:left w:w="75" w:type="dxa"/>
              <w:bottom w:w="75" w:type="dxa"/>
              <w:right w:w="75" w:type="dxa"/>
            </w:tcMar>
          </w:tcPr>
          <w:p>
            <w:pPr>
              <w:spacing w:after="0"/>
            </w:pPr>
            <w:r>
              <w:rPr>
                <w:b w:val="0"/>
                <w:color w:val="12222B"/>
                <w:sz w:val="16"/>
              </w:rPr>
              <w:t>Commissioning Complete Review</w:t>
            </w:r>
          </w:p>
        </w:tc>
        <w:tc>
          <w:tcPr>
            <w:tcW w:type="dxa" w:w="2088"/>
            <w:vAlign w:val="center"/>
            <w:shd w:fill="F0F5F7"/>
            <w:tcMar>
              <w:top w:w="75" w:type="dxa"/>
              <w:left w:w="75" w:type="dxa"/>
              <w:bottom w:w="75" w:type="dxa"/>
              <w:right w:w="75" w:type="dxa"/>
            </w:tcMar>
          </w:tcPr>
          <w:p>
            <w:pPr>
              <w:spacing w:after="0"/>
            </w:pPr>
            <w:r>
              <w:rPr>
                <w:b w:val="0"/>
                <w:color w:val="12222B"/>
                <w:sz w:val="16"/>
              </w:rPr>
              <w:t>Jul 2033</w:t>
            </w:r>
          </w:p>
        </w:tc>
      </w:tr>
      <w:tr>
        <w:tc>
          <w:tcPr>
            <w:tcW w:type="dxa" w:w="1080"/>
            <w:vAlign w:val="center"/>
            <w:shd w:fill="FFFFFF"/>
            <w:tcMar>
              <w:top w:w="75" w:type="dxa"/>
              <w:left w:w="75" w:type="dxa"/>
              <w:bottom w:w="75" w:type="dxa"/>
              <w:right w:w="75" w:type="dxa"/>
            </w:tcMar>
          </w:tcPr>
          <w:p>
            <w:pPr>
              <w:spacing w:after="0"/>
            </w:pPr>
            <w:r>
              <w:rPr>
                <w:b w:val="0"/>
                <w:color w:val="12222B"/>
                <w:sz w:val="16"/>
              </w:rPr>
              <w:t>E</w:t>
            </w:r>
          </w:p>
        </w:tc>
        <w:tc>
          <w:tcPr>
            <w:tcW w:type="dxa" w:w="1656"/>
            <w:vAlign w:val="center"/>
            <w:shd w:fill="FFFFFF"/>
            <w:tcMar>
              <w:top w:w="75" w:type="dxa"/>
              <w:left w:w="75" w:type="dxa"/>
              <w:bottom w:w="75" w:type="dxa"/>
              <w:right w:w="75" w:type="dxa"/>
            </w:tcMar>
          </w:tcPr>
          <w:p>
            <w:pPr>
              <w:spacing w:after="0"/>
            </w:pPr>
            <w:r>
              <w:rPr>
                <w:b w:val="0"/>
                <w:color w:val="12222B"/>
                <w:sz w:val="16"/>
              </w:rPr>
              <w:t>EOM</w:t>
            </w:r>
          </w:p>
        </w:tc>
        <w:tc>
          <w:tcPr>
            <w:tcW w:type="dxa" w:w="4680"/>
            <w:vAlign w:val="center"/>
            <w:shd w:fill="FFFFFF"/>
            <w:tcMar>
              <w:top w:w="75" w:type="dxa"/>
              <w:left w:w="75" w:type="dxa"/>
              <w:bottom w:w="75" w:type="dxa"/>
              <w:right w:w="75" w:type="dxa"/>
            </w:tcMar>
          </w:tcPr>
          <w:p>
            <w:pPr>
              <w:spacing w:after="0"/>
            </w:pPr>
            <w:r>
              <w:rPr>
                <w:b w:val="0"/>
                <w:color w:val="12222B"/>
                <w:sz w:val="16"/>
              </w:rPr>
              <w:t>End nominal science operations</w:t>
            </w:r>
          </w:p>
        </w:tc>
        <w:tc>
          <w:tcPr>
            <w:tcW w:type="dxa" w:w="2088"/>
            <w:vAlign w:val="center"/>
            <w:shd w:fill="FFFFFF"/>
            <w:tcMar>
              <w:top w:w="75" w:type="dxa"/>
              <w:left w:w="75" w:type="dxa"/>
              <w:bottom w:w="75" w:type="dxa"/>
              <w:right w:w="75" w:type="dxa"/>
            </w:tcMar>
          </w:tcPr>
          <w:p>
            <w:pPr>
              <w:spacing w:after="0"/>
            </w:pPr>
            <w:r>
              <w:rPr>
                <w:b w:val="0"/>
                <w:color w:val="12222B"/>
                <w:sz w:val="16"/>
              </w:rPr>
              <w:t>Jul 2038</w:t>
            </w:r>
          </w:p>
        </w:tc>
      </w:tr>
      <w:tr>
        <w:tc>
          <w:tcPr>
            <w:tcW w:type="dxa" w:w="1080"/>
            <w:vAlign w:val="center"/>
            <w:shd w:fill="F0F5F7"/>
            <w:tcMar>
              <w:top w:w="75" w:type="dxa"/>
              <w:left w:w="75" w:type="dxa"/>
              <w:bottom w:w="75" w:type="dxa"/>
              <w:right w:w="75" w:type="dxa"/>
            </w:tcMar>
          </w:tcPr>
          <w:p>
            <w:pPr>
              <w:spacing w:after="0"/>
            </w:pPr>
            <w:r>
              <w:rPr>
                <w:b w:val="0"/>
                <w:color w:val="12222B"/>
                <w:sz w:val="16"/>
              </w:rPr>
              <w:t>F</w:t>
            </w:r>
          </w:p>
        </w:tc>
        <w:tc>
          <w:tcPr>
            <w:tcW w:type="dxa" w:w="1656"/>
            <w:vAlign w:val="center"/>
            <w:shd w:fill="F0F5F7"/>
            <w:tcMar>
              <w:top w:w="75" w:type="dxa"/>
              <w:left w:w="75" w:type="dxa"/>
              <w:bottom w:w="75" w:type="dxa"/>
              <w:right w:w="75" w:type="dxa"/>
            </w:tcMar>
          </w:tcPr>
          <w:p>
            <w:pPr>
              <w:spacing w:after="0"/>
            </w:pPr>
            <w:r>
              <w:rPr>
                <w:b w:val="0"/>
                <w:color w:val="12222B"/>
                <w:sz w:val="16"/>
              </w:rPr>
              <w:t>EOL</w:t>
            </w:r>
          </w:p>
        </w:tc>
        <w:tc>
          <w:tcPr>
            <w:tcW w:type="dxa" w:w="4680"/>
            <w:vAlign w:val="center"/>
            <w:shd w:fill="F0F5F7"/>
            <w:tcMar>
              <w:top w:w="75" w:type="dxa"/>
              <w:left w:w="75" w:type="dxa"/>
              <w:bottom w:w="75" w:type="dxa"/>
              <w:right w:w="75" w:type="dxa"/>
            </w:tcMar>
          </w:tcPr>
          <w:p>
            <w:pPr>
              <w:spacing w:after="0"/>
            </w:pPr>
            <w:r>
              <w:rPr>
                <w:b w:val="0"/>
                <w:color w:val="12222B"/>
                <w:sz w:val="16"/>
              </w:rPr>
              <w:t>Passivation complete</w:t>
            </w:r>
          </w:p>
        </w:tc>
        <w:tc>
          <w:tcPr>
            <w:tcW w:type="dxa" w:w="2088"/>
            <w:vAlign w:val="center"/>
            <w:shd w:fill="F0F5F7"/>
            <w:tcMar>
              <w:top w:w="75" w:type="dxa"/>
              <w:left w:w="75" w:type="dxa"/>
              <w:bottom w:w="75" w:type="dxa"/>
              <w:right w:w="75" w:type="dxa"/>
            </w:tcMar>
          </w:tcPr>
          <w:p>
            <w:pPr>
              <w:spacing w:after="0"/>
            </w:pPr>
            <w:r>
              <w:rPr>
                <w:b w:val="0"/>
                <w:color w:val="12222B"/>
                <w:sz w:val="16"/>
              </w:rPr>
              <w:t>Sep 2038</w:t>
            </w:r>
          </w:p>
        </w:tc>
      </w:tr>
    </w:tbl>
    <w:p>
      <w:pPr>
        <w:pStyle w:val="Heading2"/>
      </w:pPr>
      <w:r>
        <w:t>6.4  Safety and Mission Assurance</w:t>
      </w:r>
    </w:p>
    <w:p>
      <w:r>
        <w:t>The preliminary mission assurance posture requires traceable requirements, independent quality oversight of flight hardware, serialized configuration, formal nonconformance control, parts screening and supplier surveillance. Launch-site propellant handling and deployment hazards require approved procedures. The three-unit design is assessed for common-cause failure: one defective batch, flight-software defect or calibration error can affect all units, so unit-to-unit similarity alone does not establish independence.</w:t>
      </w:r>
    </w:p>
    <w:p>
      <w:pPr>
        <w:pStyle w:val="Heading2"/>
      </w:pPr>
      <w:r>
        <w:t>6.5  Qualification and Acceptance Strategy, Model Philosophy</w:t>
      </w:r>
    </w:p>
    <w:p>
      <w:r>
        <w:t>The model set comprises one electrical integration model, one structural/thermal qualification article for the common bus and three flight units. The detector front end receives a separate instrument qualification campaign with representative high-speed impact tests; the photometer baffle is qualified for stray light and thermal distortion. The qualification article undergoes vibration, shock, thermal-vacuum and electromagnetic compatibility tests. Each flight unit receives workmanship-level environmental acceptance, deployment tests, end-to-end contact demonstrations and calibrated payload acceptance.</w:t>
      </w:r>
    </w:p>
    <w:p>
      <w:r>
        <w:t>Flight software is exercised against all three flight-unit configurations, including lost-contact, invalid time, low-power and wheel-failure cases. A 30-day post-launch checkout confirms each spacecraft independently; the remaining cruise interval establishes geometry and photometric reference fields. Acceptance evidence is archived by serial number and test configuration.</w:t>
      </w:r>
    </w:p>
    <w:p>
      <w:pPr>
        <w:pStyle w:val="Heading2"/>
      </w:pPr>
      <w:r>
        <w:t>6.6  Risk Assessment</w:t>
      </w:r>
    </w:p>
    <w:p>
      <w:r>
        <w:t>The Part C risk register controls probability, cost and schedule exposure. The highest concept-level drivers are detector calibration extrapolation to natural grains; photometer stray light at 40° elongation; ground-network coverage during unfavorable geometry; propulsion dispersion across the three drift trajectories; radiation-induced data corruption; and a common flight-software fault. Each risk requires an owner, quantitative trigger, mitigation and residual estimate. A technical reserve of 30 kg per unit and 34 m/s usable Δv headroom are design allocations, not substitutes for cost contingency.</w:t>
      </w:r>
    </w:p>
    <w:p>
      <w:pPr>
        <w:pStyle w:val="Heading2"/>
      </w:pPr>
      <w:r>
        <w:t>6.7  Organizational Breakdown Structure</w:t>
      </w:r>
    </w:p>
    <w:p>
      <w:pPr>
        <w:pStyle w:val="ListBullet"/>
      </w:pPr>
      <w:r>
        <w:t>Avelune Space Directorate: mission owner, systems authority, procurement, project controls and acceptance.</w:t>
      </w:r>
    </w:p>
    <w:p>
      <w:pPr>
        <w:pStyle w:val="ListBullet"/>
      </w:pPr>
      <w:r>
        <w:t>Veylora Orbital Works: common spacecraft bus design, manufacturing and three flight-unit integrations.</w:t>
      </w:r>
    </w:p>
    <w:p>
      <w:pPr>
        <w:pStyle w:val="ListBullet"/>
      </w:pPr>
      <w:r>
        <w:t>Kyntharel Instrument Works: impact detector, photometer, context package and payload calibration.</w:t>
      </w:r>
    </w:p>
    <w:p>
      <w:pPr>
        <w:pStyle w:val="ListBullet"/>
      </w:pPr>
      <w:r>
        <w:t>Sorevian Launch Services: launch, dispenser integration and injection verification.</w:t>
      </w:r>
    </w:p>
    <w:p>
      <w:pPr>
        <w:pStyle w:val="ListBullet"/>
      </w:pPr>
      <w:r>
        <w:t>Tavrel Ground Networks: three receiving sites and antenna scheduling.</w:t>
      </w:r>
    </w:p>
    <w:p>
      <w:pPr>
        <w:pStyle w:val="ListBullet"/>
      </w:pPr>
      <w:r>
        <w:t>Ruvellan Data Institute: science calibration, inversion, product validation and archive stewardship.</w:t>
      </w:r>
    </w:p>
    <w:p>
      <w:r>
        <w:t>A single interface-control register governs supplier boundaries. The prime spacecraft contractor integrates payload and bus and owns spacecraft-level verification; ASD owns mission-level acceptance. Subcontract pricing, long-lead orders and government labor allocations are defined in Part D and the associated cost breakdown structure.</w:t>
      </w:r>
    </w:p>
    <w:p>
      <w:r>
        <w:br w:type="page"/>
      </w:r>
    </w:p>
    <w:p>
      <w:pPr>
        <w:pStyle w:val="Heading1"/>
      </w:pPr>
      <w:r>
        <w:t>Appendices</w:t>
      </w:r>
    </w:p>
    <w:p>
      <w:pPr>
        <w:pStyle w:val="Heading2"/>
      </w:pPr>
      <w:r>
        <w:t>A  Acronym List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72"/>
            <w:vAlign w:val="center"/>
            <w:shd w:fill="18384F"/>
            <w:tcMar>
              <w:top w:w="75" w:type="dxa"/>
              <w:left w:w="75" w:type="dxa"/>
              <w:bottom w:w="75" w:type="dxa"/>
              <w:right w:w="75" w:type="dxa"/>
            </w:tcMar>
          </w:tcPr>
          <w:p>
            <w:pPr>
              <w:spacing w:after="0"/>
            </w:pPr>
            <w:r>
              <w:rPr>
                <w:b/>
                <w:color w:val="FFFFFF"/>
                <w:sz w:val="16"/>
              </w:rPr>
              <w:t>Acronym</w:t>
            </w:r>
          </w:p>
        </w:tc>
        <w:tc>
          <w:tcPr>
            <w:tcW w:type="dxa" w:w="7632"/>
            <w:vAlign w:val="center"/>
            <w:shd w:fill="18384F"/>
            <w:tcMar>
              <w:top w:w="75" w:type="dxa"/>
              <w:left w:w="75" w:type="dxa"/>
              <w:bottom w:w="75" w:type="dxa"/>
              <w:right w:w="75" w:type="dxa"/>
            </w:tcMar>
          </w:tcPr>
          <w:p>
            <w:pPr>
              <w:spacing w:after="0"/>
            </w:pPr>
            <w:r>
              <w:rPr>
                <w:b/>
                <w:color w:val="FFFFFF"/>
                <w:sz w:val="16"/>
              </w:rPr>
              <w:t>Definition</w:t>
            </w:r>
          </w:p>
        </w:tc>
      </w:tr>
      <w:tr>
        <w:tc>
          <w:tcPr>
            <w:tcW w:type="dxa" w:w="1872"/>
            <w:vAlign w:val="center"/>
            <w:shd w:fill="FFFFFF"/>
            <w:tcMar>
              <w:top w:w="75" w:type="dxa"/>
              <w:left w:w="75" w:type="dxa"/>
              <w:bottom w:w="75" w:type="dxa"/>
              <w:right w:w="75" w:type="dxa"/>
            </w:tcMar>
          </w:tcPr>
          <w:p>
            <w:pPr>
              <w:spacing w:after="0"/>
            </w:pPr>
            <w:r>
              <w:rPr>
                <w:b w:val="0"/>
                <w:color w:val="12222B"/>
                <w:sz w:val="16"/>
              </w:rPr>
              <w:t>ADCS</w:t>
            </w:r>
          </w:p>
        </w:tc>
        <w:tc>
          <w:tcPr>
            <w:tcW w:type="dxa" w:w="7632"/>
            <w:vAlign w:val="center"/>
            <w:shd w:fill="FFFFFF"/>
            <w:tcMar>
              <w:top w:w="75" w:type="dxa"/>
              <w:left w:w="75" w:type="dxa"/>
              <w:bottom w:w="75" w:type="dxa"/>
              <w:right w:w="75" w:type="dxa"/>
            </w:tcMar>
          </w:tcPr>
          <w:p>
            <w:pPr>
              <w:spacing w:after="0"/>
            </w:pPr>
            <w:r>
              <w:rPr>
                <w:b w:val="0"/>
                <w:color w:val="12222B"/>
                <w:sz w:val="16"/>
              </w:rPr>
              <w:t>Attitude Determination and Control System</w:t>
            </w:r>
          </w:p>
        </w:tc>
      </w:tr>
      <w:tr>
        <w:tc>
          <w:tcPr>
            <w:tcW w:type="dxa" w:w="1872"/>
            <w:vAlign w:val="center"/>
            <w:shd w:fill="F0F5F7"/>
            <w:tcMar>
              <w:top w:w="75" w:type="dxa"/>
              <w:left w:w="75" w:type="dxa"/>
              <w:bottom w:w="75" w:type="dxa"/>
              <w:right w:w="75" w:type="dxa"/>
            </w:tcMar>
          </w:tcPr>
          <w:p>
            <w:pPr>
              <w:spacing w:after="0"/>
            </w:pPr>
            <w:r>
              <w:rPr>
                <w:b w:val="0"/>
                <w:color w:val="12222B"/>
                <w:sz w:val="16"/>
              </w:rPr>
              <w:t>ASD</w:t>
            </w:r>
          </w:p>
        </w:tc>
        <w:tc>
          <w:tcPr>
            <w:tcW w:type="dxa" w:w="7632"/>
            <w:vAlign w:val="center"/>
            <w:shd w:fill="F0F5F7"/>
            <w:tcMar>
              <w:top w:w="75" w:type="dxa"/>
              <w:left w:w="75" w:type="dxa"/>
              <w:bottom w:w="75" w:type="dxa"/>
              <w:right w:w="75" w:type="dxa"/>
            </w:tcMar>
          </w:tcPr>
          <w:p>
            <w:pPr>
              <w:spacing w:after="0"/>
            </w:pPr>
            <w:r>
              <w:rPr>
                <w:b w:val="0"/>
                <w:color w:val="12222B"/>
                <w:sz w:val="16"/>
              </w:rPr>
              <w:t>Avelune Space Directorate</w:t>
            </w:r>
          </w:p>
        </w:tc>
      </w:tr>
      <w:tr>
        <w:tc>
          <w:tcPr>
            <w:tcW w:type="dxa" w:w="1872"/>
            <w:vAlign w:val="center"/>
            <w:shd w:fill="FFFFFF"/>
            <w:tcMar>
              <w:top w:w="75" w:type="dxa"/>
              <w:left w:w="75" w:type="dxa"/>
              <w:bottom w:w="75" w:type="dxa"/>
              <w:right w:w="75" w:type="dxa"/>
            </w:tcMar>
          </w:tcPr>
          <w:p>
            <w:pPr>
              <w:spacing w:after="0"/>
            </w:pPr>
            <w:r>
              <w:rPr>
                <w:b w:val="0"/>
                <w:color w:val="12222B"/>
                <w:sz w:val="16"/>
              </w:rPr>
              <w:t>AU</w:t>
            </w:r>
          </w:p>
        </w:tc>
        <w:tc>
          <w:tcPr>
            <w:tcW w:type="dxa" w:w="7632"/>
            <w:vAlign w:val="center"/>
            <w:shd w:fill="FFFFFF"/>
            <w:tcMar>
              <w:top w:w="75" w:type="dxa"/>
              <w:left w:w="75" w:type="dxa"/>
              <w:bottom w:w="75" w:type="dxa"/>
              <w:right w:w="75" w:type="dxa"/>
            </w:tcMar>
          </w:tcPr>
          <w:p>
            <w:pPr>
              <w:spacing w:after="0"/>
            </w:pPr>
            <w:r>
              <w:rPr>
                <w:b w:val="0"/>
                <w:color w:val="12222B"/>
                <w:sz w:val="16"/>
              </w:rPr>
              <w:t>Astronomical unit</w:t>
            </w:r>
          </w:p>
        </w:tc>
      </w:tr>
      <w:tr>
        <w:tc>
          <w:tcPr>
            <w:tcW w:type="dxa" w:w="1872"/>
            <w:vAlign w:val="center"/>
            <w:shd w:fill="F0F5F7"/>
            <w:tcMar>
              <w:top w:w="75" w:type="dxa"/>
              <w:left w:w="75" w:type="dxa"/>
              <w:bottom w:w="75" w:type="dxa"/>
              <w:right w:w="75" w:type="dxa"/>
            </w:tcMar>
          </w:tcPr>
          <w:p>
            <w:pPr>
              <w:spacing w:after="0"/>
            </w:pPr>
            <w:r>
              <w:rPr>
                <w:b w:val="0"/>
                <w:color w:val="12222B"/>
                <w:sz w:val="16"/>
              </w:rPr>
              <w:t>CADRe</w:t>
            </w:r>
          </w:p>
        </w:tc>
        <w:tc>
          <w:tcPr>
            <w:tcW w:type="dxa" w:w="7632"/>
            <w:vAlign w:val="center"/>
            <w:shd w:fill="F0F5F7"/>
            <w:tcMar>
              <w:top w:w="75" w:type="dxa"/>
              <w:left w:w="75" w:type="dxa"/>
              <w:bottom w:w="75" w:type="dxa"/>
              <w:right w:w="75" w:type="dxa"/>
            </w:tcMar>
          </w:tcPr>
          <w:p>
            <w:pPr>
              <w:spacing w:after="0"/>
            </w:pPr>
            <w:r>
              <w:rPr>
                <w:b w:val="0"/>
                <w:color w:val="12222B"/>
                <w:sz w:val="16"/>
              </w:rPr>
              <w:t>Cost Analysis Data Requirements</w:t>
            </w:r>
          </w:p>
        </w:tc>
      </w:tr>
      <w:tr>
        <w:tc>
          <w:tcPr>
            <w:tcW w:type="dxa" w:w="1872"/>
            <w:vAlign w:val="center"/>
            <w:shd w:fill="FFFFFF"/>
            <w:tcMar>
              <w:top w:w="75" w:type="dxa"/>
              <w:left w:w="75" w:type="dxa"/>
              <w:bottom w:w="75" w:type="dxa"/>
              <w:right w:w="75" w:type="dxa"/>
            </w:tcMar>
          </w:tcPr>
          <w:p>
            <w:pPr>
              <w:spacing w:after="0"/>
            </w:pPr>
            <w:r>
              <w:rPr>
                <w:b w:val="0"/>
                <w:color w:val="12222B"/>
                <w:sz w:val="16"/>
              </w:rPr>
              <w:t>CDR</w:t>
            </w:r>
          </w:p>
        </w:tc>
        <w:tc>
          <w:tcPr>
            <w:tcW w:type="dxa" w:w="7632"/>
            <w:vAlign w:val="center"/>
            <w:shd w:fill="FFFFFF"/>
            <w:tcMar>
              <w:top w:w="75" w:type="dxa"/>
              <w:left w:w="75" w:type="dxa"/>
              <w:bottom w:w="75" w:type="dxa"/>
              <w:right w:w="75" w:type="dxa"/>
            </w:tcMar>
          </w:tcPr>
          <w:p>
            <w:pPr>
              <w:spacing w:after="0"/>
            </w:pPr>
            <w:r>
              <w:rPr>
                <w:b w:val="0"/>
                <w:color w:val="12222B"/>
                <w:sz w:val="16"/>
              </w:rPr>
              <w:t>Critical Design Review</w:t>
            </w:r>
          </w:p>
        </w:tc>
      </w:tr>
      <w:tr>
        <w:tc>
          <w:tcPr>
            <w:tcW w:type="dxa" w:w="1872"/>
            <w:vAlign w:val="center"/>
            <w:shd w:fill="F0F5F7"/>
            <w:tcMar>
              <w:top w:w="75" w:type="dxa"/>
              <w:left w:w="75" w:type="dxa"/>
              <w:bottom w:w="75" w:type="dxa"/>
              <w:right w:w="75" w:type="dxa"/>
            </w:tcMar>
          </w:tcPr>
          <w:p>
            <w:pPr>
              <w:spacing w:after="0"/>
            </w:pPr>
            <w:r>
              <w:rPr>
                <w:b w:val="0"/>
                <w:color w:val="12222B"/>
                <w:sz w:val="16"/>
              </w:rPr>
              <w:t>DSP</w:t>
            </w:r>
          </w:p>
        </w:tc>
        <w:tc>
          <w:tcPr>
            <w:tcW w:type="dxa" w:w="7632"/>
            <w:vAlign w:val="center"/>
            <w:shd w:fill="F0F5F7"/>
            <w:tcMar>
              <w:top w:w="75" w:type="dxa"/>
              <w:left w:w="75" w:type="dxa"/>
              <w:bottom w:w="75" w:type="dxa"/>
              <w:right w:w="75" w:type="dxa"/>
            </w:tcMar>
          </w:tcPr>
          <w:p>
            <w:pPr>
              <w:spacing w:after="0"/>
            </w:pPr>
            <w:r>
              <w:rPr>
                <w:b w:val="0"/>
                <w:color w:val="12222B"/>
                <w:sz w:val="16"/>
              </w:rPr>
              <w:t>Dust Scattered-Light Photometer</w:t>
            </w:r>
          </w:p>
        </w:tc>
      </w:tr>
      <w:tr>
        <w:tc>
          <w:tcPr>
            <w:tcW w:type="dxa" w:w="1872"/>
            <w:vAlign w:val="center"/>
            <w:shd w:fill="FFFFFF"/>
            <w:tcMar>
              <w:top w:w="75" w:type="dxa"/>
              <w:left w:w="75" w:type="dxa"/>
              <w:bottom w:w="75" w:type="dxa"/>
              <w:right w:w="75" w:type="dxa"/>
            </w:tcMar>
          </w:tcPr>
          <w:p>
            <w:pPr>
              <w:spacing w:after="0"/>
            </w:pPr>
            <w:r>
              <w:rPr>
                <w:b w:val="0"/>
                <w:color w:val="12222B"/>
                <w:sz w:val="16"/>
              </w:rPr>
              <w:t>EOL</w:t>
            </w:r>
          </w:p>
        </w:tc>
        <w:tc>
          <w:tcPr>
            <w:tcW w:type="dxa" w:w="7632"/>
            <w:vAlign w:val="center"/>
            <w:shd w:fill="FFFFFF"/>
            <w:tcMar>
              <w:top w:w="75" w:type="dxa"/>
              <w:left w:w="75" w:type="dxa"/>
              <w:bottom w:w="75" w:type="dxa"/>
              <w:right w:w="75" w:type="dxa"/>
            </w:tcMar>
          </w:tcPr>
          <w:p>
            <w:pPr>
              <w:spacing w:after="0"/>
            </w:pPr>
            <w:r>
              <w:rPr>
                <w:b w:val="0"/>
                <w:color w:val="12222B"/>
                <w:sz w:val="16"/>
              </w:rPr>
              <w:t>End of Life</w:t>
            </w:r>
          </w:p>
        </w:tc>
      </w:tr>
      <w:tr>
        <w:tc>
          <w:tcPr>
            <w:tcW w:type="dxa" w:w="1872"/>
            <w:vAlign w:val="center"/>
            <w:shd w:fill="F0F5F7"/>
            <w:tcMar>
              <w:top w:w="75" w:type="dxa"/>
              <w:left w:w="75" w:type="dxa"/>
              <w:bottom w:w="75" w:type="dxa"/>
              <w:right w:w="75" w:type="dxa"/>
            </w:tcMar>
          </w:tcPr>
          <w:p>
            <w:pPr>
              <w:spacing w:after="0"/>
            </w:pPr>
            <w:r>
              <w:rPr>
                <w:b w:val="0"/>
                <w:color w:val="12222B"/>
                <w:sz w:val="16"/>
              </w:rPr>
              <w:t>FM</w:t>
            </w:r>
          </w:p>
        </w:tc>
        <w:tc>
          <w:tcPr>
            <w:tcW w:type="dxa" w:w="7632"/>
            <w:vAlign w:val="center"/>
            <w:shd w:fill="F0F5F7"/>
            <w:tcMar>
              <w:top w:w="75" w:type="dxa"/>
              <w:left w:w="75" w:type="dxa"/>
              <w:bottom w:w="75" w:type="dxa"/>
              <w:right w:w="75" w:type="dxa"/>
            </w:tcMar>
          </w:tcPr>
          <w:p>
            <w:pPr>
              <w:spacing w:after="0"/>
            </w:pPr>
            <w:r>
              <w:rPr>
                <w:b w:val="0"/>
                <w:color w:val="12222B"/>
                <w:sz w:val="16"/>
              </w:rPr>
              <w:t>Flight Model</w:t>
            </w:r>
          </w:p>
        </w:tc>
      </w:tr>
      <w:tr>
        <w:tc>
          <w:tcPr>
            <w:tcW w:type="dxa" w:w="1872"/>
            <w:vAlign w:val="center"/>
            <w:shd w:fill="FFFFFF"/>
            <w:tcMar>
              <w:top w:w="75" w:type="dxa"/>
              <w:left w:w="75" w:type="dxa"/>
              <w:bottom w:w="75" w:type="dxa"/>
              <w:right w:w="75" w:type="dxa"/>
            </w:tcMar>
          </w:tcPr>
          <w:p>
            <w:pPr>
              <w:spacing w:after="0"/>
            </w:pPr>
            <w:r>
              <w:rPr>
                <w:b w:val="0"/>
                <w:color w:val="12222B"/>
                <w:sz w:val="16"/>
              </w:rPr>
              <w:t>IID</w:t>
            </w:r>
          </w:p>
        </w:tc>
        <w:tc>
          <w:tcPr>
            <w:tcW w:type="dxa" w:w="7632"/>
            <w:vAlign w:val="center"/>
            <w:shd w:fill="FFFFFF"/>
            <w:tcMar>
              <w:top w:w="75" w:type="dxa"/>
              <w:left w:w="75" w:type="dxa"/>
              <w:bottom w:w="75" w:type="dxa"/>
              <w:right w:w="75" w:type="dxa"/>
            </w:tcMar>
          </w:tcPr>
          <w:p>
            <w:pPr>
              <w:spacing w:after="0"/>
            </w:pPr>
            <w:r>
              <w:rPr>
                <w:b w:val="0"/>
                <w:color w:val="12222B"/>
                <w:sz w:val="16"/>
              </w:rPr>
              <w:t>Impact Ionization Detector</w:t>
            </w:r>
          </w:p>
        </w:tc>
      </w:tr>
      <w:tr>
        <w:tc>
          <w:tcPr>
            <w:tcW w:type="dxa" w:w="1872"/>
            <w:vAlign w:val="center"/>
            <w:shd w:fill="F0F5F7"/>
            <w:tcMar>
              <w:top w:w="75" w:type="dxa"/>
              <w:left w:w="75" w:type="dxa"/>
              <w:bottom w:w="75" w:type="dxa"/>
              <w:right w:w="75" w:type="dxa"/>
            </w:tcMar>
          </w:tcPr>
          <w:p>
            <w:pPr>
              <w:spacing w:after="0"/>
            </w:pPr>
            <w:r>
              <w:rPr>
                <w:b w:val="0"/>
                <w:color w:val="12222B"/>
                <w:sz w:val="16"/>
              </w:rPr>
              <w:t>LEOP</w:t>
            </w:r>
          </w:p>
        </w:tc>
        <w:tc>
          <w:tcPr>
            <w:tcW w:type="dxa" w:w="7632"/>
            <w:vAlign w:val="center"/>
            <w:shd w:fill="F0F5F7"/>
            <w:tcMar>
              <w:top w:w="75" w:type="dxa"/>
              <w:left w:w="75" w:type="dxa"/>
              <w:bottom w:w="75" w:type="dxa"/>
              <w:right w:w="75" w:type="dxa"/>
            </w:tcMar>
          </w:tcPr>
          <w:p>
            <w:pPr>
              <w:spacing w:after="0"/>
            </w:pPr>
            <w:r>
              <w:rPr>
                <w:b w:val="0"/>
                <w:color w:val="12222B"/>
                <w:sz w:val="16"/>
              </w:rPr>
              <w:t>Launch and Early Operations</w:t>
            </w:r>
          </w:p>
        </w:tc>
      </w:tr>
      <w:tr>
        <w:tc>
          <w:tcPr>
            <w:tcW w:type="dxa" w:w="1872"/>
            <w:vAlign w:val="center"/>
            <w:shd w:fill="FFFFFF"/>
            <w:tcMar>
              <w:top w:w="75" w:type="dxa"/>
              <w:left w:w="75" w:type="dxa"/>
              <w:bottom w:w="75" w:type="dxa"/>
              <w:right w:w="75" w:type="dxa"/>
            </w:tcMar>
          </w:tcPr>
          <w:p>
            <w:pPr>
              <w:spacing w:after="0"/>
            </w:pPr>
            <w:r>
              <w:rPr>
                <w:b w:val="0"/>
                <w:color w:val="12222B"/>
                <w:sz w:val="16"/>
              </w:rPr>
              <w:t>MDFO</w:t>
            </w:r>
          </w:p>
        </w:tc>
        <w:tc>
          <w:tcPr>
            <w:tcW w:type="dxa" w:w="7632"/>
            <w:vAlign w:val="center"/>
            <w:shd w:fill="FFFFFF"/>
            <w:tcMar>
              <w:top w:w="75" w:type="dxa"/>
              <w:left w:w="75" w:type="dxa"/>
              <w:bottom w:w="75" w:type="dxa"/>
              <w:right w:w="75" w:type="dxa"/>
            </w:tcMar>
          </w:tcPr>
          <w:p>
            <w:pPr>
              <w:spacing w:after="0"/>
            </w:pPr>
            <w:r>
              <w:rPr>
                <w:b w:val="0"/>
                <w:color w:val="12222B"/>
                <w:sz w:val="16"/>
              </w:rPr>
              <w:t>Myralis Dust Field Observatory</w:t>
            </w:r>
          </w:p>
        </w:tc>
      </w:tr>
      <w:tr>
        <w:tc>
          <w:tcPr>
            <w:tcW w:type="dxa" w:w="1872"/>
            <w:vAlign w:val="center"/>
            <w:shd w:fill="F0F5F7"/>
            <w:tcMar>
              <w:top w:w="75" w:type="dxa"/>
              <w:left w:w="75" w:type="dxa"/>
              <w:bottom w:w="75" w:type="dxa"/>
              <w:right w:w="75" w:type="dxa"/>
            </w:tcMar>
          </w:tcPr>
          <w:p>
            <w:pPr>
              <w:spacing w:after="0"/>
            </w:pPr>
            <w:r>
              <w:rPr>
                <w:b w:val="0"/>
                <w:color w:val="12222B"/>
                <w:sz w:val="16"/>
              </w:rPr>
              <w:t>PCS</w:t>
            </w:r>
          </w:p>
        </w:tc>
        <w:tc>
          <w:tcPr>
            <w:tcW w:type="dxa" w:w="7632"/>
            <w:vAlign w:val="center"/>
            <w:shd w:fill="F0F5F7"/>
            <w:tcMar>
              <w:top w:w="75" w:type="dxa"/>
              <w:left w:w="75" w:type="dxa"/>
              <w:bottom w:w="75" w:type="dxa"/>
              <w:right w:w="75" w:type="dxa"/>
            </w:tcMar>
          </w:tcPr>
          <w:p>
            <w:pPr>
              <w:spacing w:after="0"/>
            </w:pPr>
            <w:r>
              <w:rPr>
                <w:b w:val="0"/>
                <w:color w:val="12222B"/>
                <w:sz w:val="16"/>
              </w:rPr>
              <w:t>Plasma and Context Sensor</w:t>
            </w:r>
          </w:p>
        </w:tc>
      </w:tr>
      <w:tr>
        <w:tc>
          <w:tcPr>
            <w:tcW w:type="dxa" w:w="1872"/>
            <w:vAlign w:val="center"/>
            <w:shd w:fill="FFFFFF"/>
            <w:tcMar>
              <w:top w:w="75" w:type="dxa"/>
              <w:left w:w="75" w:type="dxa"/>
              <w:bottom w:w="75" w:type="dxa"/>
              <w:right w:w="75" w:type="dxa"/>
            </w:tcMar>
          </w:tcPr>
          <w:p>
            <w:pPr>
              <w:spacing w:after="0"/>
            </w:pPr>
            <w:r>
              <w:rPr>
                <w:b w:val="0"/>
                <w:color w:val="12222B"/>
                <w:sz w:val="16"/>
              </w:rPr>
              <w:t>PDR</w:t>
            </w:r>
          </w:p>
        </w:tc>
        <w:tc>
          <w:tcPr>
            <w:tcW w:type="dxa" w:w="7632"/>
            <w:vAlign w:val="center"/>
            <w:shd w:fill="FFFFFF"/>
            <w:tcMar>
              <w:top w:w="75" w:type="dxa"/>
              <w:left w:w="75" w:type="dxa"/>
              <w:bottom w:w="75" w:type="dxa"/>
              <w:right w:w="75" w:type="dxa"/>
            </w:tcMar>
          </w:tcPr>
          <w:p>
            <w:pPr>
              <w:spacing w:after="0"/>
            </w:pPr>
            <w:r>
              <w:rPr>
                <w:b w:val="0"/>
                <w:color w:val="12222B"/>
                <w:sz w:val="16"/>
              </w:rPr>
              <w:t>Preliminary Design Review</w:t>
            </w:r>
          </w:p>
        </w:tc>
      </w:tr>
      <w:tr>
        <w:tc>
          <w:tcPr>
            <w:tcW w:type="dxa" w:w="1872"/>
            <w:vAlign w:val="center"/>
            <w:shd w:fill="F0F5F7"/>
            <w:tcMar>
              <w:top w:w="75" w:type="dxa"/>
              <w:left w:w="75" w:type="dxa"/>
              <w:bottom w:w="75" w:type="dxa"/>
              <w:right w:w="75" w:type="dxa"/>
            </w:tcMar>
          </w:tcPr>
          <w:p>
            <w:pPr>
              <w:spacing w:after="0"/>
            </w:pPr>
            <w:r>
              <w:rPr>
                <w:b w:val="0"/>
                <w:color w:val="12222B"/>
                <w:sz w:val="16"/>
              </w:rPr>
              <w:t>RDI</w:t>
            </w:r>
          </w:p>
        </w:tc>
        <w:tc>
          <w:tcPr>
            <w:tcW w:type="dxa" w:w="7632"/>
            <w:vAlign w:val="center"/>
            <w:shd w:fill="F0F5F7"/>
            <w:tcMar>
              <w:top w:w="75" w:type="dxa"/>
              <w:left w:w="75" w:type="dxa"/>
              <w:bottom w:w="75" w:type="dxa"/>
              <w:right w:w="75" w:type="dxa"/>
            </w:tcMar>
          </w:tcPr>
          <w:p>
            <w:pPr>
              <w:spacing w:after="0"/>
            </w:pPr>
            <w:r>
              <w:rPr>
                <w:b w:val="0"/>
                <w:color w:val="12222B"/>
                <w:sz w:val="16"/>
              </w:rPr>
              <w:t>Ruvellan Data Institute</w:t>
            </w:r>
          </w:p>
        </w:tc>
      </w:tr>
      <w:tr>
        <w:tc>
          <w:tcPr>
            <w:tcW w:type="dxa" w:w="1872"/>
            <w:vAlign w:val="center"/>
            <w:shd w:fill="FFFFFF"/>
            <w:tcMar>
              <w:top w:w="75" w:type="dxa"/>
              <w:left w:w="75" w:type="dxa"/>
              <w:bottom w:w="75" w:type="dxa"/>
              <w:right w:w="75" w:type="dxa"/>
            </w:tcMar>
          </w:tcPr>
          <w:p>
            <w:pPr>
              <w:spacing w:after="0"/>
            </w:pPr>
            <w:r>
              <w:rPr>
                <w:b w:val="0"/>
                <w:color w:val="12222B"/>
                <w:sz w:val="16"/>
              </w:rPr>
              <w:t>SIR</w:t>
            </w:r>
          </w:p>
        </w:tc>
        <w:tc>
          <w:tcPr>
            <w:tcW w:type="dxa" w:w="7632"/>
            <w:vAlign w:val="center"/>
            <w:shd w:fill="FFFFFF"/>
            <w:tcMar>
              <w:top w:w="75" w:type="dxa"/>
              <w:left w:w="75" w:type="dxa"/>
              <w:bottom w:w="75" w:type="dxa"/>
              <w:right w:w="75" w:type="dxa"/>
            </w:tcMar>
          </w:tcPr>
          <w:p>
            <w:pPr>
              <w:spacing w:after="0"/>
            </w:pPr>
            <w:r>
              <w:rPr>
                <w:b w:val="0"/>
                <w:color w:val="12222B"/>
                <w:sz w:val="16"/>
              </w:rPr>
              <w:t>System Integration Review</w:t>
            </w:r>
          </w:p>
        </w:tc>
      </w:tr>
      <w:tr>
        <w:tc>
          <w:tcPr>
            <w:tcW w:type="dxa" w:w="1872"/>
            <w:vAlign w:val="center"/>
            <w:shd w:fill="F0F5F7"/>
            <w:tcMar>
              <w:top w:w="75" w:type="dxa"/>
              <w:left w:w="75" w:type="dxa"/>
              <w:bottom w:w="75" w:type="dxa"/>
              <w:right w:w="75" w:type="dxa"/>
            </w:tcMar>
          </w:tcPr>
          <w:p>
            <w:pPr>
              <w:spacing w:after="0"/>
            </w:pPr>
            <w:r>
              <w:rPr>
                <w:b w:val="0"/>
                <w:color w:val="12222B"/>
                <w:sz w:val="16"/>
              </w:rPr>
              <w:t>TRL</w:t>
            </w:r>
          </w:p>
        </w:tc>
        <w:tc>
          <w:tcPr>
            <w:tcW w:type="dxa" w:w="7632"/>
            <w:vAlign w:val="center"/>
            <w:shd w:fill="F0F5F7"/>
            <w:tcMar>
              <w:top w:w="75" w:type="dxa"/>
              <w:left w:w="75" w:type="dxa"/>
              <w:bottom w:w="75" w:type="dxa"/>
              <w:right w:w="75" w:type="dxa"/>
            </w:tcMar>
          </w:tcPr>
          <w:p>
            <w:pPr>
              <w:spacing w:after="0"/>
            </w:pPr>
            <w:r>
              <w:rPr>
                <w:b w:val="0"/>
                <w:color w:val="12222B"/>
                <w:sz w:val="16"/>
              </w:rPr>
              <w:t>Technology Readiness Level</w:t>
            </w:r>
          </w:p>
        </w:tc>
      </w:tr>
      <w:tr>
        <w:tc>
          <w:tcPr>
            <w:tcW w:type="dxa" w:w="1872"/>
            <w:vAlign w:val="center"/>
            <w:shd w:fill="FFFFFF"/>
            <w:tcMar>
              <w:top w:w="75" w:type="dxa"/>
              <w:left w:w="75" w:type="dxa"/>
              <w:bottom w:w="75" w:type="dxa"/>
              <w:right w:w="75" w:type="dxa"/>
            </w:tcMar>
          </w:tcPr>
          <w:p>
            <w:pPr>
              <w:spacing w:after="0"/>
            </w:pPr>
            <w:r>
              <w:rPr>
                <w:b w:val="0"/>
                <w:color w:val="12222B"/>
                <w:sz w:val="16"/>
              </w:rPr>
              <w:t>TT&amp;C</w:t>
            </w:r>
          </w:p>
        </w:tc>
        <w:tc>
          <w:tcPr>
            <w:tcW w:type="dxa" w:w="7632"/>
            <w:vAlign w:val="center"/>
            <w:shd w:fill="FFFFFF"/>
            <w:tcMar>
              <w:top w:w="75" w:type="dxa"/>
              <w:left w:w="75" w:type="dxa"/>
              <w:bottom w:w="75" w:type="dxa"/>
              <w:right w:w="75" w:type="dxa"/>
            </w:tcMar>
          </w:tcPr>
          <w:p>
            <w:pPr>
              <w:spacing w:after="0"/>
            </w:pPr>
            <w:r>
              <w:rPr>
                <w:b w:val="0"/>
                <w:color w:val="12222B"/>
                <w:sz w:val="16"/>
              </w:rPr>
              <w:t>Telemetry, Tracking and Command</w:t>
            </w:r>
          </w:p>
        </w:tc>
      </w:tr>
    </w:tbl>
    <w:sectPr w:rsidR="00FC693F" w:rsidRPr="0006063C" w:rsidSect="00034616">
      <w:footerReference w:type="default" r:id="rId9"/>
      <w:headerReference w:type="default" r:id="rId10"/>
      <w:pgSz w:w="12240" w:h="15840"/>
      <w:pgMar w:top="1051" w:right="1123" w:bottom="965"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MDFO  |  CADRe Part A  |  Draft 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65561"/>
        <w:sz w:val="15"/>
      </w:rPr>
      <w:t>COST ANALYSIS DATA REQUIREMENTS  /  PART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120"/>
    </w:pPr>
    <w:rPr>
      <w:rFonts w:ascii="Aptos" w:hAnsi="Aptos"/>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TOC">
    <w:name w:val="Compact TOC"/>
    <w:pPr>
      <w:spacing w:after="20" w:line="240"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