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PLAS</w:t>
      </w:r>
    </w:p>
    <w:p>
      <w:pPr>
        <w:pStyle w:val="DocTitle"/>
      </w:pPr>
      <w:r>
        <w:t>Mission Cost Analysis Directorate</w:t>
      </w:r>
    </w:p>
    <w:p>
      <w:pPr>
        <w:pStyle w:val="DocTitle"/>
      </w:pPr>
      <w:r>
        <w:t>Cost Analysis Data Requirements</w:t>
      </w:r>
    </w:p>
    <w:p>
      <w:pPr>
        <w:pStyle w:val="DocTitle"/>
      </w:pPr>
      <w:r>
        <w:t>PART A</w:t>
      </w:r>
    </w:p>
    <w:p>
      <w:pPr>
        <w:pStyle w:val="DocTitle"/>
      </w:pPr>
      <w:r>
        <w:t>Peluvia Lunar Aquaculture System</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Peluvia Lunar Aquaculture System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one surface-hosted 180 l aquatic habitat. Its operational environment is Pressurized lunar habitat at 0.16 g; cabin 18–27 °C; recirculating water maintained 25 ±2 °C. The nominal duration is Three-year nominal demonstration; two-month installation and commissioning; feed replenished annually. The flight or installed unit is sized at 445 kg and uses 450 W power generation or host allocation as stated in the subsystem budget.</w:t>
      </w:r>
    </w:p>
    <w:p>
      <w:pPr/>
      <w:r>
        <w:t>The design carries containment and recirculation tanks, biofilter and water-quality control and growth and food-safety monitoring.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PLAS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Peluvia Lunar Aquaculture System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Produce ≥7.2 kg net fish biomass per nine-month cycle with ≥85% survival, food conversion ratio ≤1.6 kg dry feed/kg biomass gain and ≥99.5% water containment over a 12-month test interval.</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Three-year nominal demonstration; two-month installation and commissioning; feed replenished annually.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One surface-hosted 180 L aquatic habitat; 1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Pressurized lunar habitat at 0.16 g; cabin 18–27 °C; recirculating water maintained 25 ±2 °C.</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Three-year nominal demonstration; two-month installation and commissioning; feed replenished annually.</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≤445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≤445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450 W at specified reference; nominal 450 W and peak 800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Produce ≥7.2 kg net fish biomass per nine-month cycle with ≥85% survival, food conversion ratio ≤1.6 kg dry feed/kg biomass gain and ≥99.5% water containment over a 12-month test interval.</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180 L water in two nested primary tanks; 200 L/h recirculation; external leak capture volume ≥200 L.</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Dissolved O₂ ≥5 mg/L; pH 6.8–8.0; unionized ammonia ≤0.02 mg/L; oxygen supply ≥6 g/h.</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24 fish ×0.15 kg to ×0.45 kg in nine months; 7.2 kg net biomass; ≤1.6 feed conversion; 20 kg feed loaded for the initial year.</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No attitude control. Two nested pressure boundaries, automatic isolation valves and a gravity-compatible service orientation retain fluid at 0.16 g.</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≤0.2 GB/day sensor, imagery and maintenance logs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Averis Surface Systems Agency owns system requirements, procurement, risk and mission acceptance.</w:t>
      </w:r>
    </w:p>
    <w:p>
      <w:pPr>
        <w:pStyle w:val="BodyText"/>
      </w:pPr>
      <w:r>
        <w:t>Sorellix Surface Hardware owns the integrated unit, interfaces and system-level verification.</w:t>
      </w:r>
    </w:p>
    <w:p>
      <w:pPr>
        <w:pStyle w:val="BodyText"/>
      </w:pPr>
      <w:r>
        <w:t>Keverian Aquatic Systems delivers the measurement equipment and calibration evidence.</w:t>
      </w:r>
    </w:p>
    <w:p>
      <w:pPr>
        <w:pStyle w:val="BodyText"/>
      </w:pPr>
      <w:r>
        <w:t>Yavrel Cargo Lander Services delivers the unit to its destination and verifies interface conditions.</w:t>
      </w:r>
    </w:p>
    <w:p>
      <w:pPr>
        <w:pStyle w:val="BodyText"/>
      </w:pPr>
      <w:r>
        <w:t>Perivon Surface Operations Centre supplies receiving, networking and ground-service capacity.</w:t>
      </w:r>
    </w:p>
    <w:p>
      <w:pPr>
        <w:pStyle w:val="BodyText"/>
      </w:pPr>
      <w:r>
        <w:t>Rulvenar Controlled Ecology Institute produces, validates and archives the calibrated mission products.</w:t>
      </w:r>
    </w:p>
    <w:p>
      <w:pPr>
        <w:pStyle w:val="Heading1"/>
      </w:pPr>
      <w:r>
        <w:t>Space Segment Description</w:t>
      </w:r>
    </w:p>
    <w:p>
      <w:pPr/>
      <w:r>
        <w:t>The reference configuration is one surface-hosted 180 l aquatic habitat. Its operational environment is Pressurized lunar habitat at 0.16 g; cabin 18–27 °C; recirculating water maintained 25 ±2 °C. The nominal duration is Three-year nominal demonstration; two-month installation and commissioning; feed replenished annually. The flight or installed unit is sized at 445 kg and uses 450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Pressurized lunar habitat at 0.16 g; cabin 18–27 °C; recirculating water maintained 25 ±2 °C.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445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240 kg dry aquatic hardware + 180 kg water + 4 kg live biomass + 21 kg feed = 445 kg delivery mass</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445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450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450 W / 800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64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None; landed cargo installed inside a pressurized habitat. Propulsion is part of the cargo delivery service.</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240 kg dry hardware + 180 kg initial water + 4 kg initial fish + 21 kg initial feed = 445 kg delivered; cargo lander accepts ≥550 kg for this experiment</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Three-year nominal demonstration; two-month installation and commissioning; feed replenished annually.</w:t>
            </w:r>
          </w:p>
        </w:tc>
      </w:tr>
    </w:tbl>
    <w:p>
      <w:pPr>
        <w:pStyle w:val="Heading3"/>
      </w:pPr>
      <w:r>
        <w:t>Structural Subsystem</w:t>
      </w:r>
    </w:p>
    <w:p>
      <w:pPr/>
      <w:r>
        <w:t>The structural design is sized for 445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450 W generation or host provision, 450 W operating demand, 800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450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450 W nominal / 800 W peak</w:t>
            </w:r>
          </w:p>
        </w:tc>
      </w:tr>
    </w:tbl>
    <w:p>
      <w:pPr>
        <w:pStyle w:val="Heading3"/>
      </w:pPr>
      <w:r>
        <w:t>Command and Data Handling</w:t>
      </w:r>
    </w:p>
    <w:p>
      <w:pPr/>
      <w:r>
        <w:t>A redundant or monitored controller executes time-tagged operations, instrument interlocks, fault detection and protected storage. The local allocation is 64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64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≤0.2 GB/day sensor, imagery and maintenance logs planning case against memory capacity, contact availability and the required processing latency. Raw records are retained until integrity checks and ingest acknowledgement complete.</w:t>
      </w:r>
    </w:p>
    <w:p>
      <w:pPr>
        <w:pStyle w:val="Heading3"/>
      </w:pPr>
      <w:r>
        <w:t>Thermal Subsystem</w:t>
      </w:r>
    </w:p>
    <w:p>
      <w:pPr/>
      <w:r>
        <w:t>Water at 25 ±2 °C; habitat cabin 18–27 °C; 450 W average electrical demand includes pumps, water thermal control and monitoring.</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800 W peak electrical input, the nominal 450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No attitude control. Two nested pressure boundaries, automatic isolation valves and a gravity-compatible service orientation retain fluid at 0.16 g.</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No local propulsion. The surface delivery service includes its own descent propellant outside the 445 kg hosted payload.</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445</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None; landed cargo installed inside a pressurized habitat. Propulsion is part of the cargo delivery service.</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No local propulsion. The surface delivery service includes its own descent propellant outside the 445 kg hosted payload.</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Surface-hosted aquatic system; no orbital flight after landing.</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None; landed cargo installed inside a pressurized habitat. Propulsion is part of the cargo delivery service.</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No local propulsion. The surface delivery service includes its own descent propellant outside t</w:t>
            </w:r>
          </w:p>
        </w:tc>
      </w:tr>
    </w:tbl>
    <w:p>
      <w:pPr>
        <w:pStyle w:val="Heading3"/>
      </w:pPr>
      <w:r>
        <w:t>Telemetry, Tracking and Command</w:t>
      </w:r>
    </w:p>
    <w:p>
      <w:pPr/>
      <w:r>
        <w:t>0.2 GB/day is 16.2 kb/s average. A 1 Mb/s protected link transfers the daily data in &lt;30 min at ≥90% payload efficiency.</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Protected habitat-to-ground data path ≥1 Mb/s with 30-day local logging. The contact budget carries acquisition, engineering telemetry, protocol framing, retransmission and unavailable weather or host periods. The sizing check compares usable transferred bytes per contact with ≤0.2 GB/day sensor, imagery and maintenance logs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containment and recirculation tanks, biofilter and water-quality control and growth and food-safety monitoring. Each element has a separate delivered mass, operating load, mode list, failure assessment and calibration requirement.</w:t>
      </w:r>
    </w:p>
    <w:p>
      <w:pPr>
        <w:pStyle w:val="Heading3"/>
      </w:pPr>
      <w:r>
        <w:t>Containment and recirculation tanks</w:t>
      </w:r>
    </w:p>
    <w:p>
      <w:pPr/>
      <w:r>
        <w:t>180 L water in two nested primary tanks; 200 L/h recirculation; external leak capture volume ≥200 L.</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Containment and recirculation tanks</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180 L water in two nested primary tanks; 200 L/h recirculation; external leak capture volume ≥200 L.</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Water at 25 ±2 °C; habitat cabin 18–27 °C; 450 W average electrical demand includes pumps, water thermal control and monitoring.</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445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Biofilter and water-quality control</w:t>
      </w:r>
    </w:p>
    <w:p>
      <w:pPr/>
      <w:r>
        <w:t>Dissolved O₂ ≥5 mg/L; pH 6.8–8.0; unionized ammonia ≤0.02 mg/L; oxygen supply ≥6 g/h.</w:t>
      </w:r>
    </w:p>
    <w:p>
      <w:pPr/>
      <w:r>
        <w:t>This measurement or process provides an independent check on the primary result. The ground model shall retain geometric, thermal and instrumental uncertainty, including changes caused by the spacecraft or host.</w:t>
      </w:r>
    </w:p>
    <w:p>
      <w:pPr/>
      <w:r>
        <w:t>For Peluvia Lunar Aquaculture System,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Biofilter and water-quality control</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Dissolved O₂ ≥5 mg/L; pH 6.8–8.0; unionized ammonia ≤0.02 mg/L; oxygen supply ≥6 g/h.</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Pressurized lunar habitat at 0.16 g; cabin 18–27 °C; recirculating water maintained 25 ±2 °C.</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≤0.2 GB/day sensor, imagery and maintenance logs</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Containment and recirculation tanks; Biofilter and water-quality control; Growth and food-safety monitoring</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64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445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800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Qualified for Pressurized lunar habitat at 0.16 g; cabin 18–27 °C; recirculating water ma</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Growth and food-safety monitoring</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Water at 25 ±2 °C; habitat cabin 18–27 °C; 450 W average electrical demand includes pumps, water thermal control and monitoring.</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Biofilter and water-quality control</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PLAS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240 kg dry hardware + 180 kg initial water + 4 kg initial fish + 21 kg initial feed = 445 kg delivered; cargo lander accepts ≥550 kg for this experiment</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Habitat control and protected ground telemetry; ≥1 GB/day processing; 10 TB life-cycle archive.</w:t>
      </w:r>
    </w:p>
    <w:p>
      <w:pPr/>
      <w:r>
        <w:t>0.2 GB/day is 16.2 kb/s average. A 1 Mb/s protected link transfers the daily data in &lt;30 min at ≥90% payload efficiency.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Habitat control and protected ground telemetry; ≥1 GB/day processing; 10 TB life-cycle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≤0.2 GB/day sensor, imagery and maintenance logs; scheduled ground service availability ≥99%.</w:t>
            </w:r>
          </w:p>
        </w:tc>
      </w:tr>
    </w:tbl>
    <w:p>
      <w:pPr/>
      <w:r>
        <w:t>The daily return is ≤0.2 GB/day sensor, imagery and maintenance logs.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Habitat control and protected ground telemetry; ≥1 GB/day processing; 10 TB life-cycle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16 months; C 12 months; D1 18 months; D2 9 months; surface installation 2 months; E 36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18</w:t>
            </w:r>
          </w:p>
        </w:tc>
        <w:tc>
          <w:tcPr>
            <w:tcW w:type="dxa" w:w="1170"/>
            <w:vAlign w:val="center"/>
            <w:tcMar>
              <w:top w:w="90" w:type="dxa"/>
              <w:left w:w="90" w:type="dxa"/>
              <w:bottom w:w="90" w:type="dxa"/>
              <w:right w:w="90" w:type="dxa"/>
            </w:tcMar>
          </w:tcPr>
          <w:p>
            <w:pPr>
              <w:spacing w:after="0"/>
            </w:pPr>
            <w:r>
              <w:rPr>
                <w:sz w:val="16"/>
              </w:rPr>
              <w:t>9</w:t>
            </w:r>
          </w:p>
        </w:tc>
        <w:tc>
          <w:tcPr>
            <w:tcW w:type="dxa" w:w="1170"/>
            <w:vAlign w:val="center"/>
            <w:tcMar>
              <w:top w:w="90" w:type="dxa"/>
              <w:left w:w="90" w:type="dxa"/>
              <w:bottom w:w="90" w:type="dxa"/>
              <w:right w:w="90" w:type="dxa"/>
            </w:tcMar>
          </w:tcPr>
          <w:p>
            <w:pPr>
              <w:spacing w:after="0"/>
            </w:pPr>
            <w:r>
              <w:rPr>
                <w:sz w:val="16"/>
              </w:rPr>
              <w:t>36</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Jul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May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Jul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Jul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Oct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Water-loop qualification</w:t>
            </w:r>
          </w:p>
        </w:tc>
        <w:tc>
          <w:tcPr>
            <w:tcW w:type="dxa" w:w="2340"/>
            <w:vAlign w:val="center"/>
            <w:shd w:fill="F6F8FA"/>
            <w:tcMar>
              <w:top w:w="90" w:type="dxa"/>
              <w:left w:w="90" w:type="dxa"/>
              <w:bottom w:w="90" w:type="dxa"/>
              <w:right w:w="90" w:type="dxa"/>
            </w:tcMar>
          </w:tcPr>
          <w:p>
            <w:pPr>
              <w:spacing w:after="0"/>
            </w:pPr>
            <w:r>
              <w:rPr>
                <w:sz w:val="16"/>
              </w:rPr>
              <w:t>Feb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Biological test</w:t>
            </w:r>
          </w:p>
        </w:tc>
        <w:tc>
          <w:tcPr>
            <w:tcW w:type="dxa" w:w="2340"/>
            <w:vAlign w:val="center"/>
            <w:tcMar>
              <w:top w:w="90" w:type="dxa"/>
              <w:left w:w="90" w:type="dxa"/>
              <w:bottom w:w="90" w:type="dxa"/>
              <w:right w:w="90" w:type="dxa"/>
            </w:tcMar>
          </w:tcPr>
          <w:p>
            <w:pPr>
              <w:spacing w:after="0"/>
            </w:pPr>
            <w:r>
              <w:rPr>
                <w:sz w:val="16"/>
              </w:rPr>
              <w:t>Sep 2031</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Flight unit complete</w:t>
            </w:r>
          </w:p>
        </w:tc>
        <w:tc>
          <w:tcPr>
            <w:tcW w:type="dxa" w:w="2340"/>
            <w:vAlign w:val="center"/>
            <w:shd w:fill="F6F8FA"/>
            <w:tcMar>
              <w:top w:w="90" w:type="dxa"/>
              <w:left w:w="90" w:type="dxa"/>
              <w:bottom w:w="90" w:type="dxa"/>
              <w:right w:w="90" w:type="dxa"/>
            </w:tcMar>
          </w:tcPr>
          <w:p>
            <w:pPr>
              <w:spacing w:after="0"/>
            </w:pPr>
            <w:r>
              <w:rPr>
                <w:sz w:val="16"/>
              </w:rPr>
              <w:t>May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Jul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Dec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Mar 2033</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Cargo delivery</w:t>
            </w:r>
          </w:p>
        </w:tc>
        <w:tc>
          <w:tcPr>
            <w:tcW w:type="dxa" w:w="2340"/>
            <w:vAlign w:val="center"/>
            <w:shd w:fill="F6F8FA"/>
            <w:tcMar>
              <w:top w:w="90" w:type="dxa"/>
              <w:left w:w="90" w:type="dxa"/>
              <w:bottom w:w="90" w:type="dxa"/>
              <w:right w:w="90" w:type="dxa"/>
            </w:tcMar>
          </w:tcPr>
          <w:p>
            <w:pPr>
              <w:spacing w:after="0"/>
            </w:pPr>
            <w:r>
              <w:rPr>
                <w:sz w:val="16"/>
              </w:rPr>
              <w:t>May 2033</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Jul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end</w:t>
            </w:r>
          </w:p>
        </w:tc>
        <w:tc>
          <w:tcPr>
            <w:tcW w:type="dxa" w:w="2340"/>
            <w:vAlign w:val="center"/>
            <w:shd w:fill="F6F8FA"/>
            <w:tcMar>
              <w:top w:w="90" w:type="dxa"/>
              <w:left w:w="90" w:type="dxa"/>
              <w:bottom w:w="90" w:type="dxa"/>
              <w:right w:w="90" w:type="dxa"/>
            </w:tcMar>
          </w:tcPr>
          <w:p>
            <w:pPr>
              <w:spacing w:after="0"/>
            </w:pPr>
            <w:r>
              <w:rPr>
                <w:sz w:val="16"/>
              </w:rPr>
              <w:t>Jul 2036</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Peluvia Lunar Aquaculture System, the initial risk concentration is Lunar-gravity fish welfare and reproduction, pathogen control, microbial food safety, water leak, ammonia spikes, oxygen loss and annual feed logistics.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1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Lunar-gravity fish welfare and reproduction, pathogen control, microbial food safety, water leak, ammonia spikes, oxygen loss and annual feed logistics.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Averis Surface Systems Agency</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Sorellix Surface Hardware</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Keverian Aquatic Systems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Yavrel Cargo Lander Services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Perivon Surface Operations Centre</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Rulvenar Controlled Ecology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Rulvenar Controlled Ecology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Keverian Aquatic Systems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PLAS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