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ocNumber"/>
        <w:spacing w:after="640"/>
      </w:pPr>
      <w:r>
        <w:t>CADRe Part A • TSHM</w:t>
      </w:r>
    </w:p>
    <w:p>
      <w:pPr>
        <w:pStyle w:val="DocTitle"/>
      </w:pPr>
      <w:r>
        <w:t>Mission Cost Analysis Directorate</w:t>
      </w:r>
    </w:p>
    <w:p>
      <w:pPr>
        <w:pStyle w:val="DocTitle"/>
      </w:pPr>
      <w:r>
        <w:t>Cost Analysis Data Requirements</w:t>
      </w:r>
    </w:p>
    <w:p>
      <w:pPr>
        <w:pStyle w:val="DocTitle"/>
      </w:pPr>
      <w:r>
        <w:t>PART A</w:t>
      </w:r>
    </w:p>
    <w:p>
      <w:pPr>
        <w:pStyle w:val="DocTitle"/>
      </w:pPr>
      <w:r>
        <w:t>Thovaren Skeletal Health Monitor</w:t>
      </w:r>
    </w:p>
    <w:p>
      <w:pPr>
        <w:pStyle w:val="BodyText"/>
      </w:pPr>
      <w:r>
        <w:t>Planning baseline  •  Revision 1.0  •  23 September 2026</w:t>
      </w:r>
    </w:p>
    <w:p>
      <w:pPr>
        <w:pStyle w:val="BodyText"/>
      </w:pPr>
      <w:r>
        <w:t>This mission and all named organizations and individuals are fictional.</w:t>
      </w:r>
    </w:p>
    <w:p>
      <w:r>
        <w:br w:type="page"/>
      </w:r>
    </w:p>
    <w:p>
      <w:pPr>
        <w:pStyle w:val="Heading-unnumbered"/>
      </w:pPr>
      <w:r>
        <w:t>Revision History</w:t>
      </w:r>
    </w:p>
    <w:tbl>
      <w:tblPr>
        <w:tblStyle w:val="TableGrid"/>
        <w:tblW w:type="auto" w:w="0"/>
        <w:jc w:val="center"/>
        <w:tblLayout w:type="fixed"/>
        <w:tblLook w:firstColumn="1" w:firstRow="1" w:lastColumn="0" w:lastRow="0" w:noHBand="0" w:noVBand="1" w:val="04A0"/>
      </w:tblPr>
      <w:tblGrid>
        <w:gridCol w:w="1008"/>
        <w:gridCol w:w="4608"/>
        <w:gridCol w:w="2232"/>
        <w:gridCol w:w="1584"/>
      </w:tblGrid>
      <w:tr>
        <w:trPr>
          <w:tblHeader w:val="true"/>
        </w:trPr>
        <w:tc>
          <w:tcPr>
            <w:tcW w:type="dxa" w:w="2340"/>
            <w:vAlign w:val="center"/>
            <w:shd w:fill="DDE6EF"/>
            <w:tcMar>
              <w:top w:w="90" w:type="dxa"/>
              <w:left w:w="90" w:type="dxa"/>
              <w:bottom w:w="90" w:type="dxa"/>
              <w:right w:w="90" w:type="dxa"/>
            </w:tcMar>
          </w:tcPr>
          <w:p>
            <w:pPr>
              <w:spacing w:after="0"/>
            </w:pPr>
            <w:r>
              <w:rPr>
                <w:b/>
                <w:sz w:val="16"/>
              </w:rPr>
              <w:t>Rev.</w:t>
            </w:r>
          </w:p>
        </w:tc>
        <w:tc>
          <w:tcPr>
            <w:tcW w:type="dxa" w:w="2340"/>
            <w:vAlign w:val="center"/>
            <w:shd w:fill="DDE6EF"/>
            <w:tcMar>
              <w:top w:w="90" w:type="dxa"/>
              <w:left w:w="90" w:type="dxa"/>
              <w:bottom w:w="90" w:type="dxa"/>
              <w:right w:w="90" w:type="dxa"/>
            </w:tcMar>
          </w:tcPr>
          <w:p>
            <w:pPr>
              <w:spacing w:after="0"/>
            </w:pPr>
            <w:r>
              <w:rPr>
                <w:b/>
                <w:sz w:val="16"/>
              </w:rPr>
              <w:t>Description</w:t>
            </w:r>
          </w:p>
        </w:tc>
        <w:tc>
          <w:tcPr>
            <w:tcW w:type="dxa" w:w="2340"/>
            <w:vAlign w:val="center"/>
            <w:shd w:fill="DDE6EF"/>
            <w:tcMar>
              <w:top w:w="90" w:type="dxa"/>
              <w:left w:w="90" w:type="dxa"/>
              <w:bottom w:w="90" w:type="dxa"/>
              <w:right w:w="90" w:type="dxa"/>
            </w:tcMar>
          </w:tcPr>
          <w:p>
            <w:pPr>
              <w:spacing w:after="0"/>
            </w:pPr>
            <w:r>
              <w:rPr>
                <w:b/>
                <w:sz w:val="16"/>
              </w:rPr>
              <w:t>Prepared by</w:t>
            </w:r>
          </w:p>
        </w:tc>
        <w:tc>
          <w:tcPr>
            <w:tcW w:type="dxa" w:w="2340"/>
            <w:vAlign w:val="center"/>
            <w:shd w:fill="DDE6EF"/>
            <w:tcMar>
              <w:top w:w="90" w:type="dxa"/>
              <w:left w:w="90" w:type="dxa"/>
              <w:bottom w:w="90" w:type="dxa"/>
              <w:right w:w="90" w:type="dxa"/>
            </w:tcMar>
          </w:tcPr>
          <w:p>
            <w:pPr>
              <w:spacing w:after="0"/>
            </w:pPr>
            <w:r>
              <w:rPr>
                <w:b/>
                <w:sz w:val="16"/>
              </w:rPr>
              <w:t>Date</w:t>
            </w:r>
          </w:p>
        </w:tc>
      </w:tr>
      <w:tr>
        <w:tc>
          <w:tcPr>
            <w:tcW w:type="dxa" w:w="2340"/>
            <w:vAlign w:val="center"/>
            <w:tcMar>
              <w:top w:w="90" w:type="dxa"/>
              <w:left w:w="90" w:type="dxa"/>
              <w:bottom w:w="90" w:type="dxa"/>
              <w:right w:w="90" w:type="dxa"/>
            </w:tcMar>
          </w:tcPr>
          <w:p>
            <w:pPr>
              <w:spacing w:after="0"/>
            </w:pPr>
            <w:r>
              <w:rPr>
                <w:sz w:val="16"/>
              </w:rPr>
              <w:t>1.0</w:t>
            </w:r>
          </w:p>
        </w:tc>
        <w:tc>
          <w:tcPr>
            <w:tcW w:type="dxa" w:w="2340"/>
            <w:vAlign w:val="center"/>
            <w:tcMar>
              <w:top w:w="90" w:type="dxa"/>
              <w:left w:w="90" w:type="dxa"/>
              <w:bottom w:w="90" w:type="dxa"/>
              <w:right w:w="90" w:type="dxa"/>
            </w:tcMar>
          </w:tcPr>
          <w:p>
            <w:pPr>
              <w:spacing w:after="0"/>
            </w:pPr>
            <w:r>
              <w:rPr>
                <w:sz w:val="16"/>
              </w:rPr>
              <w:t>Template aligned mission concept</w:t>
            </w:r>
          </w:p>
        </w:tc>
        <w:tc>
          <w:tcPr>
            <w:tcW w:type="dxa" w:w="2340"/>
            <w:vAlign w:val="center"/>
            <w:tcMar>
              <w:top w:w="90" w:type="dxa"/>
              <w:left w:w="90" w:type="dxa"/>
              <w:bottom w:w="90" w:type="dxa"/>
              <w:right w:w="90" w:type="dxa"/>
            </w:tcMar>
          </w:tcPr>
          <w:p>
            <w:pPr>
              <w:spacing w:after="0"/>
            </w:pPr>
            <w:r>
              <w:rPr>
                <w:sz w:val="16"/>
              </w:rPr>
              <w:t>Mission Cost Analysis Directorate</w:t>
            </w:r>
          </w:p>
        </w:tc>
        <w:tc>
          <w:tcPr>
            <w:tcW w:type="dxa" w:w="2340"/>
            <w:vAlign w:val="center"/>
            <w:tcMar>
              <w:top w:w="90" w:type="dxa"/>
              <w:left w:w="90" w:type="dxa"/>
              <w:bottom w:w="90" w:type="dxa"/>
              <w:right w:w="90" w:type="dxa"/>
            </w:tcMar>
          </w:tcPr>
          <w:p>
            <w:pPr>
              <w:spacing w:after="0"/>
            </w:pPr>
            <w:r>
              <w:rPr>
                <w:sz w:val="16"/>
              </w:rPr>
              <w:t>23 Sep 2026</w:t>
            </w:r>
          </w:p>
        </w:tc>
      </w:tr>
    </w:tbl>
    <w:p>
      <w:pPr>
        <w:pStyle w:val="TOC"/>
      </w:pPr>
      <w:r>
        <w:t>Table of Contents</w:t>
      </w:r>
    </w:p>
    <w:p>
      <w:pPr>
        <w:pStyle w:val="TOC1"/>
      </w:pPr>
      <w:r>
        <w:t>1</w:t>
        <w:tab/>
        <w:t>Introduction</w:t>
      </w:r>
    </w:p>
    <w:p>
      <w:pPr>
        <w:pStyle w:val="TOC2"/>
      </w:pPr>
      <w:r>
        <w:t>1.1</w:t>
        <w:tab/>
        <w:t>Purpose of this document</w:t>
      </w:r>
    </w:p>
    <w:p>
      <w:pPr>
        <w:pStyle w:val="TOC1"/>
      </w:pPr>
      <w:r>
        <w:t>2</w:t>
        <w:tab/>
        <w:t>General Descriptive Information</w:t>
      </w:r>
    </w:p>
    <w:p>
      <w:pPr>
        <w:pStyle w:val="TOC2"/>
      </w:pPr>
      <w:r>
        <w:t>2.1</w:t>
        <w:tab/>
        <w:t>Mission Overview</w:t>
      </w:r>
    </w:p>
    <w:p>
      <w:pPr>
        <w:pStyle w:val="TOC2"/>
      </w:pPr>
      <w:r>
        <w:t>2.2</w:t>
        <w:tab/>
        <w:t>Strategic Objectives</w:t>
      </w:r>
    </w:p>
    <w:p>
      <w:pPr>
        <w:pStyle w:val="TOC2"/>
      </w:pPr>
      <w:r>
        <w:t>2.3</w:t>
        <w:tab/>
        <w:t>Selected Mission Requirements</w:t>
      </w:r>
    </w:p>
    <w:p>
      <w:pPr>
        <w:pStyle w:val="TOC2"/>
      </w:pPr>
      <w:r>
        <w:t>2.4</w:t>
        <w:tab/>
        <w:t>High-Level Mission Architecture</w:t>
      </w:r>
    </w:p>
    <w:p>
      <w:pPr>
        <w:pStyle w:val="TOC1"/>
      </w:pPr>
      <w:r>
        <w:t>3</w:t>
        <w:tab/>
        <w:t>Space Segment Description</w:t>
      </w:r>
    </w:p>
    <w:p>
      <w:pPr>
        <w:pStyle w:val="TOC2"/>
      </w:pPr>
      <w:r>
        <w:t>3.1</w:t>
        <w:tab/>
        <w:t>Spacecraft Bus</w:t>
      </w:r>
    </w:p>
    <w:p>
      <w:pPr>
        <w:pStyle w:val="TOC2"/>
      </w:pPr>
      <w:r>
        <w:t>3.2</w:t>
        <w:tab/>
        <w:t>Payload</w:t>
      </w:r>
    </w:p>
    <w:p>
      <w:pPr>
        <w:pStyle w:val="TOC1"/>
      </w:pPr>
      <w:r>
        <w:t>4</w:t>
        <w:tab/>
        <w:t>Launch Segment Description</w:t>
      </w:r>
    </w:p>
    <w:p>
      <w:pPr>
        <w:pStyle w:val="TOC1"/>
      </w:pPr>
      <w:r>
        <w:t>5</w:t>
        <w:tab/>
        <w:t>Ground Segment and Mission Operations</w:t>
      </w:r>
    </w:p>
    <w:p>
      <w:pPr>
        <w:pStyle w:val="TOC1"/>
      </w:pPr>
      <w:r>
        <w:t>6</w:t>
        <w:tab/>
        <w:t>Systems Engineering and Project Management Approach</w:t>
      </w:r>
    </w:p>
    <w:p>
      <w:pPr>
        <w:pStyle w:val="TOC2"/>
      </w:pPr>
      <w:r>
        <w:t>6.1</w:t>
        <w:tab/>
        <w:t>TRL Levels and Heritage</w:t>
      </w:r>
    </w:p>
    <w:p>
      <w:pPr>
        <w:pStyle w:val="TOC2"/>
      </w:pPr>
      <w:r>
        <w:t>6.2</w:t>
        <w:tab/>
        <w:t>Phasing Logic and Naming Conventions</w:t>
      </w:r>
    </w:p>
    <w:p>
      <w:pPr>
        <w:pStyle w:val="TOC2"/>
      </w:pPr>
      <w:r>
        <w:t>6.3</w:t>
        <w:tab/>
        <w:t>Project Milestones</w:t>
      </w:r>
    </w:p>
    <w:p>
      <w:pPr>
        <w:pStyle w:val="TOC2"/>
      </w:pPr>
      <w:r>
        <w:t>6.4</w:t>
        <w:tab/>
        <w:t>Safety and Mission Assurance</w:t>
      </w:r>
    </w:p>
    <w:p>
      <w:pPr>
        <w:pStyle w:val="TOC2"/>
      </w:pPr>
      <w:r>
        <w:t>6.5</w:t>
        <w:tab/>
        <w:t>Prototyping Model Philosophy Qualification and Verification Strategy</w:t>
      </w:r>
    </w:p>
    <w:p>
      <w:pPr>
        <w:pStyle w:val="TOC2"/>
      </w:pPr>
      <w:r>
        <w:t>6.6</w:t>
        <w:tab/>
        <w:t>Sparing Strategy</w:t>
      </w:r>
    </w:p>
    <w:p>
      <w:pPr>
        <w:pStyle w:val="TOC2"/>
      </w:pPr>
      <w:r>
        <w:t>6.7</w:t>
        <w:tab/>
        <w:t>Risk Assessment</w:t>
      </w:r>
    </w:p>
    <w:p>
      <w:pPr>
        <w:pStyle w:val="TOC2"/>
      </w:pPr>
      <w:r>
        <w:t>6.8</w:t>
        <w:tab/>
        <w:t>Organizational Breakdown Structure</w:t>
      </w:r>
    </w:p>
    <w:p>
      <w:pPr>
        <w:pStyle w:val="Heading-unnumbered"/>
      </w:pPr>
      <w:r>
        <w:t>List of Figures</w:t>
      </w:r>
    </w:p>
    <w:p>
      <w:pPr>
        <w:pStyle w:val="TableofFigures"/>
      </w:pPr>
      <w:r>
        <w:t>Figure 1 – Thovaren Skeletal Health Monitor mission architecture</w:t>
      </w:r>
    </w:p>
    <w:p>
      <w:pPr>
        <w:pStyle w:val="TableofFigures"/>
      </w:pPr>
      <w:r>
        <w:t>Figure 2 – Payload measurement and data path</w:t>
      </w:r>
    </w:p>
    <w:p>
      <w:pPr>
        <w:pStyle w:val="Heading-unnumbered"/>
      </w:pPr>
      <w:r>
        <w:t>List of Tables</w:t>
      </w:r>
    </w:p>
    <w:p>
      <w:pPr>
        <w:pStyle w:val="TableofFigures"/>
      </w:pPr>
      <w:r>
        <w:t>Table 1 – Strategic Alignment</w:t>
      </w:r>
    </w:p>
    <w:p>
      <w:pPr>
        <w:pStyle w:val="TableofFigures"/>
      </w:pPr>
      <w:r>
        <w:t>Table 2 – Selected System Requirements</w:t>
      </w:r>
    </w:p>
    <w:p>
      <w:pPr>
        <w:pStyle w:val="TableofFigures"/>
      </w:pPr>
      <w:r>
        <w:t>Table 3 – Costing Phase Crosswalk</w:t>
      </w:r>
    </w:p>
    <w:p>
      <w:pPr>
        <w:pStyle w:val="TableofFigures"/>
      </w:pPr>
      <w:r>
        <w:t>Table 4 – Planning Phase Dates</w:t>
      </w:r>
    </w:p>
    <w:p>
      <w:pPr>
        <w:pStyle w:val="TableofFigures"/>
      </w:pPr>
      <w:r>
        <w:t>Table 5 – Major Milestones</w:t>
      </w:r>
    </w:p>
    <w:p>
      <w:pPr>
        <w:pStyle w:val="TableofFigures"/>
      </w:pPr>
      <w:r>
        <w:t>Table 6 – Mission Organizations</w:t>
      </w:r>
    </w:p>
    <w:p>
      <w:pPr>
        <w:pStyle w:val="TableofFigures"/>
      </w:pPr>
      <w:r>
        <w:t>Table 7 – Industrial Partners</w:t>
      </w:r>
    </w:p>
    <w:p>
      <w:pPr>
        <w:pStyle w:val="TableofFigures"/>
      </w:pPr>
      <w:r>
        <w:t>Table 8 – Research Institutions</w:t>
      </w:r>
    </w:p>
    <w:p>
      <w:pPr>
        <w:pStyle w:val="TableofFigures"/>
      </w:pPr>
      <w:r>
        <w:t>Table 9 – Scientific Leadership</w:t>
      </w:r>
    </w:p>
    <w:p>
      <w:r>
        <w:br w:type="page"/>
      </w:r>
    </w:p>
    <w:p>
      <w:pPr>
        <w:pStyle w:val="Heading1"/>
      </w:pPr>
      <w:r>
        <w:t>Introduction</w:t>
      </w:r>
    </w:p>
    <w:p>
      <w:pPr>
        <w:pStyle w:val="Heading2"/>
      </w:pPr>
      <w:r>
        <w:t>Purpose of this document</w:t>
      </w:r>
    </w:p>
    <w:p>
      <w:pPr>
        <w:pStyle w:val="BodyText"/>
      </w:pPr>
      <w:r>
        <w:t>CADRe Part A provides a concise, standardized synopsis of the mission to support cost analysis. It consolidates the mission objectives, system requirements, architecture, delivery boundaries, operations, verification strategy, schedule and participating organizations.</w:t>
      </w:r>
    </w:p>
    <w:p>
      <w:pPr>
        <w:pStyle w:val="BodyText"/>
      </w:pPr>
      <w:r>
        <w:t>The quantitative values are planning requirements or preliminary allocations. CADRe Part B records cost element parameters, Part C controls the phase schedule and risk register, and Part D records programmatic evidence.</w:t>
      </w:r>
    </w:p>
    <w:p>
      <w:pPr>
        <w:pStyle w:val="Heading1"/>
      </w:pPr>
      <w:r>
        <w:t>General Descriptive Information</w:t>
      </w:r>
    </w:p>
    <w:p>
      <w:pPr>
        <w:pStyle w:val="Heading2"/>
      </w:pPr>
      <w:r>
        <w:t>Mission Overview</w:t>
      </w:r>
    </w:p>
    <w:p>
      <w:pPr/>
      <w:r>
        <w:t>The reference configuration is one hosted clinical instrument. Its operational environment is Pressurized compartment aboard the Orvane Research Habitat; cabin 18–27 °C, 30–70% relative humidity, 28 V host bus. The nominal duration is Two-year operational deployment; 24 monthly scan opportunities per participating crew member. The flight or installed unit is sized at 95 kg and uses 180 W power generation or host allocation as stated in the subsystem budget.</w:t>
      </w:r>
    </w:p>
    <w:p>
      <w:pPr/>
      <w:r>
        <w:t>The design carries dual-energy peripheral scan head, microgravity positioning restraint and calibration and protected data unit. Each produces a separately calibrated record with common time, configuration and quality metadata. The science objectives are quantified in the requirement matrix below.</w:t>
      </w:r>
    </w:p>
    <w:p>
      <w:pPr>
        <w:jc w:val="center"/>
      </w:pPr>
      <w:r>
        <w:drawing>
          <wp:inline xmlns:a="http://schemas.openxmlformats.org/drawingml/2006/main" xmlns:pic="http://schemas.openxmlformats.org/drawingml/2006/picture">
            <wp:extent cx="5852160" cy="1694329"/>
            <wp:docPr id="1" name="Picture 1"/>
            <wp:cNvGraphicFramePr>
              <a:graphicFrameLocks noChangeAspect="1"/>
            </wp:cNvGraphicFramePr>
            <a:graphic>
              <a:graphicData uri="http://schemas.openxmlformats.org/drawingml/2006/picture">
                <pic:pic>
                  <pic:nvPicPr>
                    <pic:cNvPr id="0" name="TSHM_architecture.png"/>
                    <pic:cNvPicPr/>
                  </pic:nvPicPr>
                  <pic:blipFill>
                    <a:blip r:embed="rId20"/>
                    <a:stretch>
                      <a:fillRect/>
                    </a:stretch>
                  </pic:blipFill>
                  <pic:spPr>
                    <a:xfrm>
                      <a:off x="0" y="0"/>
                      <a:ext cx="5852160" cy="1694329"/>
                    </a:xfrm>
                    <a:prstGeom prst="rect"/>
                  </pic:spPr>
                </pic:pic>
              </a:graphicData>
            </a:graphic>
          </wp:inline>
        </w:drawing>
      </w:r>
    </w:p>
    <w:p>
      <w:pPr>
        <w:pStyle w:val="Caption"/>
      </w:pPr>
      <w:r>
        <w:t>Figure 1 – Thovaren Skeletal Health Monitor mission architecture. Labeled boxes identify responsibility boundaries; dimensions are schematic.</w:t>
      </w:r>
    </w:p>
    <w:p>
      <w:pPr>
        <w:pStyle w:val="Heading2"/>
      </w:pPr>
      <w:r>
        <w:t>Strategic Objectives</w:t>
      </w:r>
    </w:p>
    <w:p>
      <w:pPr>
        <w:pStyle w:val="BodyText"/>
      </w:pPr>
      <w:r>
        <w:t>The mission aligns the measurement or service objectives with the sponsoring authority’s stated science, capability and operations priorities.</w:t>
      </w:r>
    </w:p>
    <w:p>
      <w:pPr>
        <w:pStyle w:val="Caption"/>
      </w:pPr>
      <w:r>
        <w:t>Table 1 – Strategic Alignment</w:t>
      </w:r>
    </w:p>
    <w:tbl>
      <w:tblPr>
        <w:tblStyle w:val="TableGrid"/>
        <w:tblW w:type="auto" w:w="0"/>
        <w:jc w:val="center"/>
        <w:tblLayout w:type="fixed"/>
        <w:tblLook w:firstColumn="1" w:firstRow="1" w:lastColumn="0" w:lastRow="0" w:noHBand="0" w:noVBand="1" w:val="04A0"/>
      </w:tblPr>
      <w:tblGrid>
        <w:gridCol w:w="1584"/>
        <w:gridCol w:w="2880"/>
        <w:gridCol w:w="4824"/>
      </w:tblGrid>
      <w:tr>
        <w:trPr>
          <w:tblHeader w:val="true"/>
        </w:trPr>
        <w:tc>
          <w:tcPr>
            <w:tcW w:type="dxa" w:w="3120"/>
            <w:vAlign w:val="center"/>
            <w:shd w:fill="DDE6EF"/>
            <w:tcMar>
              <w:top w:w="90" w:type="dxa"/>
              <w:left w:w="90" w:type="dxa"/>
              <w:bottom w:w="90" w:type="dxa"/>
              <w:right w:w="90" w:type="dxa"/>
            </w:tcMar>
          </w:tcPr>
          <w:p>
            <w:pPr>
              <w:spacing w:after="0"/>
            </w:pPr>
            <w:r>
              <w:rPr>
                <w:b/>
                <w:sz w:val="16"/>
              </w:rPr>
              <w:t>Priority</w:t>
            </w:r>
          </w:p>
        </w:tc>
        <w:tc>
          <w:tcPr>
            <w:tcW w:type="dxa" w:w="3120"/>
            <w:vAlign w:val="center"/>
            <w:shd w:fill="DDE6EF"/>
            <w:tcMar>
              <w:top w:w="90" w:type="dxa"/>
              <w:left w:w="90" w:type="dxa"/>
              <w:bottom w:w="90" w:type="dxa"/>
              <w:right w:w="90" w:type="dxa"/>
            </w:tcMar>
          </w:tcPr>
          <w:p>
            <w:pPr>
              <w:spacing w:after="0"/>
            </w:pPr>
            <w:r>
              <w:rPr>
                <w:b/>
                <w:sz w:val="16"/>
              </w:rPr>
              <w:t>Strategic goal</w:t>
            </w:r>
          </w:p>
        </w:tc>
        <w:tc>
          <w:tcPr>
            <w:tcW w:type="dxa" w:w="3120"/>
            <w:vAlign w:val="center"/>
            <w:shd w:fill="DDE6EF"/>
            <w:tcMar>
              <w:top w:w="90" w:type="dxa"/>
              <w:left w:w="90" w:type="dxa"/>
              <w:bottom w:w="90" w:type="dxa"/>
              <w:right w:w="90" w:type="dxa"/>
            </w:tcMar>
          </w:tcPr>
          <w:p>
            <w:pPr>
              <w:spacing w:after="0"/>
            </w:pPr>
            <w:r>
              <w:rPr>
                <w:b/>
                <w:sz w:val="16"/>
              </w:rPr>
              <w:t>Mission contribution</w:t>
            </w:r>
          </w:p>
        </w:tc>
      </w:tr>
      <w:tr>
        <w:tc>
          <w:tcPr>
            <w:tcW w:type="dxa" w:w="3120"/>
            <w:vAlign w:val="center"/>
            <w:tcMar>
              <w:top w:w="90" w:type="dxa"/>
              <w:left w:w="90" w:type="dxa"/>
              <w:bottom w:w="90" w:type="dxa"/>
              <w:right w:w="90" w:type="dxa"/>
            </w:tcMar>
          </w:tcPr>
          <w:p>
            <w:pPr>
              <w:spacing w:after="0"/>
            </w:pPr>
            <w:r>
              <w:rPr>
                <w:sz w:val="16"/>
              </w:rPr>
              <w:t>1</w:t>
            </w:r>
          </w:p>
        </w:tc>
        <w:tc>
          <w:tcPr>
            <w:tcW w:type="dxa" w:w="3120"/>
            <w:vAlign w:val="center"/>
            <w:tcMar>
              <w:top w:w="90" w:type="dxa"/>
              <w:left w:w="90" w:type="dxa"/>
              <w:bottom w:w="90" w:type="dxa"/>
              <w:right w:w="90" w:type="dxa"/>
            </w:tcMar>
          </w:tcPr>
          <w:p>
            <w:pPr>
              <w:spacing w:after="0"/>
            </w:pPr>
            <w:r>
              <w:rPr>
                <w:sz w:val="16"/>
              </w:rPr>
              <w:t>Primary mission outcome</w:t>
            </w:r>
          </w:p>
        </w:tc>
        <w:tc>
          <w:tcPr>
            <w:tcW w:type="dxa" w:w="3120"/>
            <w:vAlign w:val="center"/>
            <w:tcMar>
              <w:top w:w="90" w:type="dxa"/>
              <w:left w:w="90" w:type="dxa"/>
              <w:bottom w:w="90" w:type="dxa"/>
              <w:right w:w="90" w:type="dxa"/>
            </w:tcMar>
          </w:tcPr>
          <w:p>
            <w:pPr>
              <w:spacing w:after="0"/>
            </w:pPr>
            <w:r>
              <w:rPr>
                <w:sz w:val="16"/>
              </w:rPr>
              <w:t>Achieve ≤1.5% repeat-scan coefficient of variation on a reference phantom, ≤3% absolute areal-density bias versus accepted calibration blocks, and ≥95% valid scans in a 192-session plan.</w:t>
            </w:r>
          </w:p>
        </w:tc>
      </w:tr>
      <w:tr>
        <w:tc>
          <w:tcPr>
            <w:tcW w:type="dxa" w:w="3120"/>
            <w:vAlign w:val="center"/>
            <w:shd w:fill="F6F8FA"/>
            <w:tcMar>
              <w:top w:w="90" w:type="dxa"/>
              <w:left w:w="90" w:type="dxa"/>
              <w:bottom w:w="90" w:type="dxa"/>
              <w:right w:w="90" w:type="dxa"/>
            </w:tcMar>
          </w:tcPr>
          <w:p>
            <w:pPr>
              <w:spacing w:after="0"/>
            </w:pPr>
            <w:r>
              <w:rPr>
                <w:sz w:val="16"/>
              </w:rPr>
              <w:t>2</w:t>
            </w:r>
          </w:p>
        </w:tc>
        <w:tc>
          <w:tcPr>
            <w:tcW w:type="dxa" w:w="3120"/>
            <w:vAlign w:val="center"/>
            <w:shd w:fill="F6F8FA"/>
            <w:tcMar>
              <w:top w:w="90" w:type="dxa"/>
              <w:left w:w="90" w:type="dxa"/>
              <w:bottom w:w="90" w:type="dxa"/>
              <w:right w:w="90" w:type="dxa"/>
            </w:tcMar>
          </w:tcPr>
          <w:p>
            <w:pPr>
              <w:spacing w:after="0"/>
            </w:pPr>
            <w:r>
              <w:rPr>
                <w:sz w:val="16"/>
              </w:rPr>
              <w:t>Operational sustainability</w:t>
            </w:r>
          </w:p>
        </w:tc>
        <w:tc>
          <w:tcPr>
            <w:tcW w:type="dxa" w:w="3120"/>
            <w:vAlign w:val="center"/>
            <w:shd w:fill="F6F8FA"/>
            <w:tcMar>
              <w:top w:w="90" w:type="dxa"/>
              <w:left w:w="90" w:type="dxa"/>
              <w:bottom w:w="90" w:type="dxa"/>
              <w:right w:w="90" w:type="dxa"/>
            </w:tcMar>
          </w:tcPr>
          <w:p>
            <w:pPr>
              <w:spacing w:after="0"/>
            </w:pPr>
            <w:r>
              <w:rPr>
                <w:sz w:val="16"/>
              </w:rPr>
              <w:t>Deliver Two-year operational deployment; 24 monthly scan opportunities per participating crew member. with independently accepted baseline products and contingency procedures.</w:t>
            </w:r>
          </w:p>
        </w:tc>
      </w:tr>
    </w:tbl>
    <w:p>
      <w:pPr>
        <w:pStyle w:val="Heading2"/>
      </w:pPr>
      <w:r>
        <w:t>Selected Mission Requirements</w:t>
      </w:r>
    </w:p>
    <w:p>
      <w:pPr>
        <w:pStyle w:val="BodyText"/>
      </w:pPr>
      <w:r>
        <w:t>The following selected requirements control the major cost and complexity drivers. Their verification methods and approved values belong in the controlled requirements baseline.</w:t>
      </w:r>
    </w:p>
    <w:p>
      <w:pPr>
        <w:pStyle w:val="Caption"/>
      </w:pPr>
      <w:r>
        <w:t>Table 2 – Selected System Requirements</w:t>
      </w:r>
    </w:p>
    <w:tbl>
      <w:tblPr>
        <w:tblStyle w:val="TableGrid"/>
        <w:tblW w:type="auto" w:w="0"/>
        <w:jc w:val="center"/>
        <w:tblLayout w:type="fixed"/>
        <w:tblLook w:firstColumn="1" w:firstRow="1" w:lastColumn="0" w:lastRow="0" w:noHBand="0" w:noVBand="1" w:val="04A0"/>
      </w:tblPr>
      <w:tblGrid>
        <w:gridCol w:w="2088"/>
        <w:gridCol w:w="4536"/>
        <w:gridCol w:w="2592"/>
      </w:tblGrid>
      <w:tr>
        <w:trPr>
          <w:tblHeader w:val="true"/>
        </w:trPr>
        <w:tc>
          <w:tcPr>
            <w:tcW w:type="dxa" w:w="3120"/>
            <w:vAlign w:val="center"/>
            <w:shd w:fill="DDE6EF"/>
            <w:tcMar>
              <w:top w:w="90" w:type="dxa"/>
              <w:left w:w="90" w:type="dxa"/>
              <w:bottom w:w="90" w:type="dxa"/>
              <w:right w:w="90" w:type="dxa"/>
            </w:tcMar>
          </w:tcPr>
          <w:p>
            <w:pPr>
              <w:spacing w:after="0"/>
            </w:pPr>
            <w:r>
              <w:rPr>
                <w:b/>
                <w:sz w:val="16"/>
              </w:rPr>
              <w:t>Cost and complexity driver</w:t>
            </w:r>
          </w:p>
        </w:tc>
        <w:tc>
          <w:tcPr>
            <w:tcW w:type="dxa" w:w="3120"/>
            <w:vAlign w:val="center"/>
            <w:shd w:fill="DDE6EF"/>
            <w:tcMar>
              <w:top w:w="90" w:type="dxa"/>
              <w:left w:w="90" w:type="dxa"/>
              <w:bottom w:w="90" w:type="dxa"/>
              <w:right w:w="90" w:type="dxa"/>
            </w:tcMar>
          </w:tcPr>
          <w:p>
            <w:pPr>
              <w:spacing w:after="0"/>
            </w:pPr>
            <w:r>
              <w:rPr>
                <w:b/>
                <w:sz w:val="16"/>
              </w:rPr>
              <w:t>Preliminary requirement</w:t>
            </w:r>
          </w:p>
        </w:tc>
        <w:tc>
          <w:tcPr>
            <w:tcW w:type="dxa" w:w="3120"/>
            <w:vAlign w:val="center"/>
            <w:shd w:fill="DDE6EF"/>
            <w:tcMar>
              <w:top w:w="90" w:type="dxa"/>
              <w:left w:w="90" w:type="dxa"/>
              <w:bottom w:w="90" w:type="dxa"/>
              <w:right w:w="90" w:type="dxa"/>
            </w:tcMar>
          </w:tcPr>
          <w:p>
            <w:pPr>
              <w:spacing w:after="0"/>
            </w:pPr>
            <w:r>
              <w:rPr>
                <w:b/>
                <w:sz w:val="16"/>
              </w:rPr>
              <w:t>Principal cost or complexity effect</w:t>
            </w:r>
          </w:p>
        </w:tc>
      </w:tr>
      <w:tr>
        <w:tc>
          <w:tcPr>
            <w:tcW w:type="dxa" w:w="3120"/>
            <w:vAlign w:val="center"/>
            <w:tcMar>
              <w:top w:w="90" w:type="dxa"/>
              <w:left w:w="90" w:type="dxa"/>
              <w:bottom w:w="90" w:type="dxa"/>
              <w:right w:w="90" w:type="dxa"/>
            </w:tcMar>
          </w:tcPr>
          <w:p>
            <w:pPr>
              <w:spacing w:after="0"/>
            </w:pPr>
            <w:r>
              <w:rPr>
                <w:sz w:val="16"/>
              </w:rPr>
              <w:t>Mission architecture</w:t>
            </w:r>
          </w:p>
        </w:tc>
        <w:tc>
          <w:tcPr>
            <w:tcW w:type="dxa" w:w="3120"/>
            <w:vAlign w:val="center"/>
            <w:tcMar>
              <w:top w:w="90" w:type="dxa"/>
              <w:left w:w="90" w:type="dxa"/>
              <w:bottom w:w="90" w:type="dxa"/>
              <w:right w:w="90" w:type="dxa"/>
            </w:tcMar>
          </w:tcPr>
          <w:p>
            <w:pPr>
              <w:spacing w:after="0"/>
            </w:pPr>
            <w:r>
              <w:rPr>
                <w:sz w:val="16"/>
              </w:rPr>
              <w:t>One hosted clinical instrument; 1 unit(s).</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Operating environment</w:t>
            </w:r>
          </w:p>
        </w:tc>
        <w:tc>
          <w:tcPr>
            <w:tcW w:type="dxa" w:w="3120"/>
            <w:vAlign w:val="center"/>
            <w:shd w:fill="F6F8FA"/>
            <w:tcMar>
              <w:top w:w="90" w:type="dxa"/>
              <w:left w:w="90" w:type="dxa"/>
              <w:bottom w:w="90" w:type="dxa"/>
              <w:right w:w="90" w:type="dxa"/>
            </w:tcMar>
          </w:tcPr>
          <w:p>
            <w:pPr>
              <w:spacing w:after="0"/>
            </w:pPr>
            <w:r>
              <w:rPr>
                <w:sz w:val="16"/>
              </w:rPr>
              <w:t>Pressurized compartment aboard the Orvane Research Habitat; cabin 18–27 °C, 30–70% relative humidity, 28 V host bus.</w:t>
            </w:r>
          </w:p>
        </w:tc>
        <w:tc>
          <w:tcPr>
            <w:tcW w:type="dxa" w:w="3120"/>
            <w:vAlign w:val="center"/>
            <w:shd w:fill="F6F8FA"/>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tcMar>
              <w:top w:w="90" w:type="dxa"/>
              <w:left w:w="90" w:type="dxa"/>
              <w:bottom w:w="90" w:type="dxa"/>
              <w:right w:w="90" w:type="dxa"/>
            </w:tcMar>
          </w:tcPr>
          <w:p>
            <w:pPr>
              <w:spacing w:after="0"/>
            </w:pPr>
            <w:r>
              <w:rPr>
                <w:sz w:val="16"/>
              </w:rPr>
              <w:t>Mission duration</w:t>
            </w:r>
          </w:p>
        </w:tc>
        <w:tc>
          <w:tcPr>
            <w:tcW w:type="dxa" w:w="3120"/>
            <w:vAlign w:val="center"/>
            <w:tcMar>
              <w:top w:w="90" w:type="dxa"/>
              <w:left w:w="90" w:type="dxa"/>
              <w:bottom w:w="90" w:type="dxa"/>
              <w:right w:w="90" w:type="dxa"/>
            </w:tcMar>
          </w:tcPr>
          <w:p>
            <w:pPr>
              <w:spacing w:after="0"/>
            </w:pPr>
            <w:r>
              <w:rPr>
                <w:sz w:val="16"/>
              </w:rPr>
              <w:t>Two-year operational deployment; 24 monthly scan opportunities per participating crew member.</w:t>
            </w:r>
          </w:p>
        </w:tc>
        <w:tc>
          <w:tcPr>
            <w:tcW w:type="dxa" w:w="3120"/>
            <w:vAlign w:val="center"/>
            <w:tcMar>
              <w:top w:w="90" w:type="dxa"/>
              <w:left w:w="90" w:type="dxa"/>
              <w:bottom w:w="90" w:type="dxa"/>
              <w:right w:w="90" w:type="dxa"/>
            </w:tcMar>
          </w:tcPr>
          <w:p>
            <w:pPr>
              <w:spacing w:after="0"/>
            </w:pPr>
            <w:r>
              <w:rPr>
                <w:sz w:val="16"/>
              </w:rPr>
              <w:t>Parts screening, redundancy, spares and operations staffing.</w:t>
            </w:r>
          </w:p>
        </w:tc>
      </w:tr>
      <w:tr>
        <w:tc>
          <w:tcPr>
            <w:tcW w:type="dxa" w:w="3120"/>
            <w:vAlign w:val="center"/>
            <w:shd w:fill="F6F8FA"/>
            <w:tcMar>
              <w:top w:w="90" w:type="dxa"/>
              <w:left w:w="90" w:type="dxa"/>
              <w:bottom w:w="90" w:type="dxa"/>
              <w:right w:w="90" w:type="dxa"/>
            </w:tcMar>
          </w:tcPr>
          <w:p>
            <w:pPr>
              <w:spacing w:after="0"/>
            </w:pPr>
            <w:r>
              <w:rPr>
                <w:sz w:val="16"/>
              </w:rPr>
              <w:t>Unit mass</w:t>
            </w:r>
          </w:p>
        </w:tc>
        <w:tc>
          <w:tcPr>
            <w:tcW w:type="dxa" w:w="3120"/>
            <w:vAlign w:val="center"/>
            <w:shd w:fill="F6F8FA"/>
            <w:tcMar>
              <w:top w:w="90" w:type="dxa"/>
              <w:left w:w="90" w:type="dxa"/>
              <w:bottom w:w="90" w:type="dxa"/>
              <w:right w:w="90" w:type="dxa"/>
            </w:tcMar>
          </w:tcPr>
          <w:p>
            <w:pPr>
              <w:spacing w:after="0"/>
            </w:pPr>
            <w:r>
              <w:rPr>
                <w:sz w:val="16"/>
              </w:rPr>
              <w:t>≤95 kg as delivered or at launch, including the budgeted contents.</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tcMar>
              <w:top w:w="90" w:type="dxa"/>
              <w:left w:w="90" w:type="dxa"/>
              <w:bottom w:w="90" w:type="dxa"/>
              <w:right w:w="90" w:type="dxa"/>
            </w:tcMar>
          </w:tcPr>
          <w:p>
            <w:pPr>
              <w:spacing w:after="0"/>
            </w:pPr>
            <w:r>
              <w:rPr>
                <w:sz w:val="16"/>
              </w:rPr>
              <w:t>Payload allocation</w:t>
            </w:r>
          </w:p>
        </w:tc>
        <w:tc>
          <w:tcPr>
            <w:tcW w:type="dxa" w:w="3120"/>
            <w:vAlign w:val="center"/>
            <w:tcMar>
              <w:top w:w="90" w:type="dxa"/>
              <w:left w:w="90" w:type="dxa"/>
              <w:bottom w:w="90" w:type="dxa"/>
              <w:right w:w="90" w:type="dxa"/>
            </w:tcMar>
          </w:tcPr>
          <w:p>
            <w:pPr>
              <w:spacing w:after="0"/>
            </w:pPr>
            <w:r>
              <w:rPr>
                <w:sz w:val="16"/>
              </w:rPr>
              <w:t>≤95 kg, with definitions controlled by the mass table.</w:t>
            </w:r>
          </w:p>
        </w:tc>
        <w:tc>
          <w:tcPr>
            <w:tcW w:type="dxa" w:w="3120"/>
            <w:vAlign w:val="center"/>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shd w:fill="F6F8FA"/>
            <w:tcMar>
              <w:top w:w="90" w:type="dxa"/>
              <w:left w:w="90" w:type="dxa"/>
              <w:bottom w:w="90" w:type="dxa"/>
              <w:right w:w="90" w:type="dxa"/>
            </w:tcMar>
          </w:tcPr>
          <w:p>
            <w:pPr>
              <w:spacing w:after="0"/>
            </w:pPr>
            <w:r>
              <w:rPr>
                <w:sz w:val="16"/>
              </w:rPr>
              <w:t>Power generation / provision</w:t>
            </w:r>
          </w:p>
        </w:tc>
        <w:tc>
          <w:tcPr>
            <w:tcW w:type="dxa" w:w="3120"/>
            <w:vAlign w:val="center"/>
            <w:shd w:fill="F6F8FA"/>
            <w:tcMar>
              <w:top w:w="90" w:type="dxa"/>
              <w:left w:w="90" w:type="dxa"/>
              <w:bottom w:w="90" w:type="dxa"/>
              <w:right w:w="90" w:type="dxa"/>
            </w:tcMar>
          </w:tcPr>
          <w:p>
            <w:pPr>
              <w:spacing w:after="0"/>
            </w:pPr>
            <w:r>
              <w:rPr>
                <w:sz w:val="16"/>
              </w:rPr>
              <w:t>180 W at specified reference; nominal 30 W and peak 180 W.</w:t>
            </w:r>
          </w:p>
        </w:tc>
        <w:tc>
          <w:tcPr>
            <w:tcW w:type="dxa" w:w="3120"/>
            <w:vAlign w:val="center"/>
            <w:shd w:fill="F6F8FA"/>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tcMar>
              <w:top w:w="90" w:type="dxa"/>
              <w:left w:w="90" w:type="dxa"/>
              <w:bottom w:w="90" w:type="dxa"/>
              <w:right w:w="90" w:type="dxa"/>
            </w:tcMar>
          </w:tcPr>
          <w:p>
            <w:pPr>
              <w:spacing w:after="0"/>
            </w:pPr>
            <w:r>
              <w:rPr>
                <w:sz w:val="16"/>
              </w:rPr>
              <w:t>Primary measurement</w:t>
            </w:r>
          </w:p>
        </w:tc>
        <w:tc>
          <w:tcPr>
            <w:tcW w:type="dxa" w:w="3120"/>
            <w:vAlign w:val="center"/>
            <w:tcMar>
              <w:top w:w="90" w:type="dxa"/>
              <w:left w:w="90" w:type="dxa"/>
              <w:bottom w:w="90" w:type="dxa"/>
              <w:right w:w="90" w:type="dxa"/>
            </w:tcMar>
          </w:tcPr>
          <w:p>
            <w:pPr>
              <w:spacing w:after="0"/>
            </w:pPr>
            <w:r>
              <w:rPr>
                <w:sz w:val="16"/>
              </w:rPr>
              <w:t>Achieve ≤1.5% repeat-scan coefficient of variation on a reference phantom, ≤3% absolute areal-density bias versus accepted calibration blocks, and ≥95% valid scans in a 192-session plan.</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Instrument 1</w:t>
            </w:r>
          </w:p>
        </w:tc>
        <w:tc>
          <w:tcPr>
            <w:tcW w:type="dxa" w:w="3120"/>
            <w:vAlign w:val="center"/>
            <w:shd w:fill="F6F8FA"/>
            <w:tcMar>
              <w:top w:w="90" w:type="dxa"/>
              <w:left w:w="90" w:type="dxa"/>
              <w:bottom w:w="90" w:type="dxa"/>
              <w:right w:w="90" w:type="dxa"/>
            </w:tcMar>
          </w:tcPr>
          <w:p>
            <w:pPr>
              <w:spacing w:after="0"/>
            </w:pPr>
            <w:r>
              <w:rPr>
                <w:sz w:val="16"/>
              </w:rPr>
              <w:t>60 kg / 180 W during scan; forearm and heel regions; areal density output in g/cm²; ≤0.01 mSv effective-dose planning target per scan, subject to formal radiation-safety qualification.</w:t>
            </w:r>
          </w:p>
        </w:tc>
        <w:tc>
          <w:tcPr>
            <w:tcW w:type="dxa" w:w="3120"/>
            <w:vAlign w:val="center"/>
            <w:shd w:fill="F6F8FA"/>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tcMar>
              <w:top w:w="90" w:type="dxa"/>
              <w:left w:w="90" w:type="dxa"/>
              <w:bottom w:w="90" w:type="dxa"/>
              <w:right w:w="90" w:type="dxa"/>
            </w:tcMar>
          </w:tcPr>
          <w:p>
            <w:pPr>
              <w:spacing w:after="0"/>
            </w:pPr>
            <w:r>
              <w:rPr>
                <w:sz w:val="16"/>
              </w:rPr>
              <w:t>Instrument 2</w:t>
            </w:r>
          </w:p>
        </w:tc>
        <w:tc>
          <w:tcPr>
            <w:tcW w:type="dxa" w:w="3120"/>
            <w:vAlign w:val="center"/>
            <w:tcMar>
              <w:top w:w="90" w:type="dxa"/>
              <w:left w:w="90" w:type="dxa"/>
              <w:bottom w:w="90" w:type="dxa"/>
              <w:right w:w="90" w:type="dxa"/>
            </w:tcMar>
          </w:tcPr>
          <w:p>
            <w:pPr>
              <w:spacing w:after="0"/>
            </w:pPr>
            <w:r>
              <w:rPr>
                <w:sz w:val="16"/>
              </w:rPr>
              <w:t>15 kg passive restraint; repeatable site registration within 1 mm in each translation axis; quick release in ≤10 s.</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Instrument 3</w:t>
            </w:r>
          </w:p>
        </w:tc>
        <w:tc>
          <w:tcPr>
            <w:tcW w:type="dxa" w:w="3120"/>
            <w:vAlign w:val="center"/>
            <w:shd w:fill="F6F8FA"/>
            <w:tcMar>
              <w:top w:w="90" w:type="dxa"/>
              <w:left w:w="90" w:type="dxa"/>
              <w:bottom w:w="90" w:type="dxa"/>
              <w:right w:w="90" w:type="dxa"/>
            </w:tcMar>
          </w:tcPr>
          <w:p>
            <w:pPr>
              <w:spacing w:after="0"/>
            </w:pPr>
            <w:r>
              <w:rPr>
                <w:sz w:val="16"/>
              </w:rPr>
              <w:t>20 kg electronics and shielding; daily electronic check, weekly physical phantom scan and role-controlled encrypted storage.</w:t>
            </w:r>
          </w:p>
        </w:tc>
        <w:tc>
          <w:tcPr>
            <w:tcW w:type="dxa" w:w="3120"/>
            <w:vAlign w:val="center"/>
            <w:shd w:fill="F6F8FA"/>
            <w:tcMar>
              <w:top w:w="90" w:type="dxa"/>
              <w:left w:w="90" w:type="dxa"/>
              <w:bottom w:w="90" w:type="dxa"/>
              <w:right w:w="90" w:type="dxa"/>
            </w:tcMar>
          </w:tcPr>
          <w:p>
            <w:pPr>
              <w:spacing w:after="0"/>
            </w:pPr>
            <w:r>
              <w:rPr>
                <w:sz w:val="16"/>
              </w:rPr>
              <w:t>Recorder capacity, RF equipment, ground contacts and archive processing.</w:t>
            </w:r>
          </w:p>
        </w:tc>
      </w:tr>
      <w:tr>
        <w:tc>
          <w:tcPr>
            <w:tcW w:type="dxa" w:w="3120"/>
            <w:vAlign w:val="center"/>
            <w:tcMar>
              <w:top w:w="90" w:type="dxa"/>
              <w:left w:w="90" w:type="dxa"/>
              <w:bottom w:w="90" w:type="dxa"/>
              <w:right w:w="90" w:type="dxa"/>
            </w:tcMar>
          </w:tcPr>
          <w:p>
            <w:pPr>
              <w:spacing w:after="0"/>
            </w:pPr>
            <w:r>
              <w:rPr>
                <w:sz w:val="16"/>
              </w:rPr>
              <w:t>Pointing or positioning</w:t>
            </w:r>
          </w:p>
        </w:tc>
        <w:tc>
          <w:tcPr>
            <w:tcW w:type="dxa" w:w="3120"/>
            <w:vAlign w:val="center"/>
            <w:tcMar>
              <w:top w:w="90" w:type="dxa"/>
              <w:left w:w="90" w:type="dxa"/>
              <w:bottom w:w="90" w:type="dxa"/>
              <w:right w:w="90" w:type="dxa"/>
            </w:tcMar>
          </w:tcPr>
          <w:p>
            <w:pPr>
              <w:spacing w:after="0"/>
            </w:pPr>
            <w:r>
              <w:rPr>
                <w:sz w:val="16"/>
              </w:rPr>
              <w:t>No spacecraft attitude-control subsystem. Host restraint maintains limb position within 1 mm; the habitat provides fixed reference and microgravity mechanical retention.</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Mission-data volume</w:t>
            </w:r>
          </w:p>
        </w:tc>
        <w:tc>
          <w:tcPr>
            <w:tcW w:type="dxa" w:w="3120"/>
            <w:vAlign w:val="center"/>
            <w:shd w:fill="F6F8FA"/>
            <w:tcMar>
              <w:top w:w="90" w:type="dxa"/>
              <w:left w:w="90" w:type="dxa"/>
              <w:bottom w:w="90" w:type="dxa"/>
              <w:right w:w="90" w:type="dxa"/>
            </w:tcMar>
          </w:tcPr>
          <w:p>
            <w:pPr>
              <w:spacing w:after="0"/>
            </w:pPr>
            <w:r>
              <w:rPr>
                <w:sz w:val="16"/>
              </w:rPr>
              <w:t>≤50 MB/day protected clinical and engineering data; no raw identifying data in open archive</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bl>
    <w:p>
      <w:pPr>
        <w:pStyle w:val="Heading2"/>
      </w:pPr>
      <w:r>
        <w:t>High-Level Mission Architecture</w:t>
      </w:r>
    </w:p>
    <w:p>
      <w:pPr>
        <w:pStyle w:val="BodyText"/>
      </w:pPr>
      <w:r>
        <w:t>The architecture separates oversight, space or deployed hardware, launch or delivery, ground services, operations and science or user exploitation.</w:t>
      </w:r>
    </w:p>
    <w:p>
      <w:pPr>
        <w:pStyle w:val="BodyText"/>
      </w:pPr>
      <w:r>
        <w:t>Orvellis Crew Systems Office owns system requirements, procurement, risk and mission acceptance.</w:t>
      </w:r>
    </w:p>
    <w:p>
      <w:pPr>
        <w:pStyle w:val="BodyText"/>
      </w:pPr>
      <w:r>
        <w:t>Talveron Flight Hardware owns the integrated unit, interfaces and system-level verification.</w:t>
      </w:r>
    </w:p>
    <w:p>
      <w:pPr>
        <w:pStyle w:val="BodyText"/>
      </w:pPr>
      <w:r>
        <w:t>Cevrith Diagnostic Instruments delivers the measurement equipment and calibration evidence.</w:t>
      </w:r>
    </w:p>
    <w:p>
      <w:pPr>
        <w:pStyle w:val="BodyText"/>
      </w:pPr>
      <w:r>
        <w:t>Muravex Cargo Services delivers the unit to its destination and verifies interface conditions.</w:t>
      </w:r>
    </w:p>
    <w:p>
      <w:pPr>
        <w:pStyle w:val="BodyText"/>
      </w:pPr>
      <w:r>
        <w:t>Nerivall Medical Data Centre supplies receiving, networking and ground-service capacity.</w:t>
      </w:r>
    </w:p>
    <w:p>
      <w:pPr>
        <w:pStyle w:val="BodyText"/>
      </w:pPr>
      <w:r>
        <w:t>Yevranel Human Performance Institute produces, validates and archives the calibrated mission products.</w:t>
      </w:r>
    </w:p>
    <w:p>
      <w:pPr>
        <w:pStyle w:val="Heading1"/>
      </w:pPr>
      <w:r>
        <w:t>Space Segment Description</w:t>
      </w:r>
    </w:p>
    <w:p>
      <w:pPr/>
      <w:r>
        <w:t>The reference configuration is one hosted clinical instrument. Its operational environment is Pressurized compartment aboard the Orvane Research Habitat; cabin 18–27 °C, 30–70% relative humidity, 28 V host bus. The nominal duration is Two-year operational deployment; 24 monthly scan opportunities per participating crew member. The flight or installed unit is sized at 95 kg and uses 180 W power generation or host allocation as stated in the subsystem budget. The segment boundary includes the integrated unit and its mission-specific payload, interfaces, spares and verification articles.</w:t>
      </w:r>
    </w:p>
    <w:p>
      <w:pPr>
        <w:pStyle w:val="Heading2"/>
      </w:pPr>
      <w:r>
        <w:t>Spacecraft Bus</w:t>
      </w:r>
    </w:p>
    <w:p>
      <w:pPr/>
      <w:r>
        <w:t>The integrated unit provides structural restraint, power, command and data handling, thermal protection, equipment control and the communication interface appropriate to Pressurized compartment aboard the Orvane Research Habitat; cabin 18–27 °C, 30–70% relative humidity, 28 V host bus. The design shall carry configuration identifiers and independent acceptance records for every delivered unit.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allocation / target</w:t>
            </w:r>
          </w:p>
        </w:tc>
      </w:tr>
      <w:tr>
        <w:tc>
          <w:tcPr>
            <w:tcW w:type="dxa" w:w="4680"/>
            <w:vAlign w:val="center"/>
            <w:tcMar>
              <w:top w:w="90" w:type="dxa"/>
              <w:left w:w="90" w:type="dxa"/>
              <w:bottom w:w="90" w:type="dxa"/>
              <w:right w:w="90" w:type="dxa"/>
            </w:tcMar>
          </w:tcPr>
          <w:p>
            <w:pPr>
              <w:spacing w:after="0"/>
            </w:pPr>
            <w:r>
              <w:rPr>
                <w:sz w:val="16"/>
              </w:rPr>
              <w:t>Unit mass</w:t>
            </w:r>
          </w:p>
        </w:tc>
        <w:tc>
          <w:tcPr>
            <w:tcW w:type="dxa" w:w="4680"/>
            <w:vAlign w:val="center"/>
            <w:tcMar>
              <w:top w:w="90" w:type="dxa"/>
              <w:left w:w="90" w:type="dxa"/>
              <w:bottom w:w="90" w:type="dxa"/>
              <w:right w:w="90" w:type="dxa"/>
            </w:tcMar>
          </w:tcPr>
          <w:p>
            <w:pPr>
              <w:spacing w:after="0"/>
            </w:pPr>
            <w:r>
              <w:rPr>
                <w:sz w:val="16"/>
              </w:rPr>
              <w:t>95 kg</w:t>
            </w:r>
          </w:p>
        </w:tc>
      </w:tr>
      <w:tr>
        <w:tc>
          <w:tcPr>
            <w:tcW w:type="dxa" w:w="4680"/>
            <w:vAlign w:val="center"/>
            <w:shd w:fill="F6F8FA"/>
            <w:tcMar>
              <w:top w:w="90" w:type="dxa"/>
              <w:left w:w="90" w:type="dxa"/>
              <w:bottom w:w="90" w:type="dxa"/>
              <w:right w:w="90" w:type="dxa"/>
            </w:tcMar>
          </w:tcPr>
          <w:p>
            <w:pPr>
              <w:spacing w:after="0"/>
            </w:pPr>
            <w:r>
              <w:rPr>
                <w:sz w:val="16"/>
              </w:rPr>
              <w:t>Mass composition</w:t>
            </w:r>
          </w:p>
        </w:tc>
        <w:tc>
          <w:tcPr>
            <w:tcW w:type="dxa" w:w="4680"/>
            <w:vAlign w:val="center"/>
            <w:shd w:fill="F6F8FA"/>
            <w:tcMar>
              <w:top w:w="90" w:type="dxa"/>
              <w:left w:w="90" w:type="dxa"/>
              <w:bottom w:w="90" w:type="dxa"/>
              <w:right w:w="90" w:type="dxa"/>
            </w:tcMar>
          </w:tcPr>
          <w:p>
            <w:pPr>
              <w:spacing w:after="0"/>
            </w:pPr>
            <w:r>
              <w:rPr>
                <w:sz w:val="16"/>
              </w:rPr>
              <w:t>60 kg scan head + 15 kg restraint + 20 kg controller/shielding = 95 kg installed instrument</w:t>
            </w:r>
          </w:p>
        </w:tc>
      </w:tr>
      <w:tr>
        <w:tc>
          <w:tcPr>
            <w:tcW w:type="dxa" w:w="4680"/>
            <w:vAlign w:val="center"/>
            <w:tcMar>
              <w:top w:w="90" w:type="dxa"/>
              <w:left w:w="90" w:type="dxa"/>
              <w:bottom w:w="90" w:type="dxa"/>
              <w:right w:w="90" w:type="dxa"/>
            </w:tcMar>
          </w:tcPr>
          <w:p>
            <w:pPr>
              <w:spacing w:after="0"/>
            </w:pPr>
            <w:r>
              <w:rPr>
                <w:sz w:val="16"/>
              </w:rPr>
              <w:t>Payload / experiment allocation</w:t>
            </w:r>
          </w:p>
        </w:tc>
        <w:tc>
          <w:tcPr>
            <w:tcW w:type="dxa" w:w="4680"/>
            <w:vAlign w:val="center"/>
            <w:tcMar>
              <w:top w:w="90" w:type="dxa"/>
              <w:left w:w="90" w:type="dxa"/>
              <w:bottom w:w="90" w:type="dxa"/>
              <w:right w:w="90" w:type="dxa"/>
            </w:tcMar>
          </w:tcPr>
          <w:p>
            <w:pPr>
              <w:spacing w:after="0"/>
            </w:pPr>
            <w:r>
              <w:rPr>
                <w:sz w:val="16"/>
              </w:rPr>
              <w:t>95 kg</w:t>
            </w:r>
          </w:p>
        </w:tc>
      </w:tr>
      <w:tr>
        <w:tc>
          <w:tcPr>
            <w:tcW w:type="dxa" w:w="4680"/>
            <w:vAlign w:val="center"/>
            <w:shd w:fill="F6F8FA"/>
            <w:tcMar>
              <w:top w:w="90" w:type="dxa"/>
              <w:left w:w="90" w:type="dxa"/>
              <w:bottom w:w="90" w:type="dxa"/>
              <w:right w:w="90" w:type="dxa"/>
            </w:tcMar>
          </w:tcPr>
          <w:p>
            <w:pPr>
              <w:spacing w:after="0"/>
            </w:pPr>
            <w:r>
              <w:rPr>
                <w:sz w:val="16"/>
              </w:rPr>
              <w:t>Generation / provision</w:t>
            </w:r>
          </w:p>
        </w:tc>
        <w:tc>
          <w:tcPr>
            <w:tcW w:type="dxa" w:w="4680"/>
            <w:vAlign w:val="center"/>
            <w:shd w:fill="F6F8FA"/>
            <w:tcMar>
              <w:top w:w="90" w:type="dxa"/>
              <w:left w:w="90" w:type="dxa"/>
              <w:bottom w:w="90" w:type="dxa"/>
              <w:right w:w="90" w:type="dxa"/>
            </w:tcMar>
          </w:tcPr>
          <w:p>
            <w:pPr>
              <w:spacing w:after="0"/>
            </w:pPr>
            <w:r>
              <w:rPr>
                <w:sz w:val="16"/>
              </w:rPr>
              <w:t>180 W reference</w:t>
            </w:r>
          </w:p>
        </w:tc>
      </w:tr>
      <w:tr>
        <w:tc>
          <w:tcPr>
            <w:tcW w:type="dxa" w:w="4680"/>
            <w:vAlign w:val="center"/>
            <w:tcMar>
              <w:top w:w="90" w:type="dxa"/>
              <w:left w:w="90" w:type="dxa"/>
              <w:bottom w:w="90" w:type="dxa"/>
              <w:right w:w="90" w:type="dxa"/>
            </w:tcMar>
          </w:tcPr>
          <w:p>
            <w:pPr>
              <w:spacing w:after="0"/>
            </w:pPr>
            <w:r>
              <w:rPr>
                <w:sz w:val="16"/>
              </w:rPr>
              <w:t>Nominal / peak demand</w:t>
            </w:r>
          </w:p>
        </w:tc>
        <w:tc>
          <w:tcPr>
            <w:tcW w:type="dxa" w:w="4680"/>
            <w:vAlign w:val="center"/>
            <w:tcMar>
              <w:top w:w="90" w:type="dxa"/>
              <w:left w:w="90" w:type="dxa"/>
              <w:bottom w:w="90" w:type="dxa"/>
              <w:right w:w="90" w:type="dxa"/>
            </w:tcMar>
          </w:tcPr>
          <w:p>
            <w:pPr>
              <w:spacing w:after="0"/>
            </w:pPr>
            <w:r>
              <w:rPr>
                <w:sz w:val="16"/>
              </w:rPr>
              <w:t>30 W / 180 W</w:t>
            </w:r>
          </w:p>
        </w:tc>
      </w:tr>
      <w:tr>
        <w:tc>
          <w:tcPr>
            <w:tcW w:type="dxa" w:w="4680"/>
            <w:vAlign w:val="center"/>
            <w:shd w:fill="F6F8FA"/>
            <w:tcMar>
              <w:top w:w="90" w:type="dxa"/>
              <w:left w:w="90" w:type="dxa"/>
              <w:bottom w:w="90" w:type="dxa"/>
              <w:right w:w="90" w:type="dxa"/>
            </w:tcMar>
          </w:tcPr>
          <w:p>
            <w:pPr>
              <w:spacing w:after="0"/>
            </w:pPr>
            <w:r>
              <w:rPr>
                <w:sz w:val="16"/>
              </w:rPr>
              <w:t>Storage</w:t>
            </w:r>
          </w:p>
        </w:tc>
        <w:tc>
          <w:tcPr>
            <w:tcW w:type="dxa" w:w="4680"/>
            <w:vAlign w:val="center"/>
            <w:shd w:fill="F6F8FA"/>
            <w:tcMar>
              <w:top w:w="90" w:type="dxa"/>
              <w:left w:w="90" w:type="dxa"/>
              <w:bottom w:w="90" w:type="dxa"/>
              <w:right w:w="90" w:type="dxa"/>
            </w:tcMar>
          </w:tcPr>
          <w:p>
            <w:pPr>
              <w:spacing w:after="0"/>
            </w:pPr>
            <w:r>
              <w:rPr>
                <w:sz w:val="16"/>
              </w:rPr>
              <w:t>64 GB usable</w:t>
            </w:r>
          </w:p>
        </w:tc>
      </w:tr>
      <w:tr>
        <w:tc>
          <w:tcPr>
            <w:tcW w:type="dxa" w:w="4680"/>
            <w:vAlign w:val="center"/>
            <w:tcMar>
              <w:top w:w="90" w:type="dxa"/>
              <w:left w:w="90" w:type="dxa"/>
              <w:bottom w:w="90" w:type="dxa"/>
              <w:right w:w="90" w:type="dxa"/>
            </w:tcMar>
          </w:tcPr>
          <w:p>
            <w:pPr>
              <w:spacing w:after="0"/>
            </w:pPr>
            <w:r>
              <w:rPr>
                <w:sz w:val="16"/>
              </w:rPr>
              <w:t>Autonomy</w:t>
            </w:r>
          </w:p>
        </w:tc>
        <w:tc>
          <w:tcPr>
            <w:tcW w:type="dxa" w:w="4680"/>
            <w:vAlign w:val="center"/>
            <w:tcMar>
              <w:top w:w="90" w:type="dxa"/>
              <w:left w:w="90" w:type="dxa"/>
              <w:bottom w:w="90" w:type="dxa"/>
              <w:right w:w="90" w:type="dxa"/>
            </w:tcMar>
          </w:tcPr>
          <w:p>
            <w:pPr>
              <w:spacing w:after="0"/>
            </w:pPr>
            <w:r>
              <w:rPr>
                <w:sz w:val="16"/>
              </w:rPr>
              <w:t>≥72 h safe configuration with applicable external power</w:t>
            </w:r>
          </w:p>
        </w:tc>
      </w:tr>
      <w:tr>
        <w:tc>
          <w:tcPr>
            <w:tcW w:type="dxa" w:w="4680"/>
            <w:vAlign w:val="center"/>
            <w:shd w:fill="F6F8FA"/>
            <w:tcMar>
              <w:top w:w="90" w:type="dxa"/>
              <w:left w:w="90" w:type="dxa"/>
              <w:bottom w:w="90" w:type="dxa"/>
              <w:right w:w="90" w:type="dxa"/>
            </w:tcMar>
          </w:tcPr>
          <w:p>
            <w:pPr>
              <w:spacing w:after="0"/>
            </w:pPr>
            <w:r>
              <w:rPr>
                <w:sz w:val="16"/>
              </w:rPr>
              <w:t>Maneuver / mobility</w:t>
            </w:r>
          </w:p>
        </w:tc>
        <w:tc>
          <w:tcPr>
            <w:tcW w:type="dxa" w:w="4680"/>
            <w:vAlign w:val="center"/>
            <w:shd w:fill="F6F8FA"/>
            <w:tcMar>
              <w:top w:w="90" w:type="dxa"/>
              <w:left w:w="90" w:type="dxa"/>
              <w:bottom w:w="90" w:type="dxa"/>
              <w:right w:w="90" w:type="dxa"/>
            </w:tcMar>
          </w:tcPr>
          <w:p>
            <w:pPr>
              <w:spacing w:after="0"/>
            </w:pPr>
            <w:r>
              <w:rPr>
                <w:sz w:val="16"/>
              </w:rPr>
              <w:t>None; hosted equipment has no propulsion. Launch restraint and on-orbit installation are in the delivery scope.</w:t>
            </w:r>
          </w:p>
        </w:tc>
      </w:tr>
      <w:tr>
        <w:tc>
          <w:tcPr>
            <w:tcW w:type="dxa" w:w="4680"/>
            <w:vAlign w:val="center"/>
            <w:tcMar>
              <w:top w:w="90" w:type="dxa"/>
              <w:left w:w="90" w:type="dxa"/>
              <w:bottom w:w="90" w:type="dxa"/>
              <w:right w:w="90" w:type="dxa"/>
            </w:tcMar>
          </w:tcPr>
          <w:p>
            <w:pPr>
              <w:spacing w:after="0"/>
            </w:pPr>
            <w:r>
              <w:rPr>
                <w:sz w:val="16"/>
              </w:rPr>
              <w:t>Delivery</w:t>
            </w:r>
          </w:p>
        </w:tc>
        <w:tc>
          <w:tcPr>
            <w:tcW w:type="dxa" w:w="4680"/>
            <w:vAlign w:val="center"/>
            <w:tcMar>
              <w:top w:w="90" w:type="dxa"/>
              <w:left w:w="90" w:type="dxa"/>
              <w:bottom w:w="90" w:type="dxa"/>
              <w:right w:w="90" w:type="dxa"/>
            </w:tcMar>
          </w:tcPr>
          <w:p>
            <w:pPr>
              <w:spacing w:after="0"/>
            </w:pPr>
            <w:r>
              <w:rPr>
                <w:sz w:val="16"/>
              </w:rPr>
              <w:t>95 kg instrument + 25 kg protective flight packaging = 120 kg cargo allocation; host delivery service accepts ≥150 kg for this payload</w:t>
            </w:r>
          </w:p>
        </w:tc>
      </w:tr>
      <w:tr>
        <w:tc>
          <w:tcPr>
            <w:tcW w:type="dxa" w:w="4680"/>
            <w:vAlign w:val="center"/>
            <w:shd w:fill="F6F8FA"/>
            <w:tcMar>
              <w:top w:w="90" w:type="dxa"/>
              <w:left w:w="90" w:type="dxa"/>
              <w:bottom w:w="90" w:type="dxa"/>
              <w:right w:w="90" w:type="dxa"/>
            </w:tcMar>
          </w:tcPr>
          <w:p>
            <w:pPr>
              <w:spacing w:after="0"/>
            </w:pPr>
            <w:r>
              <w:rPr>
                <w:sz w:val="16"/>
              </w:rPr>
              <w:t>Design life</w:t>
            </w:r>
          </w:p>
        </w:tc>
        <w:tc>
          <w:tcPr>
            <w:tcW w:type="dxa" w:w="4680"/>
            <w:vAlign w:val="center"/>
            <w:shd w:fill="F6F8FA"/>
            <w:tcMar>
              <w:top w:w="90" w:type="dxa"/>
              <w:left w:w="90" w:type="dxa"/>
              <w:bottom w:w="90" w:type="dxa"/>
              <w:right w:w="90" w:type="dxa"/>
            </w:tcMar>
          </w:tcPr>
          <w:p>
            <w:pPr>
              <w:spacing w:after="0"/>
            </w:pPr>
            <w:r>
              <w:rPr>
                <w:sz w:val="16"/>
              </w:rPr>
              <w:t>Two-year operational deployment; 24 monthly scan opportunities per participating crew member.</w:t>
            </w:r>
          </w:p>
        </w:tc>
      </w:tr>
    </w:tbl>
    <w:p>
      <w:pPr>
        <w:pStyle w:val="Heading3"/>
      </w:pPr>
      <w:r>
        <w:t>Structural Subsystem</w:t>
      </w:r>
    </w:p>
    <w:p>
      <w:pPr/>
      <w:r>
        <w:t>The structural design is sized for 95 kg delivery mass and the qualified interface loads. The launch or cargo provider controls final vibration, shock and handling cases; a 6 g axial and 2 g lateral quasi-static concept check is retained until that interface is defined. Enclosures, hinges, restraints and contained fluids receive separate local load paths.</w:t>
      </w:r>
    </w:p>
    <w:p>
      <w:pPr/>
      <w:r>
        <w:t>The configuration model records mass properties, lifting points, contamination boundaries, access envelopes and center of gravity before acceptance. Instrument alignment and enclosure sealing are measured before and after environmental testing. The project shall document whether the delivery carrier, lander or host provides final restraint hardware.</w:t>
      </w:r>
    </w:p>
    <w:p>
      <w:pPr>
        <w:pStyle w:val="Heading3"/>
      </w:pPr>
      <w:r>
        <w:t>Electrical Power Subsystem</w:t>
      </w:r>
    </w:p>
    <w:p>
      <w:pPr/>
      <w:r>
        <w:t>Nominal allocation: 180 W generation or host provision, 30 W operating demand, 180 W short-duration peak. These values describe distinct operating cases. The system power margin is assessed at the worst insolation, eclipse or host-service case, not by comparing only nameplate generation and nominal demand.</w:t>
      </w:r>
    </w:p>
    <w:p>
      <w:pPr/>
      <w:r>
        <w:t>Power distribution uses protected 28 V or the host-qualified equivalent. Independent current telemetry and latching protection isolate a failed load. Battery or host reserve is sized from the longest commanded safe-mode, transfer, eclipse or night interval rather than from an arbitrary percentage of nominal energy.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Reference generation</w:t>
            </w:r>
          </w:p>
        </w:tc>
        <w:tc>
          <w:tcPr>
            <w:tcW w:type="dxa" w:w="3120"/>
            <w:vAlign w:val="center"/>
            <w:shd w:fill="DDE6EF"/>
            <w:tcMar>
              <w:top w:w="90" w:type="dxa"/>
              <w:left w:w="90" w:type="dxa"/>
              <w:bottom w:w="90" w:type="dxa"/>
              <w:right w:w="90" w:type="dxa"/>
            </w:tcMar>
          </w:tcPr>
          <w:p>
            <w:pPr>
              <w:spacing w:after="0"/>
            </w:pPr>
            <w:r>
              <w:rPr>
                <w:b/>
                <w:sz w:val="16"/>
              </w:rPr>
              <w:t>Distribution and storage</w:t>
            </w:r>
          </w:p>
        </w:tc>
        <w:tc>
          <w:tcPr>
            <w:tcW w:type="dxa" w:w="3120"/>
            <w:vAlign w:val="center"/>
            <w:shd w:fill="DDE6EF"/>
            <w:tcMar>
              <w:top w:w="90" w:type="dxa"/>
              <w:left w:w="90" w:type="dxa"/>
              <w:bottom w:w="90" w:type="dxa"/>
              <w:right w:w="90" w:type="dxa"/>
            </w:tcMar>
          </w:tcPr>
          <w:p>
            <w:pPr>
              <w:spacing w:after="0"/>
            </w:pPr>
            <w:r>
              <w:rPr>
                <w:b/>
                <w:sz w:val="16"/>
              </w:rPr>
              <w:t>Protected loads</w:t>
            </w:r>
          </w:p>
        </w:tc>
      </w:tr>
      <w:tr>
        <w:tc>
          <w:tcPr>
            <w:tcW w:type="dxa" w:w="3120"/>
            <w:vAlign w:val="center"/>
            <w:tcMar>
              <w:top w:w="90" w:type="dxa"/>
              <w:left w:w="90" w:type="dxa"/>
              <w:bottom w:w="90" w:type="dxa"/>
              <w:right w:w="90" w:type="dxa"/>
            </w:tcMar>
          </w:tcPr>
          <w:p>
            <w:pPr>
              <w:spacing w:after="0"/>
            </w:pPr>
            <w:r>
              <w:rPr>
                <w:sz w:val="16"/>
              </w:rPr>
              <w:t>180 W baseline</w:t>
            </w:r>
          </w:p>
        </w:tc>
        <w:tc>
          <w:tcPr>
            <w:tcW w:type="dxa" w:w="3120"/>
            <w:vAlign w:val="center"/>
            <w:tcMar>
              <w:top w:w="90" w:type="dxa"/>
              <w:left w:w="90" w:type="dxa"/>
              <w:bottom w:w="90" w:type="dxa"/>
              <w:right w:w="90" w:type="dxa"/>
            </w:tcMar>
          </w:tcPr>
          <w:p>
            <w:pPr>
              <w:spacing w:after="0"/>
            </w:pPr>
            <w:r>
              <w:rPr>
                <w:sz w:val="16"/>
              </w:rPr>
              <w:t>Regulated bus, protected battery/host service</w:t>
            </w:r>
          </w:p>
        </w:tc>
        <w:tc>
          <w:tcPr>
            <w:tcW w:type="dxa" w:w="3120"/>
            <w:vAlign w:val="center"/>
            <w:tcMar>
              <w:top w:w="90" w:type="dxa"/>
              <w:left w:w="90" w:type="dxa"/>
              <w:bottom w:w="90" w:type="dxa"/>
              <w:right w:w="90" w:type="dxa"/>
            </w:tcMar>
          </w:tcPr>
          <w:p>
            <w:pPr>
              <w:spacing w:after="0"/>
            </w:pPr>
            <w:r>
              <w:rPr>
                <w:sz w:val="16"/>
              </w:rPr>
              <w:t>30 W nominal / 180 W peak</w:t>
            </w:r>
          </w:p>
        </w:tc>
      </w:tr>
    </w:tbl>
    <w:p>
      <w:pPr>
        <w:pStyle w:val="Heading3"/>
      </w:pPr>
      <w:r>
        <w:t>Command and Data Handling</w:t>
      </w:r>
    </w:p>
    <w:p>
      <w:pPr/>
      <w:r>
        <w:t>A redundant or monitored controller executes time-tagged operations, instrument interlocks, fault detection and protected storage. The local allocation is 64 GB usable. A storage analysis includes the worst observation burst, delayed contact, software overhead, file-system reserve and corrected-memory events.</w:t>
      </w:r>
    </w:p>
    <w:p>
      <w:pPr/>
      <w:r>
        <w:t>Every science record carries absolute time, equipment serial number, calibration-set ID, operating mode and validity flags. Loss of link initiates a controlled safe state that preserves source data and performs scheduled reacquisition. A corrupted parameter upload must not silently change instrument calibration or safety limits.</w:t>
      </w:r>
    </w:p>
    <w:p>
      <w:pPr/>
      <w:r>
        <w:t>Flight and process software controls the following functions:</w:t>
      </w:r>
    </w:p>
    <w:p>
      <w:pPr>
        <w:pStyle w:val="BodyText"/>
      </w:pPr>
      <w:r>
        <w:t>receive and execute authorized commands;</w:t>
      </w:r>
    </w:p>
    <w:p>
      <w:pPr>
        <w:pStyle w:val="BodyText"/>
      </w:pPr>
      <w:r>
        <w:t>collect health telemetry and time-correlated payload packets;</w:t>
      </w:r>
    </w:p>
    <w:p>
      <w:pPr>
        <w:pStyle w:val="BodyText"/>
      </w:pPr>
      <w:r>
        <w:t>manage 64 GB usable storage and priority records;</w:t>
      </w:r>
    </w:p>
    <w:p>
      <w:pPr>
        <w:pStyle w:val="BodyText"/>
      </w:pPr>
      <w:r>
        <w:t>switch to a safe mode after undervoltage, overtemperature or watchdog failure;</w:t>
      </w:r>
    </w:p>
    <w:p>
      <w:pPr>
        <w:pStyle w:val="BodyText"/>
      </w:pPr>
      <w:r>
        <w:t>retain the last accepted software and configuration baseline;</w:t>
      </w:r>
    </w:p>
    <w:p>
      <w:pPr>
        <w:pStyle w:val="BodyText"/>
      </w:pPr>
      <w:r>
        <w:t>reacquire the ground or host link after a missed contact; and</w:t>
      </w:r>
    </w:p>
    <w:p>
      <w:pPr>
        <w:pStyle w:val="BodyText"/>
      </w:pPr>
      <w:r>
        <w:t>report data quality and calibration status with each product.</w:t>
      </w:r>
    </w:p>
    <w:p>
      <w:pPr/>
      <w:r>
        <w:t>A mission-data model checks the ≤50 MB/day protected clinical and engineering data; no raw identifying data in open archive planning case against memory capacity, contact availability and the required processing latency. Raw records are retained until integrity checks and ingest acknowledgement complete.</w:t>
      </w:r>
    </w:p>
    <w:p>
      <w:pPr>
        <w:pStyle w:val="Heading3"/>
      </w:pPr>
      <w:r>
        <w:t>Thermal Subsystem</w:t>
      </w:r>
    </w:p>
    <w:p>
      <w:pPr/>
      <w:r>
        <w:t>Cabin 18–27 °C; scan electronics surface ≤40 °C and enclosure heat rejection ≤180 W during an at most 30-minute session.</w:t>
      </w:r>
    </w:p>
    <w:p>
      <w:pPr/>
      <w:r>
        <w:t>The thermal design shall close with numerical hot and cold cases and shall separately report radiator, insulation, heater and sensor allocations. Instrument calibration is repeated across the qualified operating temperature range. Safe-mode heating and peak-mode waste heat are independently assessed.</w:t>
      </w:r>
    </w:p>
    <w:p>
      <w:pPr/>
      <w:r>
        <w:t>Thermal verification considers heat from 180 W peak electrical input, the nominal 30 W mode, external heat flux, enclosure conduction and the passive or active rejection path. The final instrument uncertainty budget includes temperature-driven bias and gradients.</w:t>
      </w:r>
    </w:p>
    <w:p>
      <w:pPr/>
      <w:r>
        <w:t>The thermal test programme shall establish:</w:t>
      </w:r>
    </w:p>
    <w:p>
      <w:pPr>
        <w:pStyle w:val="BodyText"/>
      </w:pPr>
      <w:r>
        <w:t>steady and transient operating limits of each component;</w:t>
      </w:r>
    </w:p>
    <w:p>
      <w:pPr>
        <w:pStyle w:val="BodyText"/>
      </w:pPr>
      <w:r>
        <w:t>heater and cooler demand in cold and hot cases;</w:t>
      </w:r>
    </w:p>
    <w:p>
      <w:pPr>
        <w:pStyle w:val="BodyText"/>
      </w:pPr>
      <w:r>
        <w:t>radiator or host heat-rejection sizing;</w:t>
      </w:r>
    </w:p>
    <w:p>
      <w:pPr>
        <w:pStyle w:val="BodyText"/>
      </w:pPr>
      <w:r>
        <w:t>calibration stability across the qualified temperature range; and</w:t>
      </w:r>
    </w:p>
    <w:p>
      <w:pPr>
        <w:pStyle w:val="BodyText"/>
      </w:pPr>
      <w:r>
        <w:t>safe survival during a commanded outage.</w:t>
      </w:r>
    </w:p>
    <w:p>
      <w:pPr>
        <w:pStyle w:val="Heading3"/>
      </w:pPr>
      <w:r>
        <w:t>Attitude Determination and Control Subsystem</w:t>
      </w:r>
    </w:p>
    <w:p>
      <w:pPr/>
      <w:r>
        <w:t>No spacecraft attitude-control subsystem. Host restraint maintains limb position within 1 mm; the habitat provides fixed reference and microgravity mechanical retention.</w:t>
      </w:r>
    </w:p>
    <w:p>
      <w:pPr/>
      <w:r>
        <w:t>The reference control architecture separates safe/recovery, measurement, communications and maneuver or servicing modes. A commanded transition requires validated sensor state and resource availability. For hosted equipment, mechanical positioning takes the place of free-flight attitude determination, while retaining an equivalent repeatability verification requirement.</w:t>
      </w:r>
    </w:p>
    <w:p>
      <w:pPr/>
      <w:r>
        <w:t>The control design maintains a mode and pointing error budget. It distinguishes knowledge of where the instrument looked from closed-loop control accuracy, including disturbance rejection and post-facto reconstruction. Engineering tests separately verify sensor alignment, actuator range and degraded operations after a failed sensor or wheel.</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Control element A</w:t>
            </w:r>
          </w:p>
        </w:tc>
        <w:tc>
          <w:tcPr>
            <w:tcW w:type="dxa" w:w="4680"/>
            <w:vAlign w:val="center"/>
            <w:shd w:fill="DDE6EF"/>
            <w:tcMar>
              <w:top w:w="90" w:type="dxa"/>
              <w:left w:w="90" w:type="dxa"/>
              <w:bottom w:w="90" w:type="dxa"/>
              <w:right w:w="90" w:type="dxa"/>
            </w:tcMar>
          </w:tcPr>
          <w:p>
            <w:pPr>
              <w:spacing w:after="0"/>
            </w:pPr>
            <w:r>
              <w:rPr>
                <w:b/>
                <w:sz w:val="16"/>
              </w:rPr>
              <w:t>Control element B</w:t>
            </w:r>
          </w:p>
        </w:tc>
      </w:tr>
      <w:tr>
        <w:tc>
          <w:tcPr>
            <w:tcW w:type="dxa" w:w="4680"/>
            <w:vAlign w:val="center"/>
            <w:tcMar>
              <w:top w:w="90" w:type="dxa"/>
              <w:left w:w="90" w:type="dxa"/>
              <w:bottom w:w="90" w:type="dxa"/>
              <w:right w:w="90" w:type="dxa"/>
            </w:tcMar>
          </w:tcPr>
          <w:p>
            <w:pPr>
              <w:spacing w:after="0"/>
            </w:pPr>
            <w:r>
              <w:rPr>
                <w:sz w:val="16"/>
              </w:rPr>
              <w:t>Primary position/attitude reference</w:t>
            </w:r>
          </w:p>
        </w:tc>
        <w:tc>
          <w:tcPr>
            <w:tcW w:type="dxa" w:w="4680"/>
            <w:vAlign w:val="center"/>
            <w:tcMar>
              <w:top w:w="90" w:type="dxa"/>
              <w:left w:w="90" w:type="dxa"/>
              <w:bottom w:w="90" w:type="dxa"/>
              <w:right w:w="90" w:type="dxa"/>
            </w:tcMar>
          </w:tcPr>
          <w:p>
            <w:pPr>
              <w:spacing w:after="0"/>
            </w:pPr>
            <w:r>
              <w:rPr>
                <w:sz w:val="16"/>
              </w:rPr>
              <w:t>Independent cross-check and health monitor</w:t>
            </w:r>
          </w:p>
        </w:tc>
      </w:tr>
      <w:tr>
        <w:tc>
          <w:tcPr>
            <w:tcW w:type="dxa" w:w="4680"/>
            <w:vAlign w:val="center"/>
            <w:shd w:fill="F6F8FA"/>
            <w:tcMar>
              <w:top w:w="90" w:type="dxa"/>
              <w:left w:w="90" w:type="dxa"/>
              <w:bottom w:w="90" w:type="dxa"/>
              <w:right w:w="90" w:type="dxa"/>
            </w:tcMar>
          </w:tcPr>
          <w:p>
            <w:pPr>
              <w:spacing w:after="0"/>
            </w:pPr>
            <w:r>
              <w:rPr>
                <w:sz w:val="16"/>
              </w:rPr>
              <w:t>Science or process pointing</w:t>
            </w:r>
          </w:p>
        </w:tc>
        <w:tc>
          <w:tcPr>
            <w:tcW w:type="dxa" w:w="4680"/>
            <w:vAlign w:val="center"/>
            <w:shd w:fill="F6F8FA"/>
            <w:tcMar>
              <w:top w:w="90" w:type="dxa"/>
              <w:left w:w="90" w:type="dxa"/>
              <w:bottom w:w="90" w:type="dxa"/>
              <w:right w:w="90" w:type="dxa"/>
            </w:tcMar>
          </w:tcPr>
          <w:p>
            <w:pPr>
              <w:spacing w:after="0"/>
            </w:pPr>
            <w:r>
              <w:rPr>
                <w:sz w:val="16"/>
              </w:rPr>
              <w:t>Safe-mode or host restraint</w:t>
            </w:r>
          </w:p>
        </w:tc>
      </w:tr>
      <w:tr>
        <w:tc>
          <w:tcPr>
            <w:tcW w:type="dxa" w:w="4680"/>
            <w:vAlign w:val="center"/>
            <w:tcMar>
              <w:top w:w="90" w:type="dxa"/>
              <w:left w:w="90" w:type="dxa"/>
              <w:bottom w:w="90" w:type="dxa"/>
              <w:right w:w="90" w:type="dxa"/>
            </w:tcMar>
          </w:tcPr>
          <w:p>
            <w:pPr>
              <w:spacing w:after="0"/>
            </w:pPr>
            <w:r>
              <w:rPr>
                <w:sz w:val="16"/>
              </w:rPr>
              <w:t>Actuator / positioning hardware</w:t>
            </w:r>
          </w:p>
        </w:tc>
        <w:tc>
          <w:tcPr>
            <w:tcW w:type="dxa" w:w="4680"/>
            <w:vAlign w:val="center"/>
            <w:tcMar>
              <w:top w:w="90" w:type="dxa"/>
              <w:left w:w="90" w:type="dxa"/>
              <w:bottom w:w="90" w:type="dxa"/>
              <w:right w:w="90" w:type="dxa"/>
            </w:tcMar>
          </w:tcPr>
          <w:p>
            <w:pPr>
              <w:spacing w:after="0"/>
            </w:pPr>
            <w:r>
              <w:rPr>
                <w:sz w:val="16"/>
              </w:rPr>
              <w:t>Feedback telemetry</w:t>
            </w:r>
          </w:p>
        </w:tc>
      </w:tr>
      <w:tr>
        <w:tc>
          <w:tcPr>
            <w:tcW w:type="dxa" w:w="4680"/>
            <w:vAlign w:val="center"/>
            <w:shd w:fill="F6F8FA"/>
            <w:tcMar>
              <w:top w:w="90" w:type="dxa"/>
              <w:left w:w="90" w:type="dxa"/>
              <w:bottom w:w="90" w:type="dxa"/>
              <w:right w:w="90" w:type="dxa"/>
            </w:tcMar>
          </w:tcPr>
          <w:p>
            <w:pPr>
              <w:spacing w:after="0"/>
            </w:pPr>
            <w:r>
              <w:rPr>
                <w:sz w:val="16"/>
              </w:rPr>
              <w:t>Alignment calibration</w:t>
            </w:r>
          </w:p>
        </w:tc>
        <w:tc>
          <w:tcPr>
            <w:tcW w:type="dxa" w:w="4680"/>
            <w:vAlign w:val="center"/>
            <w:shd w:fill="F6F8FA"/>
            <w:tcMar>
              <w:top w:w="90" w:type="dxa"/>
              <w:left w:w="90" w:type="dxa"/>
              <w:bottom w:w="90" w:type="dxa"/>
              <w:right w:w="90" w:type="dxa"/>
            </w:tcMar>
          </w:tcPr>
          <w:p>
            <w:pPr>
              <w:spacing w:after="0"/>
            </w:pPr>
            <w:r>
              <w:rPr>
                <w:sz w:val="16"/>
              </w:rPr>
              <w:t>Post-test acceptance evidence</w:t>
            </w:r>
          </w:p>
        </w:tc>
      </w:tr>
    </w:tbl>
    <w:p>
      <w:pPr>
        <w:pStyle w:val="Heading3"/>
      </w:pPr>
      <w:r>
        <w:t>Propulsion Subsystem</w:t>
      </w:r>
    </w:p>
    <w:p>
      <w:pPr/>
      <w:r>
        <w:t>No propulsion. The 25 kg launch packaging is removed after on-orbit installation and is excluded from installed mass.</w:t>
      </w:r>
    </w:p>
    <w:p>
      <w:pPr/>
      <w:r>
        <w:t>Any maneuver, descent or mobility not carried by the delivered unit is assigned explicitly to the launch or cargo provider. If propulsion is installed, the flight reserve includes residuals, thrust and specific-impulse dispersion, navigation error and unusable propellant. No requirement is treated as closed by nominal rocket-equation capability alone.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Parameter</w:t>
            </w:r>
          </w:p>
        </w:tc>
        <w:tc>
          <w:tcPr>
            <w:tcW w:type="dxa" w:w="3120"/>
            <w:vAlign w:val="center"/>
            <w:shd w:fill="DDE6EF"/>
            <w:tcMar>
              <w:top w:w="90" w:type="dxa"/>
              <w:left w:w="90" w:type="dxa"/>
              <w:bottom w:w="90" w:type="dxa"/>
              <w:right w:w="90" w:type="dxa"/>
            </w:tcMar>
          </w:tcPr>
          <w:p>
            <w:pPr>
              <w:spacing w:after="0"/>
            </w:pPr>
            <w:r>
              <w:rPr>
                <w:b/>
                <w:sz w:val="16"/>
              </w:rPr>
              <w:t>Reference value</w:t>
            </w:r>
          </w:p>
        </w:tc>
        <w:tc>
          <w:tcPr>
            <w:tcW w:type="dxa" w:w="3120"/>
            <w:vAlign w:val="center"/>
            <w:shd w:fill="DDE6EF"/>
            <w:tcMar>
              <w:top w:w="90" w:type="dxa"/>
              <w:left w:w="90" w:type="dxa"/>
              <w:bottom w:w="90" w:type="dxa"/>
              <w:right w:w="90" w:type="dxa"/>
            </w:tcMar>
          </w:tcPr>
          <w:p>
            <w:pPr>
              <w:spacing w:after="0"/>
            </w:pPr>
            <w:r>
              <w:rPr>
                <w:b/>
                <w:sz w:val="16"/>
              </w:rPr>
              <w:t>Units</w:t>
            </w:r>
          </w:p>
        </w:tc>
      </w:tr>
      <w:tr>
        <w:tc>
          <w:tcPr>
            <w:tcW w:type="dxa" w:w="3120"/>
            <w:vAlign w:val="center"/>
            <w:tcMar>
              <w:top w:w="90" w:type="dxa"/>
              <w:left w:w="90" w:type="dxa"/>
              <w:bottom w:w="90" w:type="dxa"/>
              <w:right w:w="90" w:type="dxa"/>
            </w:tcMar>
          </w:tcPr>
          <w:p>
            <w:pPr>
              <w:spacing w:after="0"/>
            </w:pPr>
            <w:r>
              <w:rPr>
                <w:sz w:val="16"/>
              </w:rPr>
              <w:t>Propulsion type</w:t>
            </w:r>
          </w:p>
        </w:tc>
        <w:tc>
          <w:tcPr>
            <w:tcW w:type="dxa" w:w="3120"/>
            <w:vAlign w:val="center"/>
            <w:tcMar>
              <w:top w:w="90" w:type="dxa"/>
              <w:left w:w="90" w:type="dxa"/>
              <w:bottom w:w="90" w:type="dxa"/>
              <w:right w:w="90" w:type="dxa"/>
            </w:tcMar>
          </w:tcPr>
          <w:p>
            <w:pPr>
              <w:spacing w:after="0"/>
            </w:pPr>
            <w:r>
              <w:rPr>
                <w:sz w:val="16"/>
              </w:rPr>
              <w:t>Installed or external; see baseline</w:t>
            </w:r>
          </w:p>
        </w:tc>
        <w:tc>
          <w:tcPr>
            <w:tcW w:type="dxa" w:w="3120"/>
            <w:vAlign w:val="center"/>
            <w:tcMar>
              <w:top w:w="90" w:type="dxa"/>
              <w:left w:w="90" w:type="dxa"/>
              <w:bottom w:w="90" w:type="dxa"/>
              <w:right w:w="90" w:type="dxa"/>
            </w:tcMar>
          </w:tcPr>
          <w:p>
            <w:pPr>
              <w:spacing w:after="0"/>
            </w:pPr>
            <w:r>
              <w:rPr>
                <w:sz w:val="16"/>
              </w:rPr>
              <w:t>—</w:t>
            </w:r>
          </w:p>
        </w:tc>
      </w:tr>
      <w:tr>
        <w:tc>
          <w:tcPr>
            <w:tcW w:type="dxa" w:w="3120"/>
            <w:vAlign w:val="center"/>
            <w:shd w:fill="F6F8FA"/>
            <w:tcMar>
              <w:top w:w="90" w:type="dxa"/>
              <w:left w:w="90" w:type="dxa"/>
              <w:bottom w:w="90" w:type="dxa"/>
              <w:right w:w="90" w:type="dxa"/>
            </w:tcMar>
          </w:tcPr>
          <w:p>
            <w:pPr>
              <w:spacing w:after="0"/>
            </w:pPr>
            <w:r>
              <w:rPr>
                <w:sz w:val="16"/>
              </w:rPr>
              <w:t>Initial unit mass</w:t>
            </w:r>
          </w:p>
        </w:tc>
        <w:tc>
          <w:tcPr>
            <w:tcW w:type="dxa" w:w="3120"/>
            <w:vAlign w:val="center"/>
            <w:shd w:fill="F6F8FA"/>
            <w:tcMar>
              <w:top w:w="90" w:type="dxa"/>
              <w:left w:w="90" w:type="dxa"/>
              <w:bottom w:w="90" w:type="dxa"/>
              <w:right w:w="90" w:type="dxa"/>
            </w:tcMar>
          </w:tcPr>
          <w:p>
            <w:pPr>
              <w:spacing w:after="0"/>
            </w:pPr>
            <w:r>
              <w:rPr>
                <w:sz w:val="16"/>
              </w:rPr>
              <w:t>95</w:t>
            </w:r>
          </w:p>
        </w:tc>
        <w:tc>
          <w:tcPr>
            <w:tcW w:type="dxa" w:w="3120"/>
            <w:vAlign w:val="center"/>
            <w:shd w:fill="F6F8FA"/>
            <w:tcMar>
              <w:top w:w="90" w:type="dxa"/>
              <w:left w:w="90" w:type="dxa"/>
              <w:bottom w:w="90" w:type="dxa"/>
              <w:right w:w="90" w:type="dxa"/>
            </w:tcMar>
          </w:tcPr>
          <w:p>
            <w:pPr>
              <w:spacing w:after="0"/>
            </w:pPr>
            <w:r>
              <w:rPr>
                <w:sz w:val="16"/>
              </w:rPr>
              <w:t>kg</w:t>
            </w:r>
          </w:p>
        </w:tc>
      </w:tr>
      <w:tr>
        <w:tc>
          <w:tcPr>
            <w:tcW w:type="dxa" w:w="3120"/>
            <w:vAlign w:val="center"/>
            <w:tcMar>
              <w:top w:w="90" w:type="dxa"/>
              <w:left w:w="90" w:type="dxa"/>
              <w:bottom w:w="90" w:type="dxa"/>
              <w:right w:w="90" w:type="dxa"/>
            </w:tcMar>
          </w:tcPr>
          <w:p>
            <w:pPr>
              <w:spacing w:after="0"/>
            </w:pPr>
            <w:r>
              <w:rPr>
                <w:sz w:val="16"/>
              </w:rPr>
              <w:t>Reference performance</w:t>
            </w:r>
          </w:p>
        </w:tc>
        <w:tc>
          <w:tcPr>
            <w:tcW w:type="dxa" w:w="3120"/>
            <w:vAlign w:val="center"/>
            <w:tcMar>
              <w:top w:w="90" w:type="dxa"/>
              <w:left w:w="90" w:type="dxa"/>
              <w:bottom w:w="90" w:type="dxa"/>
              <w:right w:w="90" w:type="dxa"/>
            </w:tcMar>
          </w:tcPr>
          <w:p>
            <w:pPr>
              <w:spacing w:after="0"/>
            </w:pPr>
            <w:r>
              <w:rPr>
                <w:sz w:val="16"/>
              </w:rPr>
              <w:t>None; hosted equipment has no propulsion. Launch restraint and on-orbit installation are in the delivery scope.</w:t>
            </w:r>
          </w:p>
        </w:tc>
        <w:tc>
          <w:tcPr>
            <w:tcW w:type="dxa" w:w="3120"/>
            <w:vAlign w:val="center"/>
            <w:tcMar>
              <w:top w:w="90" w:type="dxa"/>
              <w:left w:w="90" w:type="dxa"/>
              <w:bottom w:w="90" w:type="dxa"/>
              <w:right w:w="90" w:type="dxa"/>
            </w:tcMar>
          </w:tcPr>
          <w:p>
            <w:pPr>
              <w:spacing w:after="0"/>
            </w:pPr>
            <w:r>
              <w:rPr>
                <w:sz w:val="16"/>
              </w:rPr>
              <w:t>m/s or N/A</w:t>
            </w:r>
          </w:p>
        </w:tc>
      </w:tr>
      <w:tr>
        <w:tc>
          <w:tcPr>
            <w:tcW w:type="dxa" w:w="3120"/>
            <w:vAlign w:val="center"/>
            <w:shd w:fill="F6F8FA"/>
            <w:tcMar>
              <w:top w:w="90" w:type="dxa"/>
              <w:left w:w="90" w:type="dxa"/>
              <w:bottom w:w="90" w:type="dxa"/>
              <w:right w:w="90" w:type="dxa"/>
            </w:tcMar>
          </w:tcPr>
          <w:p>
            <w:pPr>
              <w:spacing w:after="0"/>
            </w:pPr>
            <w:r>
              <w:rPr>
                <w:sz w:val="16"/>
              </w:rPr>
              <w:t>Fuel / propellant allocation</w:t>
            </w:r>
          </w:p>
        </w:tc>
        <w:tc>
          <w:tcPr>
            <w:tcW w:type="dxa" w:w="3120"/>
            <w:vAlign w:val="center"/>
            <w:shd w:fill="F6F8FA"/>
            <w:tcMar>
              <w:top w:w="90" w:type="dxa"/>
              <w:left w:w="90" w:type="dxa"/>
              <w:bottom w:w="90" w:type="dxa"/>
              <w:right w:w="90" w:type="dxa"/>
            </w:tcMar>
          </w:tcPr>
          <w:p>
            <w:pPr>
              <w:spacing w:after="0"/>
            </w:pPr>
            <w:r>
              <w:rPr>
                <w:sz w:val="16"/>
              </w:rPr>
              <w:t>No propulsion. The 25 kg launch packaging is removed after on-orbit installation and is excluded from installed mass.</w:t>
            </w:r>
          </w:p>
        </w:tc>
        <w:tc>
          <w:tcPr>
            <w:tcW w:type="dxa" w:w="3120"/>
            <w:vAlign w:val="center"/>
            <w:shd w:fill="F6F8FA"/>
            <w:tcMar>
              <w:top w:w="90" w:type="dxa"/>
              <w:left w:w="90" w:type="dxa"/>
              <w:bottom w:w="90" w:type="dxa"/>
              <w:right w:w="90" w:type="dxa"/>
            </w:tcMar>
          </w:tcPr>
          <w:p>
            <w:pPr>
              <w:spacing w:after="0"/>
            </w:pPr>
            <w:r>
              <w:rPr>
                <w:sz w:val="16"/>
              </w:rPr>
              <w:t>kg / description</w:t>
            </w:r>
          </w:p>
        </w:tc>
      </w:tr>
      <w:tr>
        <w:tc>
          <w:tcPr>
            <w:tcW w:type="dxa" w:w="3120"/>
            <w:vAlign w:val="center"/>
            <w:tcMar>
              <w:top w:w="90" w:type="dxa"/>
              <w:left w:w="90" w:type="dxa"/>
              <w:bottom w:w="90" w:type="dxa"/>
              <w:right w:w="90" w:type="dxa"/>
            </w:tcMar>
          </w:tcPr>
          <w:p>
            <w:pPr>
              <w:spacing w:after="0"/>
            </w:pPr>
            <w:r>
              <w:rPr>
                <w:sz w:val="16"/>
              </w:rPr>
              <w:t>Performance reserve</w:t>
            </w:r>
          </w:p>
        </w:tc>
        <w:tc>
          <w:tcPr>
            <w:tcW w:type="dxa" w:w="3120"/>
            <w:vAlign w:val="center"/>
            <w:tcMar>
              <w:top w:w="90" w:type="dxa"/>
              <w:left w:w="90" w:type="dxa"/>
              <w:bottom w:w="90" w:type="dxa"/>
              <w:right w:w="90" w:type="dxa"/>
            </w:tcMar>
          </w:tcPr>
          <w:p>
            <w:pPr>
              <w:spacing w:after="0"/>
            </w:pPr>
            <w:r>
              <w:rPr>
                <w:sz w:val="16"/>
              </w:rPr>
              <w:t>Verify at PDR</w:t>
            </w:r>
          </w:p>
        </w:tc>
        <w:tc>
          <w:tcPr>
            <w:tcW w:type="dxa" w:w="3120"/>
            <w:vAlign w:val="center"/>
            <w:tcMar>
              <w:top w:w="90" w:type="dxa"/>
              <w:left w:w="90" w:type="dxa"/>
              <w:bottom w:w="90" w:type="dxa"/>
              <w:right w:w="90" w:type="dxa"/>
            </w:tcMar>
          </w:tcPr>
          <w:p>
            <w:pPr>
              <w:spacing w:after="0"/>
            </w:pPr>
            <w:r>
              <w:rPr>
                <w:sz w:val="16"/>
              </w:rPr>
              <w:t>m/s</w:t>
            </w:r>
          </w:p>
        </w:tc>
      </w:tr>
      <w:tr>
        <w:tc>
          <w:tcPr>
            <w:tcW w:type="dxa" w:w="3120"/>
            <w:vAlign w:val="center"/>
            <w:shd w:fill="F6F8FA"/>
            <w:tcMar>
              <w:top w:w="90" w:type="dxa"/>
              <w:left w:w="90" w:type="dxa"/>
              <w:bottom w:w="90" w:type="dxa"/>
              <w:right w:w="90" w:type="dxa"/>
            </w:tcMar>
          </w:tcPr>
          <w:p>
            <w:pPr>
              <w:spacing w:after="0"/>
            </w:pPr>
            <w:r>
              <w:rPr>
                <w:sz w:val="16"/>
              </w:rPr>
              <w:t>Residual accounting</w:t>
            </w:r>
          </w:p>
        </w:tc>
        <w:tc>
          <w:tcPr>
            <w:tcW w:type="dxa" w:w="3120"/>
            <w:vAlign w:val="center"/>
            <w:shd w:fill="F6F8FA"/>
            <w:tcMar>
              <w:top w:w="90" w:type="dxa"/>
              <w:left w:w="90" w:type="dxa"/>
              <w:bottom w:w="90" w:type="dxa"/>
              <w:right w:w="90" w:type="dxa"/>
            </w:tcMar>
          </w:tcPr>
          <w:p>
            <w:pPr>
              <w:spacing w:after="0"/>
            </w:pPr>
            <w:r>
              <w:rPr>
                <w:sz w:val="16"/>
              </w:rPr>
              <w:t>Required in final mass budget</w:t>
            </w:r>
          </w:p>
        </w:tc>
        <w:tc>
          <w:tcPr>
            <w:tcW w:type="dxa" w:w="3120"/>
            <w:vAlign w:val="center"/>
            <w:shd w:fill="F6F8FA"/>
            <w:tcMar>
              <w:top w:w="90" w:type="dxa"/>
              <w:left w:w="90" w:type="dxa"/>
              <w:bottom w:w="90" w:type="dxa"/>
              <w:right w:w="90" w:type="dxa"/>
            </w:tcMar>
          </w:tcPr>
          <w:p>
            <w:pPr>
              <w:spacing w:after="0"/>
            </w:pPr>
            <w:r>
              <w:rPr>
                <w:sz w:val="16"/>
              </w:rPr>
              <w:t>kg</w:t>
            </w:r>
          </w:p>
        </w:tc>
      </w:tr>
    </w:tbl>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Maneuver / mobility element</w:t>
            </w:r>
          </w:p>
        </w:tc>
        <w:tc>
          <w:tcPr>
            <w:tcW w:type="dxa" w:w="4680"/>
            <w:vAlign w:val="center"/>
            <w:shd w:fill="DDE6EF"/>
            <w:tcMar>
              <w:top w:w="90" w:type="dxa"/>
              <w:left w:w="90" w:type="dxa"/>
              <w:bottom w:w="90" w:type="dxa"/>
              <w:right w:w="90" w:type="dxa"/>
            </w:tcMar>
          </w:tcPr>
          <w:p>
            <w:pPr>
              <w:spacing w:after="0"/>
            </w:pPr>
            <w:r>
              <w:rPr>
                <w:b/>
                <w:sz w:val="16"/>
              </w:rPr>
              <w:t>Allocation / assumption</w:t>
            </w:r>
          </w:p>
        </w:tc>
      </w:tr>
      <w:tr>
        <w:tc>
          <w:tcPr>
            <w:tcW w:type="dxa" w:w="4680"/>
            <w:vAlign w:val="center"/>
            <w:tcMar>
              <w:top w:w="90" w:type="dxa"/>
              <w:left w:w="90" w:type="dxa"/>
              <w:bottom w:w="90" w:type="dxa"/>
              <w:right w:w="90" w:type="dxa"/>
            </w:tcMar>
          </w:tcPr>
          <w:p>
            <w:pPr>
              <w:spacing w:after="0"/>
            </w:pPr>
            <w:r>
              <w:rPr>
                <w:sz w:val="16"/>
              </w:rPr>
              <w:t>Initial injection or landing</w:t>
            </w:r>
          </w:p>
        </w:tc>
        <w:tc>
          <w:tcPr>
            <w:tcW w:type="dxa" w:w="4680"/>
            <w:vAlign w:val="center"/>
            <w:tcMar>
              <w:top w:w="90" w:type="dxa"/>
              <w:left w:w="90" w:type="dxa"/>
              <w:bottom w:w="90" w:type="dxa"/>
              <w:right w:w="90" w:type="dxa"/>
            </w:tcMar>
          </w:tcPr>
          <w:p>
            <w:pPr>
              <w:spacing w:after="0"/>
            </w:pPr>
            <w:r>
              <w:rPr>
                <w:sz w:val="16"/>
              </w:rPr>
              <w:t>Included in contracted service unless stated otherwise</w:t>
            </w:r>
          </w:p>
        </w:tc>
      </w:tr>
      <w:tr>
        <w:tc>
          <w:tcPr>
            <w:tcW w:type="dxa" w:w="4680"/>
            <w:vAlign w:val="center"/>
            <w:shd w:fill="F6F8FA"/>
            <w:tcMar>
              <w:top w:w="90" w:type="dxa"/>
              <w:left w:w="90" w:type="dxa"/>
              <w:bottom w:w="90" w:type="dxa"/>
              <w:right w:w="90" w:type="dxa"/>
            </w:tcMar>
          </w:tcPr>
          <w:p>
            <w:pPr>
              <w:spacing w:after="0"/>
            </w:pPr>
            <w:r>
              <w:rPr>
                <w:sz w:val="16"/>
              </w:rPr>
              <w:t>Operational maintenance</w:t>
            </w:r>
          </w:p>
        </w:tc>
        <w:tc>
          <w:tcPr>
            <w:tcW w:type="dxa" w:w="4680"/>
            <w:vAlign w:val="center"/>
            <w:shd w:fill="F6F8FA"/>
            <w:tcMar>
              <w:top w:w="90" w:type="dxa"/>
              <w:left w:w="90" w:type="dxa"/>
              <w:bottom w:w="90" w:type="dxa"/>
              <w:right w:w="90" w:type="dxa"/>
            </w:tcMar>
          </w:tcPr>
          <w:p>
            <w:pPr>
              <w:spacing w:after="0"/>
            </w:pPr>
            <w:r>
              <w:rPr>
                <w:sz w:val="16"/>
              </w:rPr>
              <w:t>Fixed installation on a pressurized habitat rack; no independent trajectory, pointing or station keeping.</w:t>
            </w:r>
          </w:p>
        </w:tc>
      </w:tr>
      <w:tr>
        <w:tc>
          <w:tcPr>
            <w:tcW w:type="dxa" w:w="4680"/>
            <w:vAlign w:val="center"/>
            <w:tcMar>
              <w:top w:w="90" w:type="dxa"/>
              <w:left w:w="90" w:type="dxa"/>
              <w:bottom w:w="90" w:type="dxa"/>
              <w:right w:w="90" w:type="dxa"/>
            </w:tcMar>
          </w:tcPr>
          <w:p>
            <w:pPr>
              <w:spacing w:after="0"/>
            </w:pPr>
            <w:r>
              <w:rPr>
                <w:sz w:val="16"/>
              </w:rPr>
              <w:t>Navigation and correction</w:t>
            </w:r>
          </w:p>
        </w:tc>
        <w:tc>
          <w:tcPr>
            <w:tcW w:type="dxa" w:w="4680"/>
            <w:vAlign w:val="center"/>
            <w:tcMar>
              <w:top w:w="90" w:type="dxa"/>
              <w:left w:w="90" w:type="dxa"/>
              <w:bottom w:w="90" w:type="dxa"/>
              <w:right w:w="90" w:type="dxa"/>
            </w:tcMar>
          </w:tcPr>
          <w:p>
            <w:pPr>
              <w:spacing w:after="0"/>
            </w:pPr>
            <w:r>
              <w:rPr>
                <w:sz w:val="16"/>
              </w:rPr>
              <w:t>None; hosted equipment has no propulsion. Launch restraint and on-orbit installation are in the delivery scope.</w:t>
            </w:r>
          </w:p>
        </w:tc>
      </w:tr>
      <w:tr>
        <w:tc>
          <w:tcPr>
            <w:tcW w:type="dxa" w:w="4680"/>
            <w:vAlign w:val="center"/>
            <w:shd w:fill="F6F8FA"/>
            <w:tcMar>
              <w:top w:w="90" w:type="dxa"/>
              <w:left w:w="90" w:type="dxa"/>
              <w:bottom w:w="90" w:type="dxa"/>
              <w:right w:w="90" w:type="dxa"/>
            </w:tcMar>
          </w:tcPr>
          <w:p>
            <w:pPr>
              <w:spacing w:after="0"/>
            </w:pPr>
            <w:r>
              <w:rPr>
                <w:sz w:val="16"/>
              </w:rPr>
              <w:t>Contingency and residuals</w:t>
            </w:r>
          </w:p>
        </w:tc>
        <w:tc>
          <w:tcPr>
            <w:tcW w:type="dxa" w:w="4680"/>
            <w:vAlign w:val="center"/>
            <w:shd w:fill="F6F8FA"/>
            <w:tcMar>
              <w:top w:w="90" w:type="dxa"/>
              <w:left w:w="90" w:type="dxa"/>
              <w:bottom w:w="90" w:type="dxa"/>
              <w:right w:w="90" w:type="dxa"/>
            </w:tcMar>
          </w:tcPr>
          <w:p>
            <w:pPr>
              <w:spacing w:after="0"/>
            </w:pPr>
            <w:r>
              <w:rPr>
                <w:sz w:val="16"/>
              </w:rPr>
              <w:t>Explicit reserve controlled in Part B / Part C</w:t>
            </w:r>
          </w:p>
        </w:tc>
      </w:tr>
      <w:tr>
        <w:tc>
          <w:tcPr>
            <w:tcW w:type="dxa" w:w="4680"/>
            <w:vAlign w:val="center"/>
            <w:tcMar>
              <w:top w:w="90" w:type="dxa"/>
              <w:left w:w="90" w:type="dxa"/>
              <w:bottom w:w="90" w:type="dxa"/>
              <w:right w:w="90" w:type="dxa"/>
            </w:tcMar>
          </w:tcPr>
          <w:p>
            <w:pPr>
              <w:spacing w:after="0"/>
            </w:pPr>
            <w:r>
              <w:rPr>
                <w:sz w:val="16"/>
              </w:rPr>
              <w:t>Total capability</w:t>
            </w:r>
          </w:p>
        </w:tc>
        <w:tc>
          <w:tcPr>
            <w:tcW w:type="dxa" w:w="4680"/>
            <w:vAlign w:val="center"/>
            <w:tcMar>
              <w:top w:w="90" w:type="dxa"/>
              <w:left w:w="90" w:type="dxa"/>
              <w:bottom w:w="90" w:type="dxa"/>
              <w:right w:w="90" w:type="dxa"/>
            </w:tcMar>
          </w:tcPr>
          <w:p>
            <w:pPr>
              <w:spacing w:after="0"/>
            </w:pPr>
            <w:r>
              <w:rPr>
                <w:sz w:val="16"/>
              </w:rPr>
              <w:t>Reconcile with No propulsion. The 25 kg launch packaging is removed after on-orbit installation and is exclude</w:t>
            </w:r>
          </w:p>
        </w:tc>
      </w:tr>
    </w:tbl>
    <w:p>
      <w:pPr>
        <w:pStyle w:val="Heading3"/>
      </w:pPr>
      <w:r>
        <w:t>Telemetry, Tracking and Command</w:t>
      </w:r>
    </w:p>
    <w:p>
      <w:pPr/>
      <w:r>
        <w:t>Each session creates ≤100 MB raw/calibration data; 192 sessions produce ≤19.2 GB before versioning. The ≥10 Mb/s host interface transfers a 100 MB scan in &lt;2 min absent overhead.</w:t>
      </w:r>
    </w:p>
    <w:p>
      <w:pPr/>
      <w:r>
        <w:t>The final link assessment shall include transmitter power, antenna gain or host data-service rate, geometry, coding, weather where relevant and a minimum allocated margin. Distinguish command/control packets, health telemetry, raw measurements and user or science products. A link outage analysis is required before ground-service capacity is baselined.</w:t>
      </w:r>
    </w:p>
    <w:p>
      <w:pPr/>
      <w:r>
        <w:t>The communications baseline includes Protected habitat data interface ≥10 Mb/s; buffered store-and-forward transfer with role-based access. The contact budget carries acquisition, engineering telemetry, protocol framing, retransmission and unavailable weather or host periods. The sizing check compares usable transferred bytes per contact with ≤50 MB/day protected clinical and engineering data; no raw identifying data in open archive and any higher burst case.</w:t>
      </w:r>
    </w:p>
    <w:p>
      <w:pPr/>
      <w:r>
        <w:t>A separate low-rate command path or host maintenance interface shall support diagnosis after the prime mission-data path becomes unavailable. No unauthenticated measurement data can alter safety-critical command parameters.</w:t>
      </w:r>
    </w:p>
    <w:p>
      <w:pPr>
        <w:pStyle w:val="Heading2"/>
      </w:pPr>
      <w:r>
        <w:t>Payload</w:t>
      </w:r>
    </w:p>
    <w:p>
      <w:pPr/>
      <w:r>
        <w:t>The payload or process equipment is divided into dual-energy peripheral scan head, microgravity positioning restraint and calibration and protected data unit. Each element has a separate delivered mass, operating load, mode list, failure assessment and calibration requirement.</w:t>
      </w:r>
    </w:p>
    <w:p>
      <w:pPr>
        <w:pStyle w:val="Heading3"/>
      </w:pPr>
      <w:r>
        <w:t>Dual-energy peripheral scan head</w:t>
      </w:r>
    </w:p>
    <w:p>
      <w:pPr/>
      <w:r>
        <w:t>60 kg / 180 W during scan; forearm and heel regions; areal density output in g/cm²; ≤0.01 mSv effective-dose planning target per scan, subject to formal radiation-safety qualification.</w:t>
      </w:r>
    </w:p>
    <w:p>
      <w:pPr/>
      <w:r>
        <w:t>The element is accepted by a traced performance test across the specified environment. Detector or process response, temporal stability, alignment and throughput are measured, not inferred from component labels. Operational anomalies are flagged in the Level 1 record.</w:t>
      </w:r>
    </w:p>
    <w:p>
      <w:pPr/>
      <w:r>
        <w:t>The technical budget traces the stated measurement scale to a physical sampling process and detector or process limits. The performance model shall state coverage, dynamic range, timing, throughput, noise, calibration interval and data-rejection logic. Acceptance reports both the verified central value and its uncertainty.</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Dual-energy peripheral scan head</w:t>
            </w:r>
          </w:p>
        </w:tc>
      </w:tr>
      <w:tr>
        <w:tc>
          <w:tcPr>
            <w:tcW w:type="dxa" w:w="4680"/>
            <w:vAlign w:val="center"/>
            <w:shd w:fill="F6F8FA"/>
            <w:tcMar>
              <w:top w:w="90" w:type="dxa"/>
              <w:left w:w="90" w:type="dxa"/>
              <w:bottom w:w="90" w:type="dxa"/>
              <w:right w:w="90" w:type="dxa"/>
            </w:tcMar>
          </w:tcPr>
          <w:p>
            <w:pPr>
              <w:spacing w:after="0"/>
            </w:pPr>
            <w:r>
              <w:rPr>
                <w:sz w:val="16"/>
              </w:rPr>
              <w:t>Measured performance</w:t>
            </w:r>
          </w:p>
        </w:tc>
        <w:tc>
          <w:tcPr>
            <w:tcW w:type="dxa" w:w="4680"/>
            <w:vAlign w:val="center"/>
            <w:shd w:fill="F6F8FA"/>
            <w:tcMar>
              <w:top w:w="90" w:type="dxa"/>
              <w:left w:w="90" w:type="dxa"/>
              <w:bottom w:w="90" w:type="dxa"/>
              <w:right w:w="90" w:type="dxa"/>
            </w:tcMar>
          </w:tcPr>
          <w:p>
            <w:pPr>
              <w:spacing w:after="0"/>
            </w:pPr>
            <w:r>
              <w:rPr>
                <w:sz w:val="16"/>
              </w:rPr>
              <w:t>60 kg / 180 W during scan; forearm and heel regions; areal density output in g/cm²; ≤0.01 mSv effective-dose planning target per scan, subject to formal radiation-safety qualification.</w:t>
            </w:r>
          </w:p>
        </w:tc>
      </w:tr>
      <w:tr>
        <w:tc>
          <w:tcPr>
            <w:tcW w:type="dxa" w:w="4680"/>
            <w:vAlign w:val="center"/>
            <w:tcMar>
              <w:top w:w="90" w:type="dxa"/>
              <w:left w:w="90" w:type="dxa"/>
              <w:bottom w:w="90" w:type="dxa"/>
              <w:right w:w="90" w:type="dxa"/>
            </w:tcMar>
          </w:tcPr>
          <w:p>
            <w:pPr>
              <w:spacing w:after="0"/>
            </w:pPr>
            <w:r>
              <w:rPr>
                <w:sz w:val="16"/>
              </w:rPr>
              <w:t>Unit-level calibration</w:t>
            </w:r>
          </w:p>
        </w:tc>
        <w:tc>
          <w:tcPr>
            <w:tcW w:type="dxa" w:w="4680"/>
            <w:vAlign w:val="center"/>
            <w:tcMar>
              <w:top w:w="90" w:type="dxa"/>
              <w:left w:w="90" w:type="dxa"/>
              <w:bottom w:w="90" w:type="dxa"/>
              <w:right w:w="90" w:type="dxa"/>
            </w:tcMar>
          </w:tcPr>
          <w:p>
            <w:pPr>
              <w:spacing w:after="0"/>
            </w:pPr>
            <w:r>
              <w:rPr>
                <w:sz w:val="16"/>
              </w:rPr>
              <w:t>Before integration and after environmental qualification</w:t>
            </w:r>
          </w:p>
        </w:tc>
      </w:tr>
      <w:tr>
        <w:tc>
          <w:tcPr>
            <w:tcW w:type="dxa" w:w="4680"/>
            <w:vAlign w:val="center"/>
            <w:shd w:fill="F6F8FA"/>
            <w:tcMar>
              <w:top w:w="90" w:type="dxa"/>
              <w:left w:w="90" w:type="dxa"/>
              <w:bottom w:w="90" w:type="dxa"/>
              <w:right w:w="90" w:type="dxa"/>
            </w:tcMar>
          </w:tcPr>
          <w:p>
            <w:pPr>
              <w:spacing w:after="0"/>
            </w:pPr>
            <w:r>
              <w:rPr>
                <w:sz w:val="16"/>
              </w:rPr>
              <w:t>Electrical interface</w:t>
            </w:r>
          </w:p>
        </w:tc>
        <w:tc>
          <w:tcPr>
            <w:tcW w:type="dxa" w:w="4680"/>
            <w:vAlign w:val="center"/>
            <w:shd w:fill="F6F8FA"/>
            <w:tcMar>
              <w:top w:w="90" w:type="dxa"/>
              <w:left w:w="90" w:type="dxa"/>
              <w:bottom w:w="90" w:type="dxa"/>
              <w:right w:w="90" w:type="dxa"/>
            </w:tcMar>
          </w:tcPr>
          <w:p>
            <w:pPr>
              <w:spacing w:after="0"/>
            </w:pPr>
            <w:r>
              <w:rPr>
                <w:sz w:val="16"/>
              </w:rPr>
              <w:t>Protected distribution and commanded safe state</w:t>
            </w:r>
          </w:p>
        </w:tc>
      </w:tr>
      <w:tr>
        <w:tc>
          <w:tcPr>
            <w:tcW w:type="dxa" w:w="4680"/>
            <w:vAlign w:val="center"/>
            <w:tcMar>
              <w:top w:w="90" w:type="dxa"/>
              <w:left w:w="90" w:type="dxa"/>
              <w:bottom w:w="90" w:type="dxa"/>
              <w:right w:w="90" w:type="dxa"/>
            </w:tcMar>
          </w:tcPr>
          <w:p>
            <w:pPr>
              <w:spacing w:after="0"/>
            </w:pPr>
            <w:r>
              <w:rPr>
                <w:sz w:val="16"/>
              </w:rPr>
              <w:t>Data interface</w:t>
            </w:r>
          </w:p>
        </w:tc>
        <w:tc>
          <w:tcPr>
            <w:tcW w:type="dxa" w:w="4680"/>
            <w:vAlign w:val="center"/>
            <w:tcMar>
              <w:top w:w="90" w:type="dxa"/>
              <w:left w:w="90" w:type="dxa"/>
              <w:bottom w:w="90" w:type="dxa"/>
              <w:right w:w="90" w:type="dxa"/>
            </w:tcMar>
          </w:tcPr>
          <w:p>
            <w:pPr>
              <w:spacing w:after="0"/>
            </w:pPr>
            <w:r>
              <w:rPr>
                <w:sz w:val="16"/>
              </w:rPr>
              <w:t>Time-tagged raw records plus status and quality flags</w:t>
            </w:r>
          </w:p>
        </w:tc>
      </w:tr>
      <w:tr>
        <w:tc>
          <w:tcPr>
            <w:tcW w:type="dxa" w:w="4680"/>
            <w:vAlign w:val="center"/>
            <w:shd w:fill="F6F8FA"/>
            <w:tcMar>
              <w:top w:w="90" w:type="dxa"/>
              <w:left w:w="90" w:type="dxa"/>
              <w:bottom w:w="90" w:type="dxa"/>
              <w:right w:w="90" w:type="dxa"/>
            </w:tcMar>
          </w:tcPr>
          <w:p>
            <w:pPr>
              <w:spacing w:after="0"/>
            </w:pPr>
            <w:r>
              <w:rPr>
                <w:sz w:val="16"/>
              </w:rPr>
              <w:t>Environmental tolerance</w:t>
            </w:r>
          </w:p>
        </w:tc>
        <w:tc>
          <w:tcPr>
            <w:tcW w:type="dxa" w:w="4680"/>
            <w:vAlign w:val="center"/>
            <w:shd w:fill="F6F8FA"/>
            <w:tcMar>
              <w:top w:w="90" w:type="dxa"/>
              <w:left w:w="90" w:type="dxa"/>
              <w:bottom w:w="90" w:type="dxa"/>
              <w:right w:w="90" w:type="dxa"/>
            </w:tcMar>
          </w:tcPr>
          <w:p>
            <w:pPr>
              <w:spacing w:after="0"/>
            </w:pPr>
            <w:r>
              <w:rPr>
                <w:sz w:val="16"/>
              </w:rPr>
              <w:t>Cabin 18–27 °C; scan electronics surface ≤40 °C and enclosure heat rejection ≤180 W during an at most 30-minute session.</w:t>
            </w:r>
          </w:p>
        </w:tc>
      </w:tr>
      <w:tr>
        <w:tc>
          <w:tcPr>
            <w:tcW w:type="dxa" w:w="4680"/>
            <w:vAlign w:val="center"/>
            <w:tcMar>
              <w:top w:w="90" w:type="dxa"/>
              <w:left w:w="90" w:type="dxa"/>
              <w:bottom w:w="90" w:type="dxa"/>
              <w:right w:w="90" w:type="dxa"/>
            </w:tcMar>
          </w:tcPr>
          <w:p>
            <w:pPr>
              <w:spacing w:after="0"/>
            </w:pPr>
            <w:r>
              <w:rPr>
                <w:sz w:val="16"/>
              </w:rPr>
              <w:t>Mass accounting</w:t>
            </w:r>
          </w:p>
        </w:tc>
        <w:tc>
          <w:tcPr>
            <w:tcW w:type="dxa" w:w="4680"/>
            <w:vAlign w:val="center"/>
            <w:tcMar>
              <w:top w:w="90" w:type="dxa"/>
              <w:left w:w="90" w:type="dxa"/>
              <w:bottom w:w="90" w:type="dxa"/>
              <w:right w:w="90" w:type="dxa"/>
            </w:tcMar>
          </w:tcPr>
          <w:p>
            <w:pPr>
              <w:spacing w:after="0"/>
            </w:pPr>
            <w:r>
              <w:rPr>
                <w:sz w:val="16"/>
              </w:rPr>
              <w:t>Within 95 kg payload or experiment allocation</w:t>
            </w:r>
          </w:p>
        </w:tc>
      </w:tr>
      <w:tr>
        <w:tc>
          <w:tcPr>
            <w:tcW w:type="dxa" w:w="4680"/>
            <w:vAlign w:val="center"/>
            <w:shd w:fill="F6F8FA"/>
            <w:tcMar>
              <w:top w:w="90" w:type="dxa"/>
              <w:left w:w="90" w:type="dxa"/>
              <w:bottom w:w="90" w:type="dxa"/>
              <w:right w:w="90" w:type="dxa"/>
            </w:tcMar>
          </w:tcPr>
          <w:p>
            <w:pPr>
              <w:spacing w:after="0"/>
            </w:pPr>
            <w:r>
              <w:rPr>
                <w:sz w:val="16"/>
              </w:rPr>
              <w:t>Verification</w:t>
            </w:r>
          </w:p>
        </w:tc>
        <w:tc>
          <w:tcPr>
            <w:tcW w:type="dxa" w:w="4680"/>
            <w:vAlign w:val="center"/>
            <w:shd w:fill="F6F8FA"/>
            <w:tcMar>
              <w:top w:w="90" w:type="dxa"/>
              <w:left w:w="90" w:type="dxa"/>
              <w:bottom w:w="90" w:type="dxa"/>
              <w:right w:w="90" w:type="dxa"/>
            </w:tcMar>
          </w:tcPr>
          <w:p>
            <w:pPr>
              <w:spacing w:after="0"/>
            </w:pPr>
            <w:r>
              <w:rPr>
                <w:sz w:val="16"/>
              </w:rPr>
              <w:t>Test against mission-level success criterion</w:t>
            </w:r>
          </w:p>
        </w:tc>
      </w:tr>
      <w:tr>
        <w:tc>
          <w:tcPr>
            <w:tcW w:type="dxa" w:w="4680"/>
            <w:vAlign w:val="center"/>
            <w:tcMar>
              <w:top w:w="90" w:type="dxa"/>
              <w:left w:w="90" w:type="dxa"/>
              <w:bottom w:w="90" w:type="dxa"/>
              <w:right w:w="90" w:type="dxa"/>
            </w:tcMar>
          </w:tcPr>
          <w:p>
            <w:pPr>
              <w:spacing w:after="0"/>
            </w:pPr>
            <w:r>
              <w:rPr>
                <w:sz w:val="16"/>
              </w:rPr>
              <w:t>Operations mode</w:t>
            </w:r>
          </w:p>
        </w:tc>
        <w:tc>
          <w:tcPr>
            <w:tcW w:type="dxa" w:w="4680"/>
            <w:vAlign w:val="center"/>
            <w:tcMar>
              <w:top w:w="90" w:type="dxa"/>
              <w:left w:w="90" w:type="dxa"/>
              <w:bottom w:w="90" w:type="dxa"/>
              <w:right w:w="90" w:type="dxa"/>
            </w:tcMar>
          </w:tcPr>
          <w:p>
            <w:pPr>
              <w:spacing w:after="0"/>
            </w:pPr>
            <w:r>
              <w:rPr>
                <w:sz w:val="16"/>
              </w:rPr>
              <w:t>Only when power, thermal and link margins permit</w:t>
            </w:r>
          </w:p>
        </w:tc>
      </w:tr>
      <w:tr>
        <w:tc>
          <w:tcPr>
            <w:tcW w:type="dxa" w:w="4680"/>
            <w:vAlign w:val="center"/>
            <w:shd w:fill="F6F8FA"/>
            <w:tcMar>
              <w:top w:w="90" w:type="dxa"/>
              <w:left w:w="90" w:type="dxa"/>
              <w:bottom w:w="90" w:type="dxa"/>
              <w:right w:w="90" w:type="dxa"/>
            </w:tcMar>
          </w:tcPr>
          <w:p>
            <w:pPr>
              <w:spacing w:after="0"/>
            </w:pPr>
            <w:r>
              <w:rPr>
                <w:sz w:val="16"/>
              </w:rPr>
              <w:t>Fault response</w:t>
            </w:r>
          </w:p>
        </w:tc>
        <w:tc>
          <w:tcPr>
            <w:tcW w:type="dxa" w:w="4680"/>
            <w:vAlign w:val="center"/>
            <w:shd w:fill="F6F8FA"/>
            <w:tcMar>
              <w:top w:w="90" w:type="dxa"/>
              <w:left w:w="90" w:type="dxa"/>
              <w:bottom w:w="90" w:type="dxa"/>
              <w:right w:w="90" w:type="dxa"/>
            </w:tcMar>
          </w:tcPr>
          <w:p>
            <w:pPr>
              <w:spacing w:after="0"/>
            </w:pPr>
            <w:r>
              <w:rPr>
                <w:sz w:val="16"/>
              </w:rPr>
              <w:t>Isolate and report without affecting safe-mode command</w:t>
            </w:r>
          </w:p>
        </w:tc>
      </w:tr>
    </w:tbl>
    <w:p>
      <w:pPr>
        <w:pStyle w:val="Heading3"/>
      </w:pPr>
      <w:r>
        <w:t>Microgravity positioning restraint</w:t>
      </w:r>
    </w:p>
    <w:p>
      <w:pPr/>
      <w:r>
        <w:t>15 kg passive restraint; repeatable site registration within 1 mm in each translation axis; quick release in ≤10 s.</w:t>
      </w:r>
    </w:p>
    <w:p>
      <w:pPr/>
      <w:r>
        <w:t>This measurement or process provides an independent check on the primary result. The ground model shall retain geometric, thermal and instrumental uncertainty, including changes caused by the spacecraft or host.</w:t>
      </w:r>
    </w:p>
    <w:p>
      <w:pPr/>
      <w:r>
        <w:t>For Thovaren Skeletal Health Monitor, complementarity is intentional: one channel measures a different physical quantity or provides a contextual state. Processing shall preserve the raw evidence, identify retrieval assumptions and reject inconsistent cross-calibration before product release.</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Function</w:t>
            </w:r>
          </w:p>
        </w:tc>
        <w:tc>
          <w:tcPr>
            <w:tcW w:type="dxa" w:w="4680"/>
            <w:vAlign w:val="center"/>
            <w:tcMar>
              <w:top w:w="90" w:type="dxa"/>
              <w:left w:w="90" w:type="dxa"/>
              <w:bottom w:w="90" w:type="dxa"/>
              <w:right w:w="90" w:type="dxa"/>
            </w:tcMar>
          </w:tcPr>
          <w:p>
            <w:pPr>
              <w:spacing w:after="0"/>
            </w:pPr>
            <w:r>
              <w:rPr>
                <w:sz w:val="16"/>
              </w:rPr>
              <w:t>Microgravity positioning restraint</w:t>
            </w:r>
          </w:p>
        </w:tc>
      </w:tr>
      <w:tr>
        <w:tc>
          <w:tcPr>
            <w:tcW w:type="dxa" w:w="4680"/>
            <w:vAlign w:val="center"/>
            <w:shd w:fill="F6F8FA"/>
            <w:tcMar>
              <w:top w:w="90" w:type="dxa"/>
              <w:left w:w="90" w:type="dxa"/>
              <w:bottom w:w="90" w:type="dxa"/>
              <w:right w:w="90" w:type="dxa"/>
            </w:tcMar>
          </w:tcPr>
          <w:p>
            <w:pPr>
              <w:spacing w:after="0"/>
            </w:pPr>
            <w:r>
              <w:rPr>
                <w:sz w:val="16"/>
              </w:rPr>
              <w:t>Performance</w:t>
            </w:r>
          </w:p>
        </w:tc>
        <w:tc>
          <w:tcPr>
            <w:tcW w:type="dxa" w:w="4680"/>
            <w:vAlign w:val="center"/>
            <w:shd w:fill="F6F8FA"/>
            <w:tcMar>
              <w:top w:w="90" w:type="dxa"/>
              <w:left w:w="90" w:type="dxa"/>
              <w:bottom w:w="90" w:type="dxa"/>
              <w:right w:w="90" w:type="dxa"/>
            </w:tcMar>
          </w:tcPr>
          <w:p>
            <w:pPr>
              <w:spacing w:after="0"/>
            </w:pPr>
            <w:r>
              <w:rPr>
                <w:sz w:val="16"/>
              </w:rPr>
              <w:t>15 kg passive restraint; repeatable site registration within 1 mm in each translation axis; quick release in ≤10 s.</w:t>
            </w:r>
          </w:p>
        </w:tc>
      </w:tr>
      <w:tr>
        <w:tc>
          <w:tcPr>
            <w:tcW w:type="dxa" w:w="4680"/>
            <w:vAlign w:val="center"/>
            <w:tcMar>
              <w:top w:w="90" w:type="dxa"/>
              <w:left w:w="90" w:type="dxa"/>
              <w:bottom w:w="90" w:type="dxa"/>
              <w:right w:w="90" w:type="dxa"/>
            </w:tcMar>
          </w:tcPr>
          <w:p>
            <w:pPr>
              <w:spacing w:after="0"/>
            </w:pPr>
            <w:r>
              <w:rPr>
                <w:sz w:val="16"/>
              </w:rPr>
              <w:t>Mass</w:t>
            </w:r>
          </w:p>
        </w:tc>
        <w:tc>
          <w:tcPr>
            <w:tcW w:type="dxa" w:w="4680"/>
            <w:vAlign w:val="center"/>
            <w:tcMar>
              <w:top w:w="90" w:type="dxa"/>
              <w:left w:w="90" w:type="dxa"/>
              <w:bottom w:w="90" w:type="dxa"/>
              <w:right w:w="90" w:type="dxa"/>
            </w:tcMar>
          </w:tcPr>
          <w:p>
            <w:pPr>
              <w:spacing w:after="0"/>
            </w:pPr>
            <w:r>
              <w:rPr>
                <w:sz w:val="16"/>
              </w:rPr>
              <w:t>Included in payload/experiment allocation</w:t>
            </w:r>
          </w:p>
        </w:tc>
      </w:tr>
      <w:tr>
        <w:tc>
          <w:tcPr>
            <w:tcW w:type="dxa" w:w="4680"/>
            <w:vAlign w:val="center"/>
            <w:shd w:fill="F6F8FA"/>
            <w:tcMar>
              <w:top w:w="90" w:type="dxa"/>
              <w:left w:w="90" w:type="dxa"/>
              <w:bottom w:w="90" w:type="dxa"/>
              <w:right w:w="90" w:type="dxa"/>
            </w:tcMar>
          </w:tcPr>
          <w:p>
            <w:pPr>
              <w:spacing w:after="0"/>
            </w:pPr>
            <w:r>
              <w:rPr>
                <w:sz w:val="16"/>
              </w:rPr>
              <w:t>Power</w:t>
            </w:r>
          </w:p>
        </w:tc>
        <w:tc>
          <w:tcPr>
            <w:tcW w:type="dxa" w:w="4680"/>
            <w:vAlign w:val="center"/>
            <w:shd w:fill="F6F8FA"/>
            <w:tcMar>
              <w:top w:w="90" w:type="dxa"/>
              <w:left w:w="90" w:type="dxa"/>
              <w:bottom w:w="90" w:type="dxa"/>
              <w:right w:w="90" w:type="dxa"/>
            </w:tcMar>
          </w:tcPr>
          <w:p>
            <w:pPr>
              <w:spacing w:after="0"/>
            </w:pPr>
            <w:r>
              <w:rPr>
                <w:sz w:val="16"/>
              </w:rPr>
              <w:t>Mode specific; close against peak load</w:t>
            </w:r>
          </w:p>
        </w:tc>
      </w:tr>
      <w:tr>
        <w:tc>
          <w:tcPr>
            <w:tcW w:type="dxa" w:w="4680"/>
            <w:vAlign w:val="center"/>
            <w:tcMar>
              <w:top w:w="90" w:type="dxa"/>
              <w:left w:w="90" w:type="dxa"/>
              <w:bottom w:w="90" w:type="dxa"/>
              <w:right w:w="90" w:type="dxa"/>
            </w:tcMar>
          </w:tcPr>
          <w:p>
            <w:pPr>
              <w:spacing w:after="0"/>
            </w:pPr>
            <w:r>
              <w:rPr>
                <w:sz w:val="16"/>
              </w:rPr>
              <w:t>Field / process geometry</w:t>
            </w:r>
          </w:p>
        </w:tc>
        <w:tc>
          <w:tcPr>
            <w:tcW w:type="dxa" w:w="4680"/>
            <w:vAlign w:val="center"/>
            <w:tcMar>
              <w:top w:w="90" w:type="dxa"/>
              <w:left w:w="90" w:type="dxa"/>
              <w:bottom w:w="90" w:type="dxa"/>
              <w:right w:w="90" w:type="dxa"/>
            </w:tcMar>
          </w:tcPr>
          <w:p>
            <w:pPr>
              <w:spacing w:after="0"/>
            </w:pPr>
            <w:r>
              <w:rPr>
                <w:sz w:val="16"/>
              </w:rPr>
              <w:t>Pressurized compartment aboard the Orvane Research Habitat; cabin 18–27 °C, 30–70% relative humidity, 28 V host bus.</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Synchronized to system command clock</w:t>
            </w:r>
          </w:p>
        </w:tc>
      </w:tr>
      <w:tr>
        <w:tc>
          <w:tcPr>
            <w:tcW w:type="dxa" w:w="4680"/>
            <w:vAlign w:val="center"/>
            <w:tcMar>
              <w:top w:w="90" w:type="dxa"/>
              <w:left w:w="90" w:type="dxa"/>
              <w:bottom w:w="90" w:type="dxa"/>
              <w:right w:w="90" w:type="dxa"/>
            </w:tcMar>
          </w:tcPr>
          <w:p>
            <w:pPr>
              <w:spacing w:after="0"/>
            </w:pPr>
            <w:r>
              <w:rPr>
                <w:sz w:val="16"/>
              </w:rPr>
              <w:t>Calibration</w:t>
            </w:r>
          </w:p>
        </w:tc>
        <w:tc>
          <w:tcPr>
            <w:tcW w:type="dxa" w:w="4680"/>
            <w:vAlign w:val="center"/>
            <w:tcMar>
              <w:top w:w="90" w:type="dxa"/>
              <w:left w:w="90" w:type="dxa"/>
              <w:bottom w:w="90" w:type="dxa"/>
              <w:right w:w="90" w:type="dxa"/>
            </w:tcMar>
          </w:tcPr>
          <w:p>
            <w:pPr>
              <w:spacing w:after="0"/>
            </w:pPr>
            <w:r>
              <w:rPr>
                <w:sz w:val="16"/>
              </w:rPr>
              <w:t>At acceptance and by scheduled in-operation reference</w:t>
            </w:r>
          </w:p>
        </w:tc>
      </w:tr>
      <w:tr>
        <w:tc>
          <w:tcPr>
            <w:tcW w:type="dxa" w:w="4680"/>
            <w:vAlign w:val="center"/>
            <w:shd w:fill="F6F8FA"/>
            <w:tcMar>
              <w:top w:w="90" w:type="dxa"/>
              <w:left w:w="90" w:type="dxa"/>
              <w:bottom w:w="90" w:type="dxa"/>
              <w:right w:w="90" w:type="dxa"/>
            </w:tcMar>
          </w:tcPr>
          <w:p>
            <w:pPr>
              <w:spacing w:after="0"/>
            </w:pPr>
            <w:r>
              <w:rPr>
                <w:sz w:val="16"/>
              </w:rPr>
              <w:t>Data volume</w:t>
            </w:r>
          </w:p>
        </w:tc>
        <w:tc>
          <w:tcPr>
            <w:tcW w:type="dxa" w:w="4680"/>
            <w:vAlign w:val="center"/>
            <w:shd w:fill="F6F8FA"/>
            <w:tcMar>
              <w:top w:w="90" w:type="dxa"/>
              <w:left w:w="90" w:type="dxa"/>
              <w:bottom w:w="90" w:type="dxa"/>
              <w:right w:w="90" w:type="dxa"/>
            </w:tcMar>
          </w:tcPr>
          <w:p>
            <w:pPr>
              <w:spacing w:after="0"/>
            </w:pPr>
            <w:r>
              <w:rPr>
                <w:sz w:val="16"/>
              </w:rPr>
              <w:t>≤50 MB/day protected clinical and engineering data; no raw identifying data in open archive</w:t>
            </w:r>
          </w:p>
        </w:tc>
      </w:tr>
      <w:tr>
        <w:tc>
          <w:tcPr>
            <w:tcW w:type="dxa" w:w="4680"/>
            <w:vAlign w:val="center"/>
            <w:tcMar>
              <w:top w:w="90" w:type="dxa"/>
              <w:left w:w="90" w:type="dxa"/>
              <w:bottom w:w="90" w:type="dxa"/>
              <w:right w:w="90" w:type="dxa"/>
            </w:tcMar>
          </w:tcPr>
          <w:p>
            <w:pPr>
              <w:spacing w:after="0"/>
            </w:pPr>
            <w:r>
              <w:rPr>
                <w:sz w:val="16"/>
              </w:rPr>
              <w:t>Quality masks</w:t>
            </w:r>
          </w:p>
        </w:tc>
        <w:tc>
          <w:tcPr>
            <w:tcW w:type="dxa" w:w="4680"/>
            <w:vAlign w:val="center"/>
            <w:tcMar>
              <w:top w:w="90" w:type="dxa"/>
              <w:left w:w="90" w:type="dxa"/>
              <w:bottom w:w="90" w:type="dxa"/>
              <w:right w:w="90" w:type="dxa"/>
            </w:tcMar>
          </w:tcPr>
          <w:p>
            <w:pPr>
              <w:spacing w:after="0"/>
            </w:pPr>
            <w:r>
              <w:rPr>
                <w:sz w:val="16"/>
              </w:rPr>
              <w:t>Record saturation, missing packets and calibration excursions</w:t>
            </w:r>
          </w:p>
        </w:tc>
      </w:tr>
      <w:tr>
        <w:tc>
          <w:tcPr>
            <w:tcW w:type="dxa" w:w="4680"/>
            <w:vAlign w:val="center"/>
            <w:shd w:fill="F6F8FA"/>
            <w:tcMar>
              <w:top w:w="90" w:type="dxa"/>
              <w:left w:w="90" w:type="dxa"/>
              <w:bottom w:w="90" w:type="dxa"/>
              <w:right w:w="90" w:type="dxa"/>
            </w:tcMar>
          </w:tcPr>
          <w:p>
            <w:pPr>
              <w:spacing w:after="0"/>
            </w:pPr>
            <w:r>
              <w:rPr>
                <w:sz w:val="16"/>
              </w:rPr>
              <w:t>Qualification</w:t>
            </w:r>
          </w:p>
        </w:tc>
        <w:tc>
          <w:tcPr>
            <w:tcW w:type="dxa" w:w="4680"/>
            <w:vAlign w:val="center"/>
            <w:shd w:fill="F6F8FA"/>
            <w:tcMar>
              <w:top w:w="90" w:type="dxa"/>
              <w:left w:w="90" w:type="dxa"/>
              <w:bottom w:w="90" w:type="dxa"/>
              <w:right w:w="90" w:type="dxa"/>
            </w:tcMar>
          </w:tcPr>
          <w:p>
            <w:pPr>
              <w:spacing w:after="0"/>
            </w:pPr>
            <w:r>
              <w:rPr>
                <w:sz w:val="16"/>
              </w:rPr>
              <w:t>Relevant launch, host and operational environment</w:t>
            </w:r>
          </w:p>
        </w:tc>
      </w:tr>
    </w:tbl>
    <w:p>
      <w:pPr>
        <w:pStyle w:val="Heading3"/>
      </w:pPr>
      <w:r>
        <w:t>Payload Electronics</w:t>
      </w:r>
    </w:p>
    <w:p>
      <w:pPr/>
      <w:r>
        <w:t>The payload electronics supervise instrument power, timing, detector readout, process controls, data formatting and safe-mode interlocks. Interfaces are controlled by released drawings and telemetry dictionaries. Each unit supports configuration rollback after a failed upload.</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Instrument / process control and time-tagging</w:t>
            </w:r>
          </w:p>
        </w:tc>
      </w:tr>
      <w:tr>
        <w:tc>
          <w:tcPr>
            <w:tcW w:type="dxa" w:w="4680"/>
            <w:vAlign w:val="center"/>
            <w:shd w:fill="F6F8FA"/>
            <w:tcMar>
              <w:top w:w="90" w:type="dxa"/>
              <w:left w:w="90" w:type="dxa"/>
              <w:bottom w:w="90" w:type="dxa"/>
              <w:right w:w="90" w:type="dxa"/>
            </w:tcMar>
          </w:tcPr>
          <w:p>
            <w:pPr>
              <w:spacing w:after="0"/>
            </w:pPr>
            <w:r>
              <w:rPr>
                <w:sz w:val="16"/>
              </w:rPr>
              <w:t>Sensor interfaces</w:t>
            </w:r>
          </w:p>
        </w:tc>
        <w:tc>
          <w:tcPr>
            <w:tcW w:type="dxa" w:w="4680"/>
            <w:vAlign w:val="center"/>
            <w:shd w:fill="F6F8FA"/>
            <w:tcMar>
              <w:top w:w="90" w:type="dxa"/>
              <w:left w:w="90" w:type="dxa"/>
              <w:bottom w:w="90" w:type="dxa"/>
              <w:right w:w="90" w:type="dxa"/>
            </w:tcMar>
          </w:tcPr>
          <w:p>
            <w:pPr>
              <w:spacing w:after="0"/>
            </w:pPr>
            <w:r>
              <w:rPr>
                <w:sz w:val="16"/>
              </w:rPr>
              <w:t>Dual-energy peripheral scan head; Microgravity positioning restraint; Calibration and protected data unit</w:t>
            </w:r>
          </w:p>
        </w:tc>
      </w:tr>
      <w:tr>
        <w:tc>
          <w:tcPr>
            <w:tcW w:type="dxa" w:w="4680"/>
            <w:vAlign w:val="center"/>
            <w:tcMar>
              <w:top w:w="90" w:type="dxa"/>
              <w:left w:w="90" w:type="dxa"/>
              <w:bottom w:w="90" w:type="dxa"/>
              <w:right w:w="90" w:type="dxa"/>
            </w:tcMar>
          </w:tcPr>
          <w:p>
            <w:pPr>
              <w:spacing w:after="0"/>
            </w:pPr>
            <w:r>
              <w:rPr>
                <w:sz w:val="16"/>
              </w:rPr>
              <w:t>System interface</w:t>
            </w:r>
          </w:p>
        </w:tc>
        <w:tc>
          <w:tcPr>
            <w:tcW w:type="dxa" w:w="4680"/>
            <w:vAlign w:val="center"/>
            <w:tcMar>
              <w:top w:w="90" w:type="dxa"/>
              <w:left w:w="90" w:type="dxa"/>
              <w:bottom w:w="90" w:type="dxa"/>
              <w:right w:w="90" w:type="dxa"/>
            </w:tcMar>
          </w:tcPr>
          <w:p>
            <w:pPr>
              <w:spacing w:after="0"/>
            </w:pPr>
            <w:r>
              <w:rPr>
                <w:sz w:val="16"/>
              </w:rPr>
              <w:t>Protected command and local data bus</w:t>
            </w:r>
          </w:p>
        </w:tc>
      </w:tr>
      <w:tr>
        <w:tc>
          <w:tcPr>
            <w:tcW w:type="dxa" w:w="4680"/>
            <w:vAlign w:val="center"/>
            <w:shd w:fill="F6F8FA"/>
            <w:tcMar>
              <w:top w:w="90" w:type="dxa"/>
              <w:left w:w="90" w:type="dxa"/>
              <w:bottom w:w="90" w:type="dxa"/>
              <w:right w:w="90" w:type="dxa"/>
            </w:tcMar>
          </w:tcPr>
          <w:p>
            <w:pPr>
              <w:spacing w:after="0"/>
            </w:pPr>
            <w:r>
              <w:rPr>
                <w:sz w:val="16"/>
              </w:rPr>
              <w:t>Buffering</w:t>
            </w:r>
          </w:p>
        </w:tc>
        <w:tc>
          <w:tcPr>
            <w:tcW w:type="dxa" w:w="4680"/>
            <w:vAlign w:val="center"/>
            <w:shd w:fill="F6F8FA"/>
            <w:tcMar>
              <w:top w:w="90" w:type="dxa"/>
              <w:left w:w="90" w:type="dxa"/>
              <w:bottom w:w="90" w:type="dxa"/>
              <w:right w:w="90" w:type="dxa"/>
            </w:tcMar>
          </w:tcPr>
          <w:p>
            <w:pPr>
              <w:spacing w:after="0"/>
            </w:pPr>
            <w:r>
              <w:rPr>
                <w:sz w:val="16"/>
              </w:rPr>
              <w:t>64 GB usable system allocation</w:t>
            </w:r>
          </w:p>
        </w:tc>
      </w:tr>
      <w:tr>
        <w:tc>
          <w:tcPr>
            <w:tcW w:type="dxa" w:w="4680"/>
            <w:vAlign w:val="center"/>
            <w:tcMar>
              <w:top w:w="90" w:type="dxa"/>
              <w:left w:w="90" w:type="dxa"/>
              <w:bottom w:w="90" w:type="dxa"/>
              <w:right w:w="90" w:type="dxa"/>
            </w:tcMar>
          </w:tcPr>
          <w:p>
            <w:pPr>
              <w:spacing w:after="0"/>
            </w:pPr>
            <w:r>
              <w:rPr>
                <w:sz w:val="16"/>
              </w:rPr>
              <w:t>Processing</w:t>
            </w:r>
          </w:p>
        </w:tc>
        <w:tc>
          <w:tcPr>
            <w:tcW w:type="dxa" w:w="4680"/>
            <w:vAlign w:val="center"/>
            <w:tcMar>
              <w:top w:w="90" w:type="dxa"/>
              <w:left w:w="90" w:type="dxa"/>
              <w:bottom w:w="90" w:type="dxa"/>
              <w:right w:w="90" w:type="dxa"/>
            </w:tcMar>
          </w:tcPr>
          <w:p>
            <w:pPr>
              <w:spacing w:after="0"/>
            </w:pPr>
            <w:r>
              <w:rPr>
                <w:sz w:val="16"/>
              </w:rPr>
              <w:t>Lossless event flags and reversible screening where practical</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Absolute reference and monotonically numbered records</w:t>
            </w:r>
          </w:p>
        </w:tc>
      </w:tr>
      <w:tr>
        <w:tc>
          <w:tcPr>
            <w:tcW w:type="dxa" w:w="4680"/>
            <w:vAlign w:val="center"/>
            <w:tcMar>
              <w:top w:w="90" w:type="dxa"/>
              <w:left w:w="90" w:type="dxa"/>
              <w:bottom w:w="90" w:type="dxa"/>
              <w:right w:w="90" w:type="dxa"/>
            </w:tcMar>
          </w:tcPr>
          <w:p>
            <w:pPr>
              <w:spacing w:after="0"/>
            </w:pPr>
            <w:r>
              <w:rPr>
                <w:sz w:val="16"/>
              </w:rPr>
              <w:t>Health monitoring</w:t>
            </w:r>
          </w:p>
        </w:tc>
        <w:tc>
          <w:tcPr>
            <w:tcW w:type="dxa" w:w="4680"/>
            <w:vAlign w:val="center"/>
            <w:tcMar>
              <w:top w:w="90" w:type="dxa"/>
              <w:left w:w="90" w:type="dxa"/>
              <w:bottom w:w="90" w:type="dxa"/>
              <w:right w:w="90" w:type="dxa"/>
            </w:tcMar>
          </w:tcPr>
          <w:p>
            <w:pPr>
              <w:spacing w:after="0"/>
            </w:pPr>
            <w:r>
              <w:rPr>
                <w:sz w:val="16"/>
              </w:rPr>
              <w:t>Voltage, temperature, current, reset count and status</w:t>
            </w:r>
          </w:p>
        </w:tc>
      </w:tr>
      <w:tr>
        <w:tc>
          <w:tcPr>
            <w:tcW w:type="dxa" w:w="4680"/>
            <w:vAlign w:val="center"/>
            <w:shd w:fill="F6F8FA"/>
            <w:tcMar>
              <w:top w:w="90" w:type="dxa"/>
              <w:left w:w="90" w:type="dxa"/>
              <w:bottom w:w="90" w:type="dxa"/>
              <w:right w:w="90" w:type="dxa"/>
            </w:tcMar>
          </w:tcPr>
          <w:p>
            <w:pPr>
              <w:spacing w:after="0"/>
            </w:pPr>
            <w:r>
              <w:rPr>
                <w:sz w:val="16"/>
              </w:rPr>
              <w:t>Mass</w:t>
            </w:r>
          </w:p>
        </w:tc>
        <w:tc>
          <w:tcPr>
            <w:tcW w:type="dxa" w:w="4680"/>
            <w:vAlign w:val="center"/>
            <w:shd w:fill="F6F8FA"/>
            <w:tcMar>
              <w:top w:w="90" w:type="dxa"/>
              <w:left w:w="90" w:type="dxa"/>
              <w:bottom w:w="90" w:type="dxa"/>
              <w:right w:w="90" w:type="dxa"/>
            </w:tcMar>
          </w:tcPr>
          <w:p>
            <w:pPr>
              <w:spacing w:after="0"/>
            </w:pPr>
            <w:r>
              <w:rPr>
                <w:sz w:val="16"/>
              </w:rPr>
              <w:t>Within 95 kg allocation</w:t>
            </w:r>
          </w:p>
        </w:tc>
      </w:tr>
      <w:tr>
        <w:tc>
          <w:tcPr>
            <w:tcW w:type="dxa" w:w="4680"/>
            <w:vAlign w:val="center"/>
            <w:tcMar>
              <w:top w:w="90" w:type="dxa"/>
              <w:left w:w="90" w:type="dxa"/>
              <w:bottom w:w="90" w:type="dxa"/>
              <w:right w:w="90" w:type="dxa"/>
            </w:tcMar>
          </w:tcPr>
          <w:p>
            <w:pPr>
              <w:spacing w:after="0"/>
            </w:pPr>
            <w:r>
              <w:rPr>
                <w:sz w:val="16"/>
              </w:rPr>
              <w:t>Peak electrical power</w:t>
            </w:r>
          </w:p>
        </w:tc>
        <w:tc>
          <w:tcPr>
            <w:tcW w:type="dxa" w:w="4680"/>
            <w:vAlign w:val="center"/>
            <w:tcMar>
              <w:top w:w="90" w:type="dxa"/>
              <w:left w:w="90" w:type="dxa"/>
              <w:bottom w:w="90" w:type="dxa"/>
              <w:right w:w="90" w:type="dxa"/>
            </w:tcMar>
          </w:tcPr>
          <w:p>
            <w:pPr>
              <w:spacing w:after="0"/>
            </w:pPr>
            <w:r>
              <w:rPr>
                <w:sz w:val="16"/>
              </w:rPr>
              <w:t>Included in 180 W integrated peak</w:t>
            </w:r>
          </w:p>
        </w:tc>
      </w:tr>
      <w:tr>
        <w:tc>
          <w:tcPr>
            <w:tcW w:type="dxa" w:w="4680"/>
            <w:vAlign w:val="center"/>
            <w:shd w:fill="F6F8FA"/>
            <w:tcMar>
              <w:top w:w="90" w:type="dxa"/>
              <w:left w:w="90" w:type="dxa"/>
              <w:bottom w:w="90" w:type="dxa"/>
              <w:right w:w="90" w:type="dxa"/>
            </w:tcMar>
          </w:tcPr>
          <w:p>
            <w:pPr>
              <w:spacing w:after="0"/>
            </w:pPr>
            <w:r>
              <w:rPr>
                <w:sz w:val="16"/>
              </w:rPr>
              <w:t>Radiation / environment</w:t>
            </w:r>
          </w:p>
        </w:tc>
        <w:tc>
          <w:tcPr>
            <w:tcW w:type="dxa" w:w="4680"/>
            <w:vAlign w:val="center"/>
            <w:shd w:fill="F6F8FA"/>
            <w:tcMar>
              <w:top w:w="90" w:type="dxa"/>
              <w:left w:w="90" w:type="dxa"/>
              <w:bottom w:w="90" w:type="dxa"/>
              <w:right w:w="90" w:type="dxa"/>
            </w:tcMar>
          </w:tcPr>
          <w:p>
            <w:pPr>
              <w:spacing w:after="0"/>
            </w:pPr>
            <w:r>
              <w:rPr>
                <w:sz w:val="16"/>
              </w:rPr>
              <w:t>Qualified for Pressurized compartment aboard the Orvane Research Habitat; cabin 18–27 °C,</w:t>
            </w:r>
          </w:p>
        </w:tc>
      </w:tr>
    </w:tbl>
    <w:p>
      <w:pPr>
        <w:pStyle w:val="Heading3"/>
      </w:pPr>
      <w:r>
        <w:t>Onboard Calibration</w:t>
      </w:r>
    </w:p>
    <w:p>
      <w:pPr/>
      <w:r>
        <w:t>Calibration is designed around traceable reference states rather than a generic check flag. A pre-deployment baseline, scheduled in-operation reference and post-anomaly verification distinguish genuine environment or biological changes from instrument drift.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Calibration type</w:t>
            </w:r>
          </w:p>
        </w:tc>
        <w:tc>
          <w:tcPr>
            <w:tcW w:type="dxa" w:w="4680"/>
            <w:vAlign w:val="center"/>
            <w:tcMar>
              <w:top w:w="90" w:type="dxa"/>
              <w:left w:w="90" w:type="dxa"/>
              <w:bottom w:w="90" w:type="dxa"/>
              <w:right w:w="90" w:type="dxa"/>
            </w:tcMar>
          </w:tcPr>
          <w:p>
            <w:pPr>
              <w:spacing w:after="0"/>
            </w:pPr>
            <w:r>
              <w:rPr>
                <w:sz w:val="16"/>
              </w:rPr>
              <w:t>Radiometric, geometric, biological, material or electrical as applicable</w:t>
            </w:r>
          </w:p>
        </w:tc>
      </w:tr>
      <w:tr>
        <w:tc>
          <w:tcPr>
            <w:tcW w:type="dxa" w:w="4680"/>
            <w:vAlign w:val="center"/>
            <w:shd w:fill="F6F8FA"/>
            <w:tcMar>
              <w:top w:w="90" w:type="dxa"/>
              <w:left w:w="90" w:type="dxa"/>
              <w:bottom w:w="90" w:type="dxa"/>
              <w:right w:w="90" w:type="dxa"/>
            </w:tcMar>
          </w:tcPr>
          <w:p>
            <w:pPr>
              <w:spacing w:after="0"/>
            </w:pPr>
            <w:r>
              <w:rPr>
                <w:sz w:val="16"/>
              </w:rPr>
              <w:t>Primary reference</w:t>
            </w:r>
          </w:p>
        </w:tc>
        <w:tc>
          <w:tcPr>
            <w:tcW w:type="dxa" w:w="4680"/>
            <w:vAlign w:val="center"/>
            <w:shd w:fill="F6F8FA"/>
            <w:tcMar>
              <w:top w:w="90" w:type="dxa"/>
              <w:left w:w="90" w:type="dxa"/>
              <w:bottom w:w="90" w:type="dxa"/>
              <w:right w:w="90" w:type="dxa"/>
            </w:tcMar>
          </w:tcPr>
          <w:p>
            <w:pPr>
              <w:spacing w:after="0"/>
            </w:pPr>
            <w:r>
              <w:rPr>
                <w:sz w:val="16"/>
              </w:rPr>
              <w:t>Calibration and protected data unit</w:t>
            </w:r>
          </w:p>
        </w:tc>
      </w:tr>
      <w:tr>
        <w:tc>
          <w:tcPr>
            <w:tcW w:type="dxa" w:w="4680"/>
            <w:vAlign w:val="center"/>
            <w:tcMar>
              <w:top w:w="90" w:type="dxa"/>
              <w:left w:w="90" w:type="dxa"/>
              <w:bottom w:w="90" w:type="dxa"/>
              <w:right w:w="90" w:type="dxa"/>
            </w:tcMar>
          </w:tcPr>
          <w:p>
            <w:pPr>
              <w:spacing w:after="0"/>
            </w:pPr>
            <w:r>
              <w:rPr>
                <w:sz w:val="16"/>
              </w:rPr>
              <w:t>Frequency</w:t>
            </w:r>
          </w:p>
        </w:tc>
        <w:tc>
          <w:tcPr>
            <w:tcW w:type="dxa" w:w="4680"/>
            <w:vAlign w:val="center"/>
            <w:tcMar>
              <w:top w:w="90" w:type="dxa"/>
              <w:left w:w="90" w:type="dxa"/>
              <w:bottom w:w="90" w:type="dxa"/>
              <w:right w:w="90" w:type="dxa"/>
            </w:tcMar>
          </w:tcPr>
          <w:p>
            <w:pPr>
              <w:spacing w:after="0"/>
            </w:pPr>
            <w:r>
              <w:rPr>
                <w:sz w:val="16"/>
              </w:rPr>
              <w:t>At commissioning, after anomaly and on a scheduled monthly cadence</w:t>
            </w:r>
          </w:p>
        </w:tc>
      </w:tr>
      <w:tr>
        <w:tc>
          <w:tcPr>
            <w:tcW w:type="dxa" w:w="4680"/>
            <w:vAlign w:val="center"/>
            <w:shd w:fill="F6F8FA"/>
            <w:tcMar>
              <w:top w:w="90" w:type="dxa"/>
              <w:left w:w="90" w:type="dxa"/>
              <w:bottom w:w="90" w:type="dxa"/>
              <w:right w:w="90" w:type="dxa"/>
            </w:tcMar>
          </w:tcPr>
          <w:p>
            <w:pPr>
              <w:spacing w:after="0"/>
            </w:pPr>
            <w:r>
              <w:rPr>
                <w:sz w:val="16"/>
              </w:rPr>
              <w:t>Environmental dependency</w:t>
            </w:r>
          </w:p>
        </w:tc>
        <w:tc>
          <w:tcPr>
            <w:tcW w:type="dxa" w:w="4680"/>
            <w:vAlign w:val="center"/>
            <w:shd w:fill="F6F8FA"/>
            <w:tcMar>
              <w:top w:w="90" w:type="dxa"/>
              <w:left w:w="90" w:type="dxa"/>
              <w:bottom w:w="90" w:type="dxa"/>
              <w:right w:w="90" w:type="dxa"/>
            </w:tcMar>
          </w:tcPr>
          <w:p>
            <w:pPr>
              <w:spacing w:after="0"/>
            </w:pPr>
            <w:r>
              <w:rPr>
                <w:sz w:val="16"/>
              </w:rPr>
              <w:t>Cabin 18–27 °C; scan electronics surface ≤40 °C and enclosure heat rejection ≤180 W during an at most 30-minute session.</w:t>
            </w:r>
          </w:p>
        </w:tc>
      </w:tr>
      <w:tr>
        <w:tc>
          <w:tcPr>
            <w:tcW w:type="dxa" w:w="4680"/>
            <w:vAlign w:val="center"/>
            <w:tcMar>
              <w:top w:w="90" w:type="dxa"/>
              <w:left w:w="90" w:type="dxa"/>
              <w:bottom w:w="90" w:type="dxa"/>
              <w:right w:w="90" w:type="dxa"/>
            </w:tcMar>
          </w:tcPr>
          <w:p>
            <w:pPr>
              <w:spacing w:after="0"/>
            </w:pPr>
            <w:r>
              <w:rPr>
                <w:sz w:val="16"/>
              </w:rPr>
              <w:t>Long-term drift</w:t>
            </w:r>
          </w:p>
        </w:tc>
        <w:tc>
          <w:tcPr>
            <w:tcW w:type="dxa" w:w="4680"/>
            <w:vAlign w:val="center"/>
            <w:tcMar>
              <w:top w:w="90" w:type="dxa"/>
              <w:left w:w="90" w:type="dxa"/>
              <w:bottom w:w="90" w:type="dxa"/>
              <w:right w:w="90" w:type="dxa"/>
            </w:tcMar>
          </w:tcPr>
          <w:p>
            <w:pPr>
              <w:spacing w:after="0"/>
            </w:pPr>
            <w:r>
              <w:rPr>
                <w:sz w:val="16"/>
              </w:rPr>
              <w:t>Trend against accepted reference and flag &gt;2% unexplained change</w:t>
            </w:r>
          </w:p>
        </w:tc>
      </w:tr>
      <w:tr>
        <w:tc>
          <w:tcPr>
            <w:tcW w:type="dxa" w:w="4680"/>
            <w:vAlign w:val="center"/>
            <w:shd w:fill="F6F8FA"/>
            <w:tcMar>
              <w:top w:w="90" w:type="dxa"/>
              <w:left w:w="90" w:type="dxa"/>
              <w:bottom w:w="90" w:type="dxa"/>
              <w:right w:w="90" w:type="dxa"/>
            </w:tcMar>
          </w:tcPr>
          <w:p>
            <w:pPr>
              <w:spacing w:after="0"/>
            </w:pPr>
            <w:r>
              <w:rPr>
                <w:sz w:val="16"/>
              </w:rPr>
              <w:t>Data linkage</w:t>
            </w:r>
          </w:p>
        </w:tc>
        <w:tc>
          <w:tcPr>
            <w:tcW w:type="dxa" w:w="4680"/>
            <w:vAlign w:val="center"/>
            <w:shd w:fill="F6F8FA"/>
            <w:tcMar>
              <w:top w:w="90" w:type="dxa"/>
              <w:left w:w="90" w:type="dxa"/>
              <w:bottom w:w="90" w:type="dxa"/>
              <w:right w:w="90" w:type="dxa"/>
            </w:tcMar>
          </w:tcPr>
          <w:p>
            <w:pPr>
              <w:spacing w:after="0"/>
            </w:pPr>
            <w:r>
              <w:rPr>
                <w:sz w:val="16"/>
              </w:rPr>
              <w:t>100% released products identify applicable calibration version</w:t>
            </w:r>
          </w:p>
        </w:tc>
      </w:tr>
      <w:tr>
        <w:tc>
          <w:tcPr>
            <w:tcW w:type="dxa" w:w="4680"/>
            <w:vAlign w:val="center"/>
            <w:tcMar>
              <w:top w:w="90" w:type="dxa"/>
              <w:left w:w="90" w:type="dxa"/>
              <w:bottom w:w="90" w:type="dxa"/>
              <w:right w:w="90" w:type="dxa"/>
            </w:tcMar>
          </w:tcPr>
          <w:p>
            <w:pPr>
              <w:spacing w:after="0"/>
            </w:pPr>
            <w:r>
              <w:rPr>
                <w:sz w:val="16"/>
              </w:rPr>
              <w:t>Independent verification</w:t>
            </w:r>
          </w:p>
        </w:tc>
        <w:tc>
          <w:tcPr>
            <w:tcW w:type="dxa" w:w="4680"/>
            <w:vAlign w:val="center"/>
            <w:tcMar>
              <w:top w:w="90" w:type="dxa"/>
              <w:left w:w="90" w:type="dxa"/>
              <w:bottom w:w="90" w:type="dxa"/>
              <w:right w:w="90" w:type="dxa"/>
            </w:tcMar>
          </w:tcPr>
          <w:p>
            <w:pPr>
              <w:spacing w:after="0"/>
            </w:pPr>
            <w:r>
              <w:rPr>
                <w:sz w:val="16"/>
              </w:rPr>
              <w:t>Recheck with Microgravity positioning restraint</w:t>
            </w:r>
          </w:p>
        </w:tc>
      </w:tr>
      <w:tr>
        <w:tc>
          <w:tcPr>
            <w:tcW w:type="dxa" w:w="4680"/>
            <w:vAlign w:val="center"/>
            <w:shd w:fill="F6F8FA"/>
            <w:tcMar>
              <w:top w:w="90" w:type="dxa"/>
              <w:left w:w="90" w:type="dxa"/>
              <w:bottom w:w="90" w:type="dxa"/>
              <w:right w:w="90" w:type="dxa"/>
            </w:tcMar>
          </w:tcPr>
          <w:p>
            <w:pPr>
              <w:spacing w:after="0"/>
            </w:pPr>
            <w:r>
              <w:rPr>
                <w:sz w:val="16"/>
              </w:rPr>
              <w:t>Instrument monitoring</w:t>
            </w:r>
          </w:p>
        </w:tc>
        <w:tc>
          <w:tcPr>
            <w:tcW w:type="dxa" w:w="4680"/>
            <w:vAlign w:val="center"/>
            <w:shd w:fill="F6F8FA"/>
            <w:tcMar>
              <w:top w:w="90" w:type="dxa"/>
              <w:left w:w="90" w:type="dxa"/>
              <w:bottom w:w="90" w:type="dxa"/>
              <w:right w:w="90" w:type="dxa"/>
            </w:tcMar>
          </w:tcPr>
          <w:p>
            <w:pPr>
              <w:spacing w:after="0"/>
            </w:pPr>
            <w:r>
              <w:rPr>
                <w:sz w:val="16"/>
              </w:rPr>
              <w:t>On each operating cycle</w:t>
            </w:r>
          </w:p>
        </w:tc>
      </w:tr>
      <w:tr>
        <w:tc>
          <w:tcPr>
            <w:tcW w:type="dxa" w:w="4680"/>
            <w:vAlign w:val="center"/>
            <w:tcMar>
              <w:top w:w="90" w:type="dxa"/>
              <w:left w:w="90" w:type="dxa"/>
              <w:bottom w:w="90" w:type="dxa"/>
              <w:right w:w="90" w:type="dxa"/>
            </w:tcMar>
          </w:tcPr>
          <w:p>
            <w:pPr>
              <w:spacing w:after="0"/>
            </w:pPr>
            <w:r>
              <w:rPr>
                <w:sz w:val="16"/>
              </w:rPr>
              <w:t>Mass / power</w:t>
            </w:r>
          </w:p>
        </w:tc>
        <w:tc>
          <w:tcPr>
            <w:tcW w:type="dxa" w:w="4680"/>
            <w:vAlign w:val="center"/>
            <w:tcMar>
              <w:top w:w="90" w:type="dxa"/>
              <w:left w:w="90" w:type="dxa"/>
              <w:bottom w:w="90" w:type="dxa"/>
              <w:right w:w="90" w:type="dxa"/>
            </w:tcMar>
          </w:tcPr>
          <w:p>
            <w:pPr>
              <w:spacing w:after="0"/>
            </w:pPr>
            <w:r>
              <w:rPr>
                <w:sz w:val="16"/>
              </w:rPr>
              <w:t>Within payload and system allocations</w:t>
            </w:r>
          </w:p>
        </w:tc>
      </w:tr>
    </w:tbl>
    <w:p>
      <w:pPr>
        <w:jc w:val="center"/>
      </w:pPr>
      <w:r>
        <w:drawing>
          <wp:inline xmlns:a="http://schemas.openxmlformats.org/drawingml/2006/main" xmlns:pic="http://schemas.openxmlformats.org/drawingml/2006/picture">
            <wp:extent cx="5852160" cy="1694329"/>
            <wp:docPr id="2" name="Picture 2"/>
            <wp:cNvGraphicFramePr>
              <a:graphicFrameLocks noChangeAspect="1"/>
            </wp:cNvGraphicFramePr>
            <a:graphic>
              <a:graphicData uri="http://schemas.openxmlformats.org/drawingml/2006/picture">
                <pic:pic>
                  <pic:nvPicPr>
                    <pic:cNvPr id="0" name="TSHM_payload.png"/>
                    <pic:cNvPicPr/>
                  </pic:nvPicPr>
                  <pic:blipFill>
                    <a:blip r:embed="rId21"/>
                    <a:stretch>
                      <a:fillRect/>
                    </a:stretch>
                  </pic:blipFill>
                  <pic:spPr>
                    <a:xfrm>
                      <a:off x="0" y="0"/>
                      <a:ext cx="5852160" cy="1694329"/>
                    </a:xfrm>
                    <a:prstGeom prst="rect"/>
                  </pic:spPr>
                </pic:pic>
              </a:graphicData>
            </a:graphic>
          </wp:inline>
        </w:drawing>
      </w:r>
    </w:p>
    <w:p>
      <w:pPr>
        <w:pStyle w:val="Caption"/>
      </w:pPr>
      <w:r>
        <w:t>Figure 2 – Payload measurement and data path. Components and output interfaces are explicitly labeled.</w:t>
      </w:r>
    </w:p>
    <w:p>
      <w:pPr>
        <w:pStyle w:val="Heading1"/>
      </w:pPr>
      <w:r>
        <w:t>Launch Segment Description</w:t>
      </w:r>
    </w:p>
    <w:p>
      <w:pPr/>
      <w:r>
        <w:t>95 kg instrument + 25 kg protective flight packaging = 120 kg cargo allocation; host delivery service accepts ≥150 kg for this payload</w:t>
      </w:r>
    </w:p>
    <w:p>
      <w:pPr/>
      <w:r>
        <w:t>Delivery pricing shall separately identify vehicle or carrier service, packaging and adaptor, loading and contamination controls, integration testing, range or landing support, insurance if applicable and post-delivery transition. Any mass carried by a host rather than the flight unit is shown as a separate line and is not double counted.</w:t>
      </w:r>
    </w:p>
    <w:p>
      <w:pPr/>
      <w:r>
        <w:t>The final delivery contractor verifies mechanical fit, safety, compatibility, deployment, insertion or landing dispersions and acceptance criteria. The mission team performs final health checks before the affected unit is declared operational.</w:t>
      </w:r>
    </w:p>
    <w:p>
      <w:pPr/>
      <w:r>
        <w:t>Delivery preparation includes controlled packing, shipment and receiving inspection, integrated electrical checkout, safety review, interface sign-off and a final readiness decision. The handover record separates damage observed before launch or cargo installation from anomalies in early operation.</w:t>
      </w:r>
    </w:p>
    <w:p>
      <w:pPr/>
      <w:r>
        <w:t>Any alternate provider must meet the same delivered mass, envelope, power-on sequence, schedule and injection or landing accuracy. A provider change triggers re-verification of coupled loads and mission-specific interfaces.</w:t>
      </w:r>
    </w:p>
    <w:p>
      <w:pPr>
        <w:pStyle w:val="Heading1"/>
      </w:pPr>
      <w:r>
        <w:t>Ground Segment and Mission Operations</w:t>
      </w:r>
    </w:p>
    <w:p>
      <w:pPr/>
      <w:r>
        <w:t>Two protected medical data stores with access logging; 5 TB multi-version capacity; engineering de-identified export separately controlled.</w:t>
      </w:r>
    </w:p>
    <w:p>
      <w:pPr/>
      <w:r>
        <w:t>Each session creates ≤100 MB raw/calibration data; 192 sessions produce ≤19.2 GB before versioning. The ≥10 Mb/s host interface transfers a 100 MB scan in &lt;2 min absent overhead.</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Ground Segment Element</w:t>
            </w:r>
          </w:p>
        </w:tc>
        <w:tc>
          <w:tcPr>
            <w:tcW w:type="dxa" w:w="4680"/>
            <w:vAlign w:val="center"/>
            <w:shd w:fill="DDE6EF"/>
            <w:tcMar>
              <w:top w:w="90" w:type="dxa"/>
              <w:left w:w="90" w:type="dxa"/>
              <w:bottom w:w="90" w:type="dxa"/>
              <w:right w:w="90" w:type="dxa"/>
            </w:tcMar>
          </w:tcPr>
          <w:p>
            <w:pPr>
              <w:spacing w:after="0"/>
            </w:pPr>
            <w:r>
              <w:rPr>
                <w:b/>
                <w:sz w:val="16"/>
              </w:rPr>
              <w:t>Description</w:t>
            </w:r>
          </w:p>
        </w:tc>
      </w:tr>
      <w:tr>
        <w:tc>
          <w:tcPr>
            <w:tcW w:type="dxa" w:w="4680"/>
            <w:vAlign w:val="center"/>
            <w:tcMar>
              <w:top w:w="90" w:type="dxa"/>
              <w:left w:w="90" w:type="dxa"/>
              <w:bottom w:w="90" w:type="dxa"/>
              <w:right w:w="90" w:type="dxa"/>
            </w:tcMar>
          </w:tcPr>
          <w:p>
            <w:pPr>
              <w:spacing w:after="0"/>
            </w:pPr>
            <w:r>
              <w:rPr>
                <w:sz w:val="16"/>
              </w:rPr>
              <w:t>Mission Planning System</w:t>
            </w:r>
          </w:p>
        </w:tc>
        <w:tc>
          <w:tcPr>
            <w:tcW w:type="dxa" w:w="4680"/>
            <w:vAlign w:val="center"/>
            <w:tcMar>
              <w:top w:w="90" w:type="dxa"/>
              <w:left w:w="90" w:type="dxa"/>
              <w:bottom w:w="90" w:type="dxa"/>
              <w:right w:w="90" w:type="dxa"/>
            </w:tcMar>
          </w:tcPr>
          <w:p>
            <w:pPr>
              <w:spacing w:after="0"/>
            </w:pPr>
            <w:r>
              <w:rPr>
                <w:sz w:val="16"/>
              </w:rPr>
              <w:t>Schedules commanded measurement, service or observation periods and checks resource constraints.</w:t>
            </w:r>
          </w:p>
        </w:tc>
      </w:tr>
      <w:tr>
        <w:tc>
          <w:tcPr>
            <w:tcW w:type="dxa" w:w="4680"/>
            <w:vAlign w:val="center"/>
            <w:shd w:fill="F6F8FA"/>
            <w:tcMar>
              <w:top w:w="90" w:type="dxa"/>
              <w:left w:w="90" w:type="dxa"/>
              <w:bottom w:w="90" w:type="dxa"/>
              <w:right w:w="90" w:type="dxa"/>
            </w:tcMar>
          </w:tcPr>
          <w:p>
            <w:pPr>
              <w:spacing w:after="0"/>
            </w:pPr>
            <w:r>
              <w:rPr>
                <w:sz w:val="16"/>
              </w:rPr>
              <w:t>Control System</w:t>
            </w:r>
          </w:p>
        </w:tc>
        <w:tc>
          <w:tcPr>
            <w:tcW w:type="dxa" w:w="4680"/>
            <w:vAlign w:val="center"/>
            <w:shd w:fill="F6F8FA"/>
            <w:tcMar>
              <w:top w:w="90" w:type="dxa"/>
              <w:left w:w="90" w:type="dxa"/>
              <w:bottom w:w="90" w:type="dxa"/>
              <w:right w:w="90" w:type="dxa"/>
            </w:tcMar>
          </w:tcPr>
          <w:p>
            <w:pPr>
              <w:spacing w:after="0"/>
            </w:pPr>
            <w:r>
              <w:rPr>
                <w:sz w:val="16"/>
              </w:rPr>
              <w:t>Monitors status, authorizes command, handles anomaly response and keeps configuration history.</w:t>
            </w:r>
          </w:p>
        </w:tc>
      </w:tr>
      <w:tr>
        <w:tc>
          <w:tcPr>
            <w:tcW w:type="dxa" w:w="4680"/>
            <w:vAlign w:val="center"/>
            <w:tcMar>
              <w:top w:w="90" w:type="dxa"/>
              <w:left w:w="90" w:type="dxa"/>
              <w:bottom w:w="90" w:type="dxa"/>
              <w:right w:w="90" w:type="dxa"/>
            </w:tcMar>
          </w:tcPr>
          <w:p>
            <w:pPr>
              <w:spacing w:after="0"/>
            </w:pPr>
            <w:r>
              <w:rPr>
                <w:sz w:val="16"/>
              </w:rPr>
              <w:t>Receiving Stations / Host Link</w:t>
            </w:r>
          </w:p>
        </w:tc>
        <w:tc>
          <w:tcPr>
            <w:tcW w:type="dxa" w:w="4680"/>
            <w:vAlign w:val="center"/>
            <w:tcMar>
              <w:top w:w="90" w:type="dxa"/>
              <w:left w:w="90" w:type="dxa"/>
              <w:bottom w:w="90" w:type="dxa"/>
              <w:right w:w="90" w:type="dxa"/>
            </w:tcMar>
          </w:tcPr>
          <w:p>
            <w:pPr>
              <w:spacing w:after="0"/>
            </w:pPr>
            <w:r>
              <w:rPr>
                <w:sz w:val="16"/>
              </w:rPr>
              <w:t>Two protected medical data stores with access logging; 5 TB multi-version capacity; engineering de-identified export separately controlled.</w:t>
            </w:r>
          </w:p>
        </w:tc>
      </w:tr>
      <w:tr>
        <w:tc>
          <w:tcPr>
            <w:tcW w:type="dxa" w:w="4680"/>
            <w:vAlign w:val="center"/>
            <w:shd w:fill="F6F8FA"/>
            <w:tcMar>
              <w:top w:w="90" w:type="dxa"/>
              <w:left w:w="90" w:type="dxa"/>
              <w:bottom w:w="90" w:type="dxa"/>
              <w:right w:w="90" w:type="dxa"/>
            </w:tcMar>
          </w:tcPr>
          <w:p>
            <w:pPr>
              <w:spacing w:after="0"/>
            </w:pPr>
            <w:r>
              <w:rPr>
                <w:sz w:val="16"/>
              </w:rPr>
              <w:t>Operations Team</w:t>
            </w:r>
          </w:p>
        </w:tc>
        <w:tc>
          <w:tcPr>
            <w:tcW w:type="dxa" w:w="4680"/>
            <w:vAlign w:val="center"/>
            <w:shd w:fill="F6F8FA"/>
            <w:tcMar>
              <w:top w:w="90" w:type="dxa"/>
              <w:left w:w="90" w:type="dxa"/>
              <w:bottom w:w="90" w:type="dxa"/>
              <w:right w:w="90" w:type="dxa"/>
            </w:tcMar>
          </w:tcPr>
          <w:p>
            <w:pPr>
              <w:spacing w:after="0"/>
            </w:pPr>
            <w:r>
              <w:rPr>
                <w:sz w:val="16"/>
              </w:rPr>
              <w:t>Staffed planned operations with automated alarm and on-call response.</w:t>
            </w:r>
          </w:p>
        </w:tc>
      </w:tr>
      <w:tr>
        <w:tc>
          <w:tcPr>
            <w:tcW w:type="dxa" w:w="4680"/>
            <w:vAlign w:val="center"/>
            <w:tcMar>
              <w:top w:w="90" w:type="dxa"/>
              <w:left w:w="90" w:type="dxa"/>
              <w:bottom w:w="90" w:type="dxa"/>
              <w:right w:w="90" w:type="dxa"/>
            </w:tcMar>
          </w:tcPr>
          <w:p>
            <w:pPr>
              <w:spacing w:after="0"/>
            </w:pPr>
            <w:r>
              <w:rPr>
                <w:sz w:val="16"/>
              </w:rPr>
              <w:t>Processing and Archive</w:t>
            </w:r>
          </w:p>
        </w:tc>
        <w:tc>
          <w:tcPr>
            <w:tcW w:type="dxa" w:w="4680"/>
            <w:vAlign w:val="center"/>
            <w:tcMar>
              <w:top w:w="90" w:type="dxa"/>
              <w:left w:w="90" w:type="dxa"/>
              <w:bottom w:w="90" w:type="dxa"/>
              <w:right w:w="90" w:type="dxa"/>
            </w:tcMar>
          </w:tcPr>
          <w:p>
            <w:pPr>
              <w:spacing w:after="0"/>
            </w:pPr>
            <w:r>
              <w:rPr>
                <w:sz w:val="16"/>
              </w:rPr>
              <w:t>Level 0 packet retention; Level 1 calibration; Level 2 products with preserved lineage.</w:t>
            </w:r>
          </w:p>
        </w:tc>
      </w:tr>
      <w:tr>
        <w:tc>
          <w:tcPr>
            <w:tcW w:type="dxa" w:w="4680"/>
            <w:vAlign w:val="center"/>
            <w:shd w:fill="F6F8FA"/>
            <w:tcMar>
              <w:top w:w="90" w:type="dxa"/>
              <w:left w:w="90" w:type="dxa"/>
              <w:bottom w:w="90" w:type="dxa"/>
              <w:right w:w="90" w:type="dxa"/>
            </w:tcMar>
          </w:tcPr>
          <w:p>
            <w:pPr>
              <w:spacing w:after="0"/>
            </w:pPr>
            <w:r>
              <w:rPr>
                <w:sz w:val="16"/>
              </w:rPr>
              <w:t>Data Volume / Availability</w:t>
            </w:r>
          </w:p>
        </w:tc>
        <w:tc>
          <w:tcPr>
            <w:tcW w:type="dxa" w:w="4680"/>
            <w:vAlign w:val="center"/>
            <w:shd w:fill="F6F8FA"/>
            <w:tcMar>
              <w:top w:w="90" w:type="dxa"/>
              <w:left w:w="90" w:type="dxa"/>
              <w:bottom w:w="90" w:type="dxa"/>
              <w:right w:w="90" w:type="dxa"/>
            </w:tcMar>
          </w:tcPr>
          <w:p>
            <w:pPr>
              <w:spacing w:after="0"/>
            </w:pPr>
            <w:r>
              <w:rPr>
                <w:sz w:val="16"/>
              </w:rPr>
              <w:t>≤50 MB/day protected clinical and engineering data; no raw identifying data in open archive; scheduled ground service availability ≥99%.</w:t>
            </w:r>
          </w:p>
        </w:tc>
      </w:tr>
    </w:tbl>
    <w:p>
      <w:pPr/>
      <w:r>
        <w:t>The daily return is ≤50 MB/day protected clinical and engineering data; no raw identifying data in open archive. Downlink capacity and stored-data volume shall close under a minimum 48-hour missed-contact case, except where host operations impose a different approved case. Science release depends on validation, access permissions and a documented reprocessing path.</w:t>
      </w:r>
    </w:p>
    <w:p>
      <w:pPr/>
      <w:r>
        <w:t>Mission operations include daily planning, health trending, commands, flight dynamics or host status, calibrated processing, anomaly resolution and archive integrity. Nominal staffing is a planned shift with continuous alarm routing; time-critical encounters or crew procedures require separate surge coverage.</w:t>
      </w:r>
    </w:p>
    <w:p>
      <w:pPr/>
      <w:r>
        <w:t>The data archive retains source packets, released products, calibration files, algorithm version and exceptions. Capacity in Two protected medical data stores with access logging; 5 TB multi-version capacity; engineering de-identified export separately controlled. is a planning provision that shall be verified against years of operation, replication and reprocessing.</w:t>
      </w:r>
    </w:p>
    <w:p>
      <w:pPr>
        <w:pStyle w:val="Heading1"/>
      </w:pPr>
      <w:r>
        <w:t>Systems Engineering and Project Management Approach</w:t>
      </w:r>
    </w:p>
    <w:p>
      <w:pPr>
        <w:pStyle w:val="Heading2"/>
      </w:pPr>
      <w:r>
        <w:t>TRL Levels and Heritage</w:t>
      </w:r>
    </w:p>
    <w:p>
      <w:pPr/>
      <w:r>
        <w:t>A similar component class does not establish mission-specific qualification. Critical payload, software, biological, medical or manufacturing elements target TRL 6 at PDR and TRL 8 before acceptance. The evidence register identifies the exact hardware/software configuration, environment and remaining work for each claim.</w:t>
      </w:r>
    </w:p>
    <w:p>
      <w:pPr>
        <w:pStyle w:val="Heading2"/>
      </w:pPr>
      <w:r>
        <w:t>Phasing Logic and Naming Conventions</w:t>
      </w:r>
    </w:p>
    <w:p>
      <w:pPr>
        <w:pStyle w:val="BodyText"/>
      </w:pPr>
      <w:r>
        <w:t>The costing convention separates early concept work, definition, design, subsystem manufacture and test, system integration, delivery, commissioning, nominal operations and closeout. Phase labels are mapped to the project schedule in Part C.</w:t>
      </w:r>
    </w:p>
    <w:p>
      <w:pPr>
        <w:pStyle w:val="Caption"/>
      </w:pPr>
      <w:r>
        <w:t>Table 3 – Costing Phase Crosswalk</w:t>
      </w:r>
    </w:p>
    <w:tbl>
      <w:tblPr>
        <w:tblStyle w:val="TableGrid"/>
        <w:tblW w:type="auto" w:w="0"/>
        <w:jc w:val="center"/>
        <w:tblLayout w:type="fixed"/>
        <w:tblLook w:firstColumn="1" w:firstRow="1" w:lastColumn="0" w:lastRow="0" w:noHBand="0" w:noVBand="1" w:val="04A0"/>
      </w:tblPr>
      <w:tblGrid>
        <w:gridCol w:w="1872"/>
        <w:gridCol w:w="4032"/>
        <w:gridCol w:w="3168"/>
      </w:tblGrid>
      <w:tr>
        <w:trPr>
          <w:tblHeader w:val="true"/>
        </w:trPr>
        <w:tc>
          <w:tcPr>
            <w:tcW w:type="dxa" w:w="3120"/>
            <w:vAlign w:val="center"/>
            <w:shd w:fill="DDE6EF"/>
            <w:tcMar>
              <w:top w:w="90" w:type="dxa"/>
              <w:left w:w="90" w:type="dxa"/>
              <w:bottom w:w="90" w:type="dxa"/>
              <w:right w:w="90" w:type="dxa"/>
            </w:tcMar>
          </w:tcPr>
          <w:p>
            <w:pPr>
              <w:spacing w:after="0"/>
            </w:pPr>
            <w:r>
              <w:rPr>
                <w:b/>
                <w:sz w:val="16"/>
              </w:rPr>
              <w:t>Costing nomenclature</w:t>
            </w:r>
          </w:p>
        </w:tc>
        <w:tc>
          <w:tcPr>
            <w:tcW w:type="dxa" w:w="3120"/>
            <w:vAlign w:val="center"/>
            <w:shd w:fill="DDE6EF"/>
            <w:tcMar>
              <w:top w:w="90" w:type="dxa"/>
              <w:left w:w="90" w:type="dxa"/>
              <w:bottom w:w="90" w:type="dxa"/>
              <w:right w:w="90" w:type="dxa"/>
            </w:tcMar>
          </w:tcPr>
          <w:p>
            <w:pPr>
              <w:spacing w:after="0"/>
            </w:pPr>
            <w:r>
              <w:rPr>
                <w:b/>
                <w:sz w:val="16"/>
              </w:rPr>
              <w:t>Phase description</w:t>
            </w:r>
          </w:p>
        </w:tc>
        <w:tc>
          <w:tcPr>
            <w:tcW w:type="dxa" w:w="3120"/>
            <w:vAlign w:val="center"/>
            <w:shd w:fill="DDE6EF"/>
            <w:tcMar>
              <w:top w:w="90" w:type="dxa"/>
              <w:left w:w="90" w:type="dxa"/>
              <w:bottom w:w="90" w:type="dxa"/>
              <w:right w:w="90" w:type="dxa"/>
            </w:tcMar>
          </w:tcPr>
          <w:p>
            <w:pPr>
              <w:spacing w:after="0"/>
            </w:pPr>
            <w:r>
              <w:rPr>
                <w:b/>
                <w:sz w:val="16"/>
              </w:rPr>
              <w:t>Project name</w:t>
            </w:r>
          </w:p>
        </w:tc>
      </w:tr>
      <w:tr>
        <w:tc>
          <w:tcPr>
            <w:tcW w:type="dxa" w:w="3120"/>
            <w:vAlign w:val="center"/>
            <w:tcMar>
              <w:top w:w="90" w:type="dxa"/>
              <w:left w:w="90" w:type="dxa"/>
              <w:bottom w:w="90" w:type="dxa"/>
              <w:right w:w="90" w:type="dxa"/>
            </w:tcMar>
          </w:tcPr>
          <w:p>
            <w:pPr>
              <w:spacing w:after="0"/>
            </w:pPr>
            <w:r>
              <w:rPr>
                <w:sz w:val="16"/>
              </w:rPr>
              <w:t>PREP 1</w:t>
            </w:r>
          </w:p>
        </w:tc>
        <w:tc>
          <w:tcPr>
            <w:tcW w:type="dxa" w:w="3120"/>
            <w:vAlign w:val="center"/>
            <w:tcMar>
              <w:top w:w="90" w:type="dxa"/>
              <w:left w:w="90" w:type="dxa"/>
              <w:bottom w:w="90" w:type="dxa"/>
              <w:right w:w="90" w:type="dxa"/>
            </w:tcMar>
          </w:tcPr>
          <w:p>
            <w:pPr>
              <w:spacing w:after="0"/>
            </w:pPr>
            <w:r>
              <w:rPr>
                <w:sz w:val="16"/>
              </w:rPr>
              <w:t>Pre-gate prototyping</w:t>
            </w:r>
          </w:p>
        </w:tc>
        <w:tc>
          <w:tcPr>
            <w:tcW w:type="dxa" w:w="3120"/>
            <w:vAlign w:val="center"/>
            <w:tcMar>
              <w:top w:w="90" w:type="dxa"/>
              <w:left w:w="90" w:type="dxa"/>
              <w:bottom w:w="90" w:type="dxa"/>
              <w:right w:w="90" w:type="dxa"/>
            </w:tcMar>
          </w:tcPr>
          <w:p>
            <w:pPr>
              <w:spacing w:after="0"/>
            </w:pPr>
            <w:r>
              <w:rPr>
                <w:sz w:val="16"/>
              </w:rPr>
              <w:t>Technology maturation</w:t>
            </w:r>
          </w:p>
        </w:tc>
      </w:tr>
      <w:tr>
        <w:tc>
          <w:tcPr>
            <w:tcW w:type="dxa" w:w="3120"/>
            <w:vAlign w:val="center"/>
            <w:shd w:fill="F6F8FA"/>
            <w:tcMar>
              <w:top w:w="90" w:type="dxa"/>
              <w:left w:w="90" w:type="dxa"/>
              <w:bottom w:w="90" w:type="dxa"/>
              <w:right w:w="90" w:type="dxa"/>
            </w:tcMar>
          </w:tcPr>
          <w:p>
            <w:pPr>
              <w:spacing w:after="0"/>
            </w:pPr>
            <w:r>
              <w:rPr>
                <w:sz w:val="16"/>
              </w:rPr>
              <w:t>PREP 2</w:t>
            </w:r>
          </w:p>
        </w:tc>
        <w:tc>
          <w:tcPr>
            <w:tcW w:type="dxa" w:w="3120"/>
            <w:vAlign w:val="center"/>
            <w:shd w:fill="F6F8FA"/>
            <w:tcMar>
              <w:top w:w="90" w:type="dxa"/>
              <w:left w:w="90" w:type="dxa"/>
              <w:bottom w:w="90" w:type="dxa"/>
              <w:right w:w="90" w:type="dxa"/>
            </w:tcMar>
          </w:tcPr>
          <w:p>
            <w:pPr>
              <w:spacing w:after="0"/>
            </w:pPr>
            <w:r>
              <w:rPr>
                <w:sz w:val="16"/>
              </w:rPr>
              <w:t>Phase 0/A prototyping</w:t>
            </w:r>
          </w:p>
        </w:tc>
        <w:tc>
          <w:tcPr>
            <w:tcW w:type="dxa" w:w="3120"/>
            <w:vAlign w:val="center"/>
            <w:shd w:fill="F6F8FA"/>
            <w:tcMar>
              <w:top w:w="90" w:type="dxa"/>
              <w:left w:w="90" w:type="dxa"/>
              <w:bottom w:w="90" w:type="dxa"/>
              <w:right w:w="90" w:type="dxa"/>
            </w:tcMar>
          </w:tcPr>
          <w:p>
            <w:pPr>
              <w:spacing w:after="0"/>
            </w:pPr>
            <w:r>
              <w:rPr>
                <w:sz w:val="16"/>
              </w:rPr>
              <w:t>Concept demonstrations</w:t>
            </w:r>
          </w:p>
        </w:tc>
      </w:tr>
      <w:tr>
        <w:tc>
          <w:tcPr>
            <w:tcW w:type="dxa" w:w="3120"/>
            <w:vAlign w:val="center"/>
            <w:tcMar>
              <w:top w:w="90" w:type="dxa"/>
              <w:left w:w="90" w:type="dxa"/>
              <w:bottom w:w="90" w:type="dxa"/>
              <w:right w:w="90" w:type="dxa"/>
            </w:tcMar>
          </w:tcPr>
          <w:p>
            <w:pPr>
              <w:spacing w:after="0"/>
            </w:pPr>
            <w:r>
              <w:rPr>
                <w:sz w:val="16"/>
              </w:rPr>
              <w:t>Phase 0</w:t>
            </w:r>
          </w:p>
        </w:tc>
        <w:tc>
          <w:tcPr>
            <w:tcW w:type="dxa" w:w="3120"/>
            <w:vAlign w:val="center"/>
            <w:tcMar>
              <w:top w:w="90" w:type="dxa"/>
              <w:left w:w="90" w:type="dxa"/>
              <w:bottom w:w="90" w:type="dxa"/>
              <w:right w:w="90" w:type="dxa"/>
            </w:tcMar>
          </w:tcPr>
          <w:p>
            <w:pPr>
              <w:spacing w:after="0"/>
            </w:pPr>
            <w:r>
              <w:rPr>
                <w:sz w:val="16"/>
              </w:rPr>
              <w:t>Concept and feasibility</w:t>
            </w:r>
          </w:p>
        </w:tc>
        <w:tc>
          <w:tcPr>
            <w:tcW w:type="dxa" w:w="3120"/>
            <w:vAlign w:val="center"/>
            <w:tcMar>
              <w:top w:w="90" w:type="dxa"/>
              <w:left w:w="90" w:type="dxa"/>
              <w:bottom w:w="90" w:type="dxa"/>
              <w:right w:w="90" w:type="dxa"/>
            </w:tcMar>
          </w:tcPr>
          <w:p>
            <w:pPr>
              <w:spacing w:after="0"/>
            </w:pPr>
            <w:r>
              <w:rPr>
                <w:sz w:val="16"/>
              </w:rPr>
              <w:t>Concept</w:t>
            </w:r>
          </w:p>
        </w:tc>
      </w:tr>
      <w:tr>
        <w:tc>
          <w:tcPr>
            <w:tcW w:type="dxa" w:w="3120"/>
            <w:vAlign w:val="center"/>
            <w:shd w:fill="F6F8FA"/>
            <w:tcMar>
              <w:top w:w="90" w:type="dxa"/>
              <w:left w:w="90" w:type="dxa"/>
              <w:bottom w:w="90" w:type="dxa"/>
              <w:right w:w="90" w:type="dxa"/>
            </w:tcMar>
          </w:tcPr>
          <w:p>
            <w:pPr>
              <w:spacing w:after="0"/>
            </w:pPr>
            <w:r>
              <w:rPr>
                <w:sz w:val="16"/>
              </w:rPr>
              <w:t>Phase A</w:t>
            </w:r>
          </w:p>
        </w:tc>
        <w:tc>
          <w:tcPr>
            <w:tcW w:type="dxa" w:w="3120"/>
            <w:vAlign w:val="center"/>
            <w:shd w:fill="F6F8FA"/>
            <w:tcMar>
              <w:top w:w="90" w:type="dxa"/>
              <w:left w:w="90" w:type="dxa"/>
              <w:bottom w:w="90" w:type="dxa"/>
              <w:right w:w="90" w:type="dxa"/>
            </w:tcMar>
          </w:tcPr>
          <w:p>
            <w:pPr>
              <w:spacing w:after="0"/>
            </w:pPr>
            <w:r>
              <w:rPr>
                <w:sz w:val="16"/>
              </w:rPr>
              <w:t>System definition</w:t>
            </w:r>
          </w:p>
        </w:tc>
        <w:tc>
          <w:tcPr>
            <w:tcW w:type="dxa" w:w="3120"/>
            <w:vAlign w:val="center"/>
            <w:shd w:fill="F6F8FA"/>
            <w:tcMar>
              <w:top w:w="90" w:type="dxa"/>
              <w:left w:w="90" w:type="dxa"/>
              <w:bottom w:w="90" w:type="dxa"/>
              <w:right w:w="90" w:type="dxa"/>
            </w:tcMar>
          </w:tcPr>
          <w:p>
            <w:pPr>
              <w:spacing w:after="0"/>
            </w:pPr>
            <w:r>
              <w:rPr>
                <w:sz w:val="16"/>
              </w:rPr>
              <w:t>Definition</w:t>
            </w:r>
          </w:p>
        </w:tc>
      </w:tr>
      <w:tr>
        <w:tc>
          <w:tcPr>
            <w:tcW w:type="dxa" w:w="3120"/>
            <w:vAlign w:val="center"/>
            <w:tcMar>
              <w:top w:w="90" w:type="dxa"/>
              <w:left w:w="90" w:type="dxa"/>
              <w:bottom w:w="90" w:type="dxa"/>
              <w:right w:w="90" w:type="dxa"/>
            </w:tcMar>
          </w:tcPr>
          <w:p>
            <w:pPr>
              <w:spacing w:after="0"/>
            </w:pPr>
            <w:r>
              <w:rPr>
                <w:sz w:val="16"/>
              </w:rPr>
              <w:t>Phase B</w:t>
            </w:r>
          </w:p>
        </w:tc>
        <w:tc>
          <w:tcPr>
            <w:tcW w:type="dxa" w:w="3120"/>
            <w:vAlign w:val="center"/>
            <w:tcMar>
              <w:top w:w="90" w:type="dxa"/>
              <w:left w:w="90" w:type="dxa"/>
              <w:bottom w:w="90" w:type="dxa"/>
              <w:right w:w="90" w:type="dxa"/>
            </w:tcMar>
          </w:tcPr>
          <w:p>
            <w:pPr>
              <w:spacing w:after="0"/>
            </w:pPr>
            <w:r>
              <w:rPr>
                <w:sz w:val="16"/>
              </w:rPr>
              <w:t>Preliminary design</w:t>
            </w:r>
          </w:p>
        </w:tc>
        <w:tc>
          <w:tcPr>
            <w:tcW w:type="dxa" w:w="3120"/>
            <w:vAlign w:val="center"/>
            <w:tcMar>
              <w:top w:w="90" w:type="dxa"/>
              <w:left w:w="90" w:type="dxa"/>
              <w:bottom w:w="90" w:type="dxa"/>
              <w:right w:w="90" w:type="dxa"/>
            </w:tcMar>
          </w:tcPr>
          <w:p>
            <w:pPr>
              <w:spacing w:after="0"/>
            </w:pPr>
            <w:r>
              <w:rPr>
                <w:sz w:val="16"/>
              </w:rPr>
              <w:t>Preliminary design</w:t>
            </w:r>
          </w:p>
        </w:tc>
      </w:tr>
      <w:tr>
        <w:tc>
          <w:tcPr>
            <w:tcW w:type="dxa" w:w="3120"/>
            <w:vAlign w:val="center"/>
            <w:shd w:fill="F6F8FA"/>
            <w:tcMar>
              <w:top w:w="90" w:type="dxa"/>
              <w:left w:w="90" w:type="dxa"/>
              <w:bottom w:w="90" w:type="dxa"/>
              <w:right w:w="90" w:type="dxa"/>
            </w:tcMar>
          </w:tcPr>
          <w:p>
            <w:pPr>
              <w:spacing w:after="0"/>
            </w:pPr>
            <w:r>
              <w:rPr>
                <w:sz w:val="16"/>
              </w:rPr>
              <w:t>Phase C</w:t>
            </w:r>
          </w:p>
        </w:tc>
        <w:tc>
          <w:tcPr>
            <w:tcW w:type="dxa" w:w="3120"/>
            <w:vAlign w:val="center"/>
            <w:shd w:fill="F6F8FA"/>
            <w:tcMar>
              <w:top w:w="90" w:type="dxa"/>
              <w:left w:w="90" w:type="dxa"/>
              <w:bottom w:w="90" w:type="dxa"/>
              <w:right w:w="90" w:type="dxa"/>
            </w:tcMar>
          </w:tcPr>
          <w:p>
            <w:pPr>
              <w:spacing w:after="0"/>
            </w:pPr>
            <w:r>
              <w:rPr>
                <w:sz w:val="16"/>
              </w:rPr>
              <w:t>Detailed design</w:t>
            </w:r>
          </w:p>
        </w:tc>
        <w:tc>
          <w:tcPr>
            <w:tcW w:type="dxa" w:w="3120"/>
            <w:vAlign w:val="center"/>
            <w:shd w:fill="F6F8FA"/>
            <w:tcMar>
              <w:top w:w="90" w:type="dxa"/>
              <w:left w:w="90" w:type="dxa"/>
              <w:bottom w:w="90" w:type="dxa"/>
              <w:right w:w="90" w:type="dxa"/>
            </w:tcMar>
          </w:tcPr>
          <w:p>
            <w:pPr>
              <w:spacing w:after="0"/>
            </w:pPr>
            <w:r>
              <w:rPr>
                <w:sz w:val="16"/>
              </w:rPr>
              <w:t>Detailed design</w:t>
            </w:r>
          </w:p>
        </w:tc>
      </w:tr>
      <w:tr>
        <w:tc>
          <w:tcPr>
            <w:tcW w:type="dxa" w:w="3120"/>
            <w:vAlign w:val="center"/>
            <w:tcMar>
              <w:top w:w="90" w:type="dxa"/>
              <w:left w:w="90" w:type="dxa"/>
              <w:bottom w:w="90" w:type="dxa"/>
              <w:right w:w="90" w:type="dxa"/>
            </w:tcMar>
          </w:tcPr>
          <w:p>
            <w:pPr>
              <w:spacing w:after="0"/>
            </w:pPr>
            <w:r>
              <w:rPr>
                <w:sz w:val="16"/>
              </w:rPr>
              <w:t>Phase D1</w:t>
            </w:r>
          </w:p>
        </w:tc>
        <w:tc>
          <w:tcPr>
            <w:tcW w:type="dxa" w:w="3120"/>
            <w:vAlign w:val="center"/>
            <w:tcMar>
              <w:top w:w="90" w:type="dxa"/>
              <w:left w:w="90" w:type="dxa"/>
              <w:bottom w:w="90" w:type="dxa"/>
              <w:right w:w="90" w:type="dxa"/>
            </w:tcMar>
          </w:tcPr>
          <w:p>
            <w:pPr>
              <w:spacing w:after="0"/>
            </w:pPr>
            <w:r>
              <w:rPr>
                <w:sz w:val="16"/>
              </w:rPr>
              <w:t>Subsystem manufacture and test</w:t>
            </w:r>
          </w:p>
        </w:tc>
        <w:tc>
          <w:tcPr>
            <w:tcW w:type="dxa" w:w="3120"/>
            <w:vAlign w:val="center"/>
            <w:tcMar>
              <w:top w:w="90" w:type="dxa"/>
              <w:left w:w="90" w:type="dxa"/>
              <w:bottom w:w="90" w:type="dxa"/>
              <w:right w:w="90" w:type="dxa"/>
            </w:tcMar>
          </w:tcPr>
          <w:p>
            <w:pPr>
              <w:spacing w:after="0"/>
            </w:pPr>
            <w:r>
              <w:rPr>
                <w:sz w:val="16"/>
              </w:rPr>
              <w:t>Unit AIT</w:t>
            </w:r>
          </w:p>
        </w:tc>
      </w:tr>
      <w:tr>
        <w:tc>
          <w:tcPr>
            <w:tcW w:type="dxa" w:w="3120"/>
            <w:vAlign w:val="center"/>
            <w:shd w:fill="F6F8FA"/>
            <w:tcMar>
              <w:top w:w="90" w:type="dxa"/>
              <w:left w:w="90" w:type="dxa"/>
              <w:bottom w:w="90" w:type="dxa"/>
              <w:right w:w="90" w:type="dxa"/>
            </w:tcMar>
          </w:tcPr>
          <w:p>
            <w:pPr>
              <w:spacing w:after="0"/>
            </w:pPr>
            <w:r>
              <w:rPr>
                <w:sz w:val="16"/>
              </w:rPr>
              <w:t>Phase D2</w:t>
            </w:r>
          </w:p>
        </w:tc>
        <w:tc>
          <w:tcPr>
            <w:tcW w:type="dxa" w:w="3120"/>
            <w:vAlign w:val="center"/>
            <w:shd w:fill="F6F8FA"/>
            <w:tcMar>
              <w:top w:w="90" w:type="dxa"/>
              <w:left w:w="90" w:type="dxa"/>
              <w:bottom w:w="90" w:type="dxa"/>
              <w:right w:w="90" w:type="dxa"/>
            </w:tcMar>
          </w:tcPr>
          <w:p>
            <w:pPr>
              <w:spacing w:after="0"/>
            </w:pPr>
            <w:r>
              <w:rPr>
                <w:sz w:val="16"/>
              </w:rPr>
              <w:t>System assembly, integration and test</w:t>
            </w:r>
          </w:p>
        </w:tc>
        <w:tc>
          <w:tcPr>
            <w:tcW w:type="dxa" w:w="3120"/>
            <w:vAlign w:val="center"/>
            <w:shd w:fill="F6F8FA"/>
            <w:tcMar>
              <w:top w:w="90" w:type="dxa"/>
              <w:left w:w="90" w:type="dxa"/>
              <w:bottom w:w="90" w:type="dxa"/>
              <w:right w:w="90" w:type="dxa"/>
            </w:tcMar>
          </w:tcPr>
          <w:p>
            <w:pPr>
              <w:spacing w:after="0"/>
            </w:pPr>
            <w:r>
              <w:rPr>
                <w:sz w:val="16"/>
              </w:rPr>
              <w:t>System AIT</w:t>
            </w:r>
          </w:p>
        </w:tc>
      </w:tr>
      <w:tr>
        <w:tc>
          <w:tcPr>
            <w:tcW w:type="dxa" w:w="3120"/>
            <w:vAlign w:val="center"/>
            <w:tcMar>
              <w:top w:w="90" w:type="dxa"/>
              <w:left w:w="90" w:type="dxa"/>
              <w:bottom w:w="90" w:type="dxa"/>
              <w:right w:w="90" w:type="dxa"/>
            </w:tcMar>
          </w:tcPr>
          <w:p>
            <w:pPr>
              <w:spacing w:after="0"/>
            </w:pPr>
            <w:r>
              <w:rPr>
                <w:sz w:val="16"/>
              </w:rPr>
              <w:t>LEOP</w:t>
            </w:r>
          </w:p>
        </w:tc>
        <w:tc>
          <w:tcPr>
            <w:tcW w:type="dxa" w:w="3120"/>
            <w:vAlign w:val="center"/>
            <w:tcMar>
              <w:top w:w="90" w:type="dxa"/>
              <w:left w:w="90" w:type="dxa"/>
              <w:bottom w:w="90" w:type="dxa"/>
              <w:right w:w="90" w:type="dxa"/>
            </w:tcMar>
          </w:tcPr>
          <w:p>
            <w:pPr>
              <w:spacing w:after="0"/>
            </w:pPr>
            <w:r>
              <w:rPr>
                <w:sz w:val="16"/>
              </w:rPr>
              <w:t>Delivery and commissioning</w:t>
            </w:r>
          </w:p>
        </w:tc>
        <w:tc>
          <w:tcPr>
            <w:tcW w:type="dxa" w:w="3120"/>
            <w:vAlign w:val="center"/>
            <w:tcMar>
              <w:top w:w="90" w:type="dxa"/>
              <w:left w:w="90" w:type="dxa"/>
              <w:bottom w:w="90" w:type="dxa"/>
              <w:right w:w="90" w:type="dxa"/>
            </w:tcMar>
          </w:tcPr>
          <w:p>
            <w:pPr>
              <w:spacing w:after="0"/>
            </w:pPr>
            <w:r>
              <w:rPr>
                <w:sz w:val="16"/>
              </w:rPr>
              <w:t>Commissioning</w:t>
            </w:r>
          </w:p>
        </w:tc>
      </w:tr>
      <w:tr>
        <w:tc>
          <w:tcPr>
            <w:tcW w:type="dxa" w:w="3120"/>
            <w:vAlign w:val="center"/>
            <w:shd w:fill="F6F8FA"/>
            <w:tcMar>
              <w:top w:w="90" w:type="dxa"/>
              <w:left w:w="90" w:type="dxa"/>
              <w:bottom w:w="90" w:type="dxa"/>
              <w:right w:w="90" w:type="dxa"/>
            </w:tcMar>
          </w:tcPr>
          <w:p>
            <w:pPr>
              <w:spacing w:after="0"/>
            </w:pPr>
            <w:r>
              <w:rPr>
                <w:sz w:val="16"/>
              </w:rPr>
              <w:t>Phase E</w:t>
            </w:r>
          </w:p>
        </w:tc>
        <w:tc>
          <w:tcPr>
            <w:tcW w:type="dxa" w:w="3120"/>
            <w:vAlign w:val="center"/>
            <w:shd w:fill="F6F8FA"/>
            <w:tcMar>
              <w:top w:w="90" w:type="dxa"/>
              <w:left w:w="90" w:type="dxa"/>
              <w:bottom w:w="90" w:type="dxa"/>
              <w:right w:w="90" w:type="dxa"/>
            </w:tcMar>
          </w:tcPr>
          <w:p>
            <w:pPr>
              <w:spacing w:after="0"/>
            </w:pPr>
            <w:r>
              <w:rPr>
                <w:sz w:val="16"/>
              </w:rPr>
              <w:t>Nominal operations</w:t>
            </w:r>
          </w:p>
        </w:tc>
        <w:tc>
          <w:tcPr>
            <w:tcW w:type="dxa" w:w="3120"/>
            <w:vAlign w:val="center"/>
            <w:shd w:fill="F6F8FA"/>
            <w:tcMar>
              <w:top w:w="90" w:type="dxa"/>
              <w:left w:w="90" w:type="dxa"/>
              <w:bottom w:w="90" w:type="dxa"/>
              <w:right w:w="90" w:type="dxa"/>
            </w:tcMar>
          </w:tcPr>
          <w:p>
            <w:pPr>
              <w:spacing w:after="0"/>
            </w:pPr>
            <w:r>
              <w:rPr>
                <w:sz w:val="16"/>
              </w:rPr>
              <w:t>Operations</w:t>
            </w:r>
          </w:p>
        </w:tc>
      </w:tr>
      <w:tr>
        <w:tc>
          <w:tcPr>
            <w:tcW w:type="dxa" w:w="3120"/>
            <w:vAlign w:val="center"/>
            <w:tcMar>
              <w:top w:w="90" w:type="dxa"/>
              <w:left w:w="90" w:type="dxa"/>
              <w:bottom w:w="90" w:type="dxa"/>
              <w:right w:w="90" w:type="dxa"/>
            </w:tcMar>
          </w:tcPr>
          <w:p>
            <w:pPr>
              <w:spacing w:after="0"/>
            </w:pPr>
            <w:r>
              <w:rPr>
                <w:sz w:val="16"/>
              </w:rPr>
              <w:t>Phase E EXT</w:t>
            </w:r>
          </w:p>
        </w:tc>
        <w:tc>
          <w:tcPr>
            <w:tcW w:type="dxa" w:w="3120"/>
            <w:vAlign w:val="center"/>
            <w:tcMar>
              <w:top w:w="90" w:type="dxa"/>
              <w:left w:w="90" w:type="dxa"/>
              <w:bottom w:w="90" w:type="dxa"/>
              <w:right w:w="90" w:type="dxa"/>
            </w:tcMar>
          </w:tcPr>
          <w:p>
            <w:pPr>
              <w:spacing w:after="0"/>
            </w:pPr>
            <w:r>
              <w:rPr>
                <w:sz w:val="16"/>
              </w:rPr>
              <w:t>Extended operations</w:t>
            </w:r>
          </w:p>
        </w:tc>
        <w:tc>
          <w:tcPr>
            <w:tcW w:type="dxa" w:w="3120"/>
            <w:vAlign w:val="center"/>
            <w:tcMar>
              <w:top w:w="90" w:type="dxa"/>
              <w:left w:w="90" w:type="dxa"/>
              <w:bottom w:w="90" w:type="dxa"/>
              <w:right w:w="90" w:type="dxa"/>
            </w:tcMar>
          </w:tcPr>
          <w:p>
            <w:pPr>
              <w:spacing w:after="0"/>
            </w:pPr>
            <w:r>
              <w:rPr>
                <w:sz w:val="16"/>
              </w:rPr>
              <w:t>Extension</w:t>
            </w:r>
          </w:p>
        </w:tc>
      </w:tr>
      <w:tr>
        <w:tc>
          <w:tcPr>
            <w:tcW w:type="dxa" w:w="3120"/>
            <w:vAlign w:val="center"/>
            <w:shd w:fill="F6F8FA"/>
            <w:tcMar>
              <w:top w:w="90" w:type="dxa"/>
              <w:left w:w="90" w:type="dxa"/>
              <w:bottom w:w="90" w:type="dxa"/>
              <w:right w:w="90" w:type="dxa"/>
            </w:tcMar>
          </w:tcPr>
          <w:p>
            <w:pPr>
              <w:spacing w:after="0"/>
            </w:pPr>
            <w:r>
              <w:rPr>
                <w:sz w:val="16"/>
              </w:rPr>
              <w:t>Phase F</w:t>
            </w:r>
          </w:p>
        </w:tc>
        <w:tc>
          <w:tcPr>
            <w:tcW w:type="dxa" w:w="3120"/>
            <w:vAlign w:val="center"/>
            <w:shd w:fill="F6F8FA"/>
            <w:tcMar>
              <w:top w:w="90" w:type="dxa"/>
              <w:left w:w="90" w:type="dxa"/>
              <w:bottom w:w="90" w:type="dxa"/>
              <w:right w:w="90" w:type="dxa"/>
            </w:tcMar>
          </w:tcPr>
          <w:p>
            <w:pPr>
              <w:spacing w:after="0"/>
            </w:pPr>
            <w:r>
              <w:rPr>
                <w:sz w:val="16"/>
              </w:rPr>
              <w:t>Closeout and disposal</w:t>
            </w:r>
          </w:p>
        </w:tc>
        <w:tc>
          <w:tcPr>
            <w:tcW w:type="dxa" w:w="3120"/>
            <w:vAlign w:val="center"/>
            <w:shd w:fill="F6F8FA"/>
            <w:tcMar>
              <w:top w:w="90" w:type="dxa"/>
              <w:left w:w="90" w:type="dxa"/>
              <w:bottom w:w="90" w:type="dxa"/>
              <w:right w:w="90" w:type="dxa"/>
            </w:tcMar>
          </w:tcPr>
          <w:p>
            <w:pPr>
              <w:spacing w:after="0"/>
            </w:pPr>
            <w:r>
              <w:rPr>
                <w:sz w:val="16"/>
              </w:rPr>
              <w:t>Closeout</w:t>
            </w:r>
          </w:p>
        </w:tc>
      </w:tr>
      <w:tr>
        <w:tc>
          <w:tcPr>
            <w:tcW w:type="dxa" w:w="3120"/>
            <w:vAlign w:val="center"/>
            <w:tcMar>
              <w:top w:w="90" w:type="dxa"/>
              <w:left w:w="90" w:type="dxa"/>
              <w:bottom w:w="90" w:type="dxa"/>
              <w:right w:w="90" w:type="dxa"/>
            </w:tcMar>
          </w:tcPr>
          <w:p>
            <w:pPr>
              <w:spacing w:after="0"/>
            </w:pPr>
            <w:r>
              <w:rPr>
                <w:sz w:val="16"/>
              </w:rPr>
              <w:t>Phase G</w:t>
            </w:r>
          </w:p>
        </w:tc>
        <w:tc>
          <w:tcPr>
            <w:tcW w:type="dxa" w:w="3120"/>
            <w:vAlign w:val="center"/>
            <w:tcMar>
              <w:top w:w="90" w:type="dxa"/>
              <w:left w:w="90" w:type="dxa"/>
              <w:bottom w:w="90" w:type="dxa"/>
              <w:right w:w="90" w:type="dxa"/>
            </w:tcMar>
          </w:tcPr>
          <w:p>
            <w:pPr>
              <w:spacing w:after="0"/>
            </w:pPr>
            <w:r>
              <w:rPr>
                <w:sz w:val="16"/>
              </w:rPr>
              <w:t>Data exploitation</w:t>
            </w:r>
          </w:p>
        </w:tc>
        <w:tc>
          <w:tcPr>
            <w:tcW w:type="dxa" w:w="3120"/>
            <w:vAlign w:val="center"/>
            <w:tcMar>
              <w:top w:w="90" w:type="dxa"/>
              <w:left w:w="90" w:type="dxa"/>
              <w:bottom w:w="90" w:type="dxa"/>
              <w:right w:w="90" w:type="dxa"/>
            </w:tcMar>
          </w:tcPr>
          <w:p>
            <w:pPr>
              <w:spacing w:after="0"/>
            </w:pPr>
            <w:r>
              <w:rPr>
                <w:sz w:val="16"/>
              </w:rPr>
              <w:t>Science use</w:t>
            </w:r>
          </w:p>
        </w:tc>
      </w:tr>
    </w:tbl>
    <w:p>
      <w:pPr>
        <w:pStyle w:val="BodyText"/>
      </w:pPr>
      <w:r>
        <w:t>The schedule planning basis is B 15 months; C 12 months; D1 18 months; D2 9 months; installation/commissioning 3 months; E 24 months. Activities with long-lead procurement and parallel unit builds overlap; durations should not be arithmetically summed to infer a delivery date.</w:t>
      </w:r>
    </w:p>
    <w:p>
      <w:pPr>
        <w:pStyle w:val="Caption"/>
      </w:pPr>
      <w:r>
        <w:t>Table 4 – Planning Phase Dates and Durations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vAlign w:val="center"/>
            <w:shd w:fill="DDE6EF"/>
            <w:tcMar>
              <w:top w:w="90" w:type="dxa"/>
              <w:left w:w="90" w:type="dxa"/>
              <w:bottom w:w="90" w:type="dxa"/>
              <w:right w:w="90" w:type="dxa"/>
            </w:tcMar>
          </w:tcPr>
          <w:p>
            <w:pPr>
              <w:spacing w:after="0"/>
            </w:pPr>
            <w:r>
              <w:rPr>
                <w:b/>
                <w:sz w:val="16"/>
              </w:rPr>
              <w:t>Phase</w:t>
            </w:r>
          </w:p>
        </w:tc>
        <w:tc>
          <w:tcPr>
            <w:tcW w:type="dxa" w:w="1170"/>
            <w:vAlign w:val="center"/>
            <w:shd w:fill="DDE6EF"/>
            <w:tcMar>
              <w:top w:w="90" w:type="dxa"/>
              <w:left w:w="90" w:type="dxa"/>
              <w:bottom w:w="90" w:type="dxa"/>
              <w:right w:w="90" w:type="dxa"/>
            </w:tcMar>
          </w:tcPr>
          <w:p>
            <w:pPr>
              <w:spacing w:after="0"/>
            </w:pPr>
            <w:r>
              <w:rPr>
                <w:b/>
                <w:sz w:val="16"/>
              </w:rPr>
              <w:t>0</w:t>
            </w:r>
          </w:p>
        </w:tc>
        <w:tc>
          <w:tcPr>
            <w:tcW w:type="dxa" w:w="1170"/>
            <w:vAlign w:val="center"/>
            <w:shd w:fill="DDE6EF"/>
            <w:tcMar>
              <w:top w:w="90" w:type="dxa"/>
              <w:left w:w="90" w:type="dxa"/>
              <w:bottom w:w="90" w:type="dxa"/>
              <w:right w:w="90" w:type="dxa"/>
            </w:tcMar>
          </w:tcPr>
          <w:p>
            <w:pPr>
              <w:spacing w:after="0"/>
            </w:pPr>
            <w:r>
              <w:rPr>
                <w:b/>
                <w:sz w:val="16"/>
              </w:rPr>
              <w:t>A</w:t>
            </w:r>
          </w:p>
        </w:tc>
        <w:tc>
          <w:tcPr>
            <w:tcW w:type="dxa" w:w="1170"/>
            <w:vAlign w:val="center"/>
            <w:shd w:fill="DDE6EF"/>
            <w:tcMar>
              <w:top w:w="90" w:type="dxa"/>
              <w:left w:w="90" w:type="dxa"/>
              <w:bottom w:w="90" w:type="dxa"/>
              <w:right w:w="90" w:type="dxa"/>
            </w:tcMar>
          </w:tcPr>
          <w:p>
            <w:pPr>
              <w:spacing w:after="0"/>
            </w:pPr>
            <w:r>
              <w:rPr>
                <w:b/>
                <w:sz w:val="16"/>
              </w:rPr>
              <w:t>B</w:t>
            </w:r>
          </w:p>
        </w:tc>
        <w:tc>
          <w:tcPr>
            <w:tcW w:type="dxa" w:w="1170"/>
            <w:vAlign w:val="center"/>
            <w:shd w:fill="DDE6EF"/>
            <w:tcMar>
              <w:top w:w="90" w:type="dxa"/>
              <w:left w:w="90" w:type="dxa"/>
              <w:bottom w:w="90" w:type="dxa"/>
              <w:right w:w="90" w:type="dxa"/>
            </w:tcMar>
          </w:tcPr>
          <w:p>
            <w:pPr>
              <w:spacing w:after="0"/>
            </w:pPr>
            <w:r>
              <w:rPr>
                <w:b/>
                <w:sz w:val="16"/>
              </w:rPr>
              <w:t>C</w:t>
            </w:r>
          </w:p>
        </w:tc>
        <w:tc>
          <w:tcPr>
            <w:tcW w:type="dxa" w:w="1170"/>
            <w:vAlign w:val="center"/>
            <w:shd w:fill="DDE6EF"/>
            <w:tcMar>
              <w:top w:w="90" w:type="dxa"/>
              <w:left w:w="90" w:type="dxa"/>
              <w:bottom w:w="90" w:type="dxa"/>
              <w:right w:w="90" w:type="dxa"/>
            </w:tcMar>
          </w:tcPr>
          <w:p>
            <w:pPr>
              <w:spacing w:after="0"/>
            </w:pPr>
            <w:r>
              <w:rPr>
                <w:b/>
                <w:sz w:val="16"/>
              </w:rPr>
              <w:t>D1</w:t>
            </w:r>
          </w:p>
        </w:tc>
        <w:tc>
          <w:tcPr>
            <w:tcW w:type="dxa" w:w="1170"/>
            <w:vAlign w:val="center"/>
            <w:shd w:fill="DDE6EF"/>
            <w:tcMar>
              <w:top w:w="90" w:type="dxa"/>
              <w:left w:w="90" w:type="dxa"/>
              <w:bottom w:w="90" w:type="dxa"/>
              <w:right w:w="90" w:type="dxa"/>
            </w:tcMar>
          </w:tcPr>
          <w:p>
            <w:pPr>
              <w:spacing w:after="0"/>
            </w:pPr>
            <w:r>
              <w:rPr>
                <w:b/>
                <w:sz w:val="16"/>
              </w:rPr>
              <w:t>D2</w:t>
            </w:r>
          </w:p>
        </w:tc>
        <w:tc>
          <w:tcPr>
            <w:tcW w:type="dxa" w:w="1170"/>
            <w:vAlign w:val="center"/>
            <w:shd w:fill="DDE6EF"/>
            <w:tcMar>
              <w:top w:w="90" w:type="dxa"/>
              <w:left w:w="90" w:type="dxa"/>
              <w:bottom w:w="90" w:type="dxa"/>
              <w:right w:w="90" w:type="dxa"/>
            </w:tcMar>
          </w:tcPr>
          <w:p>
            <w:pPr>
              <w:spacing w:after="0"/>
            </w:pPr>
            <w:r>
              <w:rPr>
                <w:b/>
                <w:sz w:val="16"/>
              </w:rPr>
              <w:t>E</w:t>
            </w:r>
          </w:p>
        </w:tc>
      </w:tr>
      <w:tr>
        <w:tc>
          <w:tcPr>
            <w:tcW w:type="dxa" w:w="1170"/>
            <w:vAlign w:val="center"/>
            <w:tcMar>
              <w:top w:w="90" w:type="dxa"/>
              <w:left w:w="90" w:type="dxa"/>
              <w:bottom w:w="90" w:type="dxa"/>
              <w:right w:w="90" w:type="dxa"/>
            </w:tcMar>
          </w:tcPr>
          <w:p>
            <w:pPr>
              <w:spacing w:after="0"/>
            </w:pPr>
            <w:r>
              <w:rPr>
                <w:sz w:val="16"/>
              </w:rPr>
              <w:t>Duration, months</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15</w:t>
            </w:r>
          </w:p>
        </w:tc>
        <w:tc>
          <w:tcPr>
            <w:tcW w:type="dxa" w:w="1170"/>
            <w:vAlign w:val="center"/>
            <w:tcMar>
              <w:top w:w="90" w:type="dxa"/>
              <w:left w:w="90" w:type="dxa"/>
              <w:bottom w:w="90" w:type="dxa"/>
              <w:right w:w="90" w:type="dxa"/>
            </w:tcMar>
          </w:tcPr>
          <w:p>
            <w:pPr>
              <w:spacing w:after="0"/>
            </w:pPr>
            <w:r>
              <w:rPr>
                <w:sz w:val="16"/>
              </w:rPr>
              <w:t>12</w:t>
            </w:r>
          </w:p>
        </w:tc>
        <w:tc>
          <w:tcPr>
            <w:tcW w:type="dxa" w:w="1170"/>
            <w:vAlign w:val="center"/>
            <w:tcMar>
              <w:top w:w="90" w:type="dxa"/>
              <w:left w:w="90" w:type="dxa"/>
              <w:bottom w:w="90" w:type="dxa"/>
              <w:right w:w="90" w:type="dxa"/>
            </w:tcMar>
          </w:tcPr>
          <w:p>
            <w:pPr>
              <w:spacing w:after="0"/>
            </w:pPr>
            <w:r>
              <w:rPr>
                <w:sz w:val="16"/>
              </w:rPr>
              <w:t>18</w:t>
            </w:r>
          </w:p>
        </w:tc>
        <w:tc>
          <w:tcPr>
            <w:tcW w:type="dxa" w:w="1170"/>
            <w:vAlign w:val="center"/>
            <w:tcMar>
              <w:top w:w="90" w:type="dxa"/>
              <w:left w:w="90" w:type="dxa"/>
              <w:bottom w:w="90" w:type="dxa"/>
              <w:right w:w="90" w:type="dxa"/>
            </w:tcMar>
          </w:tcPr>
          <w:p>
            <w:pPr>
              <w:spacing w:after="0"/>
            </w:pPr>
            <w:r>
              <w:rPr>
                <w:sz w:val="16"/>
              </w:rPr>
              <w:t>9</w:t>
            </w:r>
          </w:p>
        </w:tc>
        <w:tc>
          <w:tcPr>
            <w:tcW w:type="dxa" w:w="1170"/>
            <w:vAlign w:val="center"/>
            <w:tcMar>
              <w:top w:w="90" w:type="dxa"/>
              <w:left w:w="90" w:type="dxa"/>
              <w:bottom w:w="90" w:type="dxa"/>
              <w:right w:w="90" w:type="dxa"/>
            </w:tcMar>
          </w:tcPr>
          <w:p>
            <w:pPr>
              <w:spacing w:after="0"/>
            </w:pPr>
            <w:r>
              <w:rPr>
                <w:sz w:val="16"/>
              </w:rPr>
              <w:t>24</w:t>
            </w:r>
          </w:p>
        </w:tc>
      </w:tr>
      <w:tr>
        <w:tc>
          <w:tcPr>
            <w:tcW w:type="dxa" w:w="1170"/>
            <w:vAlign w:val="center"/>
            <w:shd w:fill="F6F8FA"/>
            <w:tcMar>
              <w:top w:w="90" w:type="dxa"/>
              <w:left w:w="90" w:type="dxa"/>
              <w:bottom w:w="90" w:type="dxa"/>
              <w:right w:w="90" w:type="dxa"/>
            </w:tcMar>
          </w:tcPr>
          <w:p>
            <w:pPr>
              <w:spacing w:after="0"/>
            </w:pPr>
            <w:r>
              <w:rPr>
                <w:sz w:val="16"/>
              </w:rPr>
              <w:t>Status</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r>
    </w:tbl>
    <w:p>
      <w:pPr>
        <w:pStyle w:val="Heading2"/>
      </w:pPr>
      <w:r>
        <w:t>Project Milestones</w:t>
      </w:r>
    </w:p>
    <w:p>
      <w:pPr>
        <w:pStyle w:val="Caption"/>
      </w:pPr>
      <w:r>
        <w:t>Table 5 – Major Milestones</w:t>
      </w:r>
    </w:p>
    <w:tbl>
      <w:tblPr>
        <w:tblStyle w:val="TableGrid"/>
        <w:tblW w:type="auto" w:w="0"/>
        <w:jc w:val="center"/>
        <w:tblLayout w:type="fixed"/>
        <w:tblLook w:firstColumn="1" w:firstRow="1" w:lastColumn="0" w:lastRow="0" w:noHBand="0" w:noVBand="1" w:val="04A0"/>
      </w:tblPr>
      <w:tblGrid>
        <w:gridCol w:w="1656"/>
        <w:gridCol w:w="1584"/>
        <w:gridCol w:w="4176"/>
        <w:gridCol w:w="1800"/>
      </w:tblGrid>
      <w:tr>
        <w:trPr>
          <w:tblHeader w:val="true"/>
        </w:trPr>
        <w:tc>
          <w:tcPr>
            <w:tcW w:type="dxa" w:w="2340"/>
            <w:vAlign w:val="center"/>
            <w:shd w:fill="DDE6EF"/>
            <w:tcMar>
              <w:top w:w="90" w:type="dxa"/>
              <w:left w:w="90" w:type="dxa"/>
              <w:bottom w:w="90" w:type="dxa"/>
              <w:right w:w="90" w:type="dxa"/>
            </w:tcMar>
          </w:tcPr>
          <w:p>
            <w:pPr>
              <w:spacing w:after="0"/>
            </w:pPr>
            <w:r>
              <w:rPr>
                <w:b/>
                <w:sz w:val="16"/>
              </w:rPr>
              <w:t>Instrument / PM Phase</w:t>
            </w:r>
          </w:p>
        </w:tc>
        <w:tc>
          <w:tcPr>
            <w:tcW w:type="dxa" w:w="2340"/>
            <w:vAlign w:val="center"/>
            <w:shd w:fill="DDE6EF"/>
            <w:tcMar>
              <w:top w:w="90" w:type="dxa"/>
              <w:left w:w="90" w:type="dxa"/>
              <w:bottom w:w="90" w:type="dxa"/>
              <w:right w:w="90" w:type="dxa"/>
            </w:tcMar>
          </w:tcPr>
          <w:p>
            <w:pPr>
              <w:spacing w:after="0"/>
            </w:pPr>
            <w:r>
              <w:rPr>
                <w:b/>
                <w:sz w:val="16"/>
              </w:rPr>
              <w:t>Gate / Milestone</w:t>
            </w:r>
          </w:p>
        </w:tc>
        <w:tc>
          <w:tcPr>
            <w:tcW w:type="dxa" w:w="2340"/>
            <w:vAlign w:val="center"/>
            <w:shd w:fill="DDE6EF"/>
            <w:tcMar>
              <w:top w:w="90" w:type="dxa"/>
              <w:left w:w="90" w:type="dxa"/>
              <w:bottom w:w="90" w:type="dxa"/>
              <w:right w:w="90" w:type="dxa"/>
            </w:tcMar>
          </w:tcPr>
          <w:p>
            <w:pPr>
              <w:spacing w:after="0"/>
            </w:pPr>
            <w:r>
              <w:rPr>
                <w:b/>
                <w:sz w:val="16"/>
              </w:rPr>
              <w:t>Major Milestone</w:t>
            </w:r>
          </w:p>
        </w:tc>
        <w:tc>
          <w:tcPr>
            <w:tcW w:type="dxa" w:w="2340"/>
            <w:vAlign w:val="center"/>
            <w:shd w:fill="DDE6EF"/>
            <w:tcMar>
              <w:top w:w="90" w:type="dxa"/>
              <w:left w:w="90" w:type="dxa"/>
              <w:bottom w:w="90" w:type="dxa"/>
              <w:right w:w="90" w:type="dxa"/>
            </w:tcMar>
          </w:tcPr>
          <w:p>
            <w:pPr>
              <w:spacing w:after="0"/>
            </w:pPr>
            <w:r>
              <w:rPr>
                <w:b/>
                <w:sz w:val="16"/>
              </w:rPr>
              <w:t>Milestone Date</w:t>
            </w:r>
          </w:p>
        </w:tc>
      </w:tr>
      <w:tr>
        <w:tc>
          <w:tcPr>
            <w:tcW w:type="dxa" w:w="2340"/>
            <w:vAlign w:val="center"/>
            <w:tcMar>
              <w:top w:w="90" w:type="dxa"/>
              <w:left w:w="90" w:type="dxa"/>
              <w:bottom w:w="90" w:type="dxa"/>
              <w:right w:w="90" w:type="dxa"/>
            </w:tcMar>
          </w:tcPr>
          <w:p>
            <w:pPr>
              <w:spacing w:after="0"/>
            </w:pPr>
            <w:r>
              <w:rPr>
                <w:sz w:val="16"/>
              </w:rPr>
              <w:t>0</w:t>
            </w:r>
          </w:p>
        </w:tc>
        <w:tc>
          <w:tcPr>
            <w:tcW w:type="dxa" w:w="2340"/>
            <w:vAlign w:val="center"/>
            <w:tcMar>
              <w:top w:w="90" w:type="dxa"/>
              <w:left w:w="90" w:type="dxa"/>
              <w:bottom w:w="90" w:type="dxa"/>
              <w:right w:w="90" w:type="dxa"/>
            </w:tcMar>
          </w:tcPr>
          <w:p>
            <w:pPr>
              <w:spacing w:after="0"/>
            </w:pPr>
            <w:r>
              <w:rPr>
                <w:sz w:val="16"/>
              </w:rPr>
              <w:t>MCR</w:t>
            </w:r>
          </w:p>
        </w:tc>
        <w:tc>
          <w:tcPr>
            <w:tcW w:type="dxa" w:w="2340"/>
            <w:vAlign w:val="center"/>
            <w:tcMar>
              <w:top w:w="90" w:type="dxa"/>
              <w:left w:w="90" w:type="dxa"/>
              <w:bottom w:w="90" w:type="dxa"/>
              <w:right w:w="90" w:type="dxa"/>
            </w:tcMar>
          </w:tcPr>
          <w:p>
            <w:pPr>
              <w:spacing w:after="0"/>
            </w:pPr>
            <w:r>
              <w:rPr>
                <w:sz w:val="16"/>
              </w:rPr>
              <w:t>Mission Concept Review</w:t>
            </w:r>
          </w:p>
        </w:tc>
        <w:tc>
          <w:tcPr>
            <w:tcW w:type="dxa" w:w="2340"/>
            <w:vAlign w:val="center"/>
            <w:tcMar>
              <w:top w:w="90" w:type="dxa"/>
              <w:left w:w="90" w:type="dxa"/>
              <w:bottom w:w="90" w:type="dxa"/>
              <w:right w:w="90" w:type="dxa"/>
            </w:tcMar>
          </w:tcPr>
          <w:p>
            <w:pPr>
              <w:spacing w:after="0"/>
            </w:pPr>
            <w:r>
              <w:rPr>
                <w:sz w:val="16"/>
              </w:rPr>
              <w:t>Jun 2027</w:t>
            </w:r>
          </w:p>
        </w:tc>
      </w:tr>
      <w:tr>
        <w:tc>
          <w:tcPr>
            <w:tcW w:type="dxa" w:w="2340"/>
            <w:vAlign w:val="center"/>
            <w:shd w:fill="F6F8FA"/>
            <w:tcMar>
              <w:top w:w="90" w:type="dxa"/>
              <w:left w:w="90" w:type="dxa"/>
              <w:bottom w:w="90" w:type="dxa"/>
              <w:right w:w="90" w:type="dxa"/>
            </w:tcMar>
          </w:tcPr>
          <w:p>
            <w:pPr>
              <w:spacing w:after="0"/>
            </w:pPr>
            <w:r>
              <w:rPr>
                <w:sz w:val="16"/>
              </w:rPr>
              <w:t>A</w:t>
            </w:r>
          </w:p>
        </w:tc>
        <w:tc>
          <w:tcPr>
            <w:tcW w:type="dxa" w:w="2340"/>
            <w:vAlign w:val="center"/>
            <w:shd w:fill="F6F8FA"/>
            <w:tcMar>
              <w:top w:w="90" w:type="dxa"/>
              <w:left w:w="90" w:type="dxa"/>
              <w:bottom w:w="90" w:type="dxa"/>
              <w:right w:w="90" w:type="dxa"/>
            </w:tcMar>
          </w:tcPr>
          <w:p>
            <w:pPr>
              <w:spacing w:after="0"/>
            </w:pPr>
            <w:r>
              <w:rPr>
                <w:sz w:val="16"/>
              </w:rPr>
              <w:t>SRR</w:t>
            </w:r>
          </w:p>
        </w:tc>
        <w:tc>
          <w:tcPr>
            <w:tcW w:type="dxa" w:w="2340"/>
            <w:vAlign w:val="center"/>
            <w:shd w:fill="F6F8FA"/>
            <w:tcMar>
              <w:top w:w="90" w:type="dxa"/>
              <w:left w:w="90" w:type="dxa"/>
              <w:bottom w:w="90" w:type="dxa"/>
              <w:right w:w="90" w:type="dxa"/>
            </w:tcMar>
          </w:tcPr>
          <w:p>
            <w:pPr>
              <w:spacing w:after="0"/>
            </w:pPr>
            <w:r>
              <w:rPr>
                <w:sz w:val="16"/>
              </w:rPr>
              <w:t>System Requirements Review</w:t>
            </w:r>
          </w:p>
        </w:tc>
        <w:tc>
          <w:tcPr>
            <w:tcW w:type="dxa" w:w="2340"/>
            <w:vAlign w:val="center"/>
            <w:shd w:fill="F6F8FA"/>
            <w:tcMar>
              <w:top w:w="90" w:type="dxa"/>
              <w:left w:w="90" w:type="dxa"/>
              <w:bottom w:w="90" w:type="dxa"/>
              <w:right w:w="90" w:type="dxa"/>
            </w:tcMar>
          </w:tcPr>
          <w:p>
            <w:pPr>
              <w:spacing w:after="0"/>
            </w:pPr>
            <w:r>
              <w:rPr>
                <w:sz w:val="16"/>
              </w:rPr>
              <w:t>Apr 2028</w:t>
            </w:r>
          </w:p>
        </w:tc>
      </w:tr>
      <w:tr>
        <w:tc>
          <w:tcPr>
            <w:tcW w:type="dxa" w:w="2340"/>
            <w:vAlign w:val="center"/>
            <w:tcMar>
              <w:top w:w="90" w:type="dxa"/>
              <w:left w:w="90" w:type="dxa"/>
              <w:bottom w:w="90" w:type="dxa"/>
              <w:right w:w="90" w:type="dxa"/>
            </w:tcMar>
          </w:tcPr>
          <w:p>
            <w:pPr>
              <w:spacing w:after="0"/>
            </w:pPr>
            <w:r>
              <w:rPr>
                <w:sz w:val="16"/>
              </w:rPr>
              <w:t>B</w:t>
            </w:r>
          </w:p>
        </w:tc>
        <w:tc>
          <w:tcPr>
            <w:tcW w:type="dxa" w:w="2340"/>
            <w:vAlign w:val="center"/>
            <w:tcMar>
              <w:top w:w="90" w:type="dxa"/>
              <w:left w:w="90" w:type="dxa"/>
              <w:bottom w:w="90" w:type="dxa"/>
              <w:right w:w="90" w:type="dxa"/>
            </w:tcMar>
          </w:tcPr>
          <w:p>
            <w:pPr>
              <w:spacing w:after="0"/>
            </w:pPr>
            <w:r>
              <w:rPr>
                <w:sz w:val="16"/>
              </w:rPr>
              <w:t>PDR</w:t>
            </w:r>
          </w:p>
        </w:tc>
        <w:tc>
          <w:tcPr>
            <w:tcW w:type="dxa" w:w="2340"/>
            <w:vAlign w:val="center"/>
            <w:tcMar>
              <w:top w:w="90" w:type="dxa"/>
              <w:left w:w="90" w:type="dxa"/>
              <w:bottom w:w="90" w:type="dxa"/>
              <w:right w:w="90" w:type="dxa"/>
            </w:tcMar>
          </w:tcPr>
          <w:p>
            <w:pPr>
              <w:spacing w:after="0"/>
            </w:pPr>
            <w:r>
              <w:rPr>
                <w:sz w:val="16"/>
              </w:rPr>
              <w:t>Preliminary Design Review</w:t>
            </w:r>
          </w:p>
        </w:tc>
        <w:tc>
          <w:tcPr>
            <w:tcW w:type="dxa" w:w="2340"/>
            <w:vAlign w:val="center"/>
            <w:tcMar>
              <w:top w:w="90" w:type="dxa"/>
              <w:left w:w="90" w:type="dxa"/>
              <w:bottom w:w="90" w:type="dxa"/>
              <w:right w:w="90" w:type="dxa"/>
            </w:tcMar>
          </w:tcPr>
          <w:p>
            <w:pPr>
              <w:spacing w:after="0"/>
            </w:pPr>
            <w:r>
              <w:rPr>
                <w:sz w:val="16"/>
              </w:rPr>
              <w:t>Jun 2029</w:t>
            </w:r>
          </w:p>
        </w:tc>
      </w:tr>
      <w:tr>
        <w:tc>
          <w:tcPr>
            <w:tcW w:type="dxa" w:w="2340"/>
            <w:vAlign w:val="center"/>
            <w:shd w:fill="F6F8FA"/>
            <w:tcMar>
              <w:top w:w="90" w:type="dxa"/>
              <w:left w:w="90" w:type="dxa"/>
              <w:bottom w:w="90" w:type="dxa"/>
              <w:right w:w="90" w:type="dxa"/>
            </w:tcMar>
          </w:tcPr>
          <w:p>
            <w:pPr>
              <w:spacing w:after="0"/>
            </w:pPr>
            <w:r>
              <w:rPr>
                <w:sz w:val="16"/>
              </w:rPr>
              <w:t>C</w:t>
            </w:r>
          </w:p>
        </w:tc>
        <w:tc>
          <w:tcPr>
            <w:tcW w:type="dxa" w:w="2340"/>
            <w:vAlign w:val="center"/>
            <w:shd w:fill="F6F8FA"/>
            <w:tcMar>
              <w:top w:w="90" w:type="dxa"/>
              <w:left w:w="90" w:type="dxa"/>
              <w:bottom w:w="90" w:type="dxa"/>
              <w:right w:w="90" w:type="dxa"/>
            </w:tcMar>
          </w:tcPr>
          <w:p>
            <w:pPr>
              <w:spacing w:after="0"/>
            </w:pPr>
            <w:r>
              <w:rPr>
                <w:sz w:val="16"/>
              </w:rPr>
              <w:t>CDR</w:t>
            </w:r>
          </w:p>
        </w:tc>
        <w:tc>
          <w:tcPr>
            <w:tcW w:type="dxa" w:w="2340"/>
            <w:vAlign w:val="center"/>
            <w:shd w:fill="F6F8FA"/>
            <w:tcMar>
              <w:top w:w="90" w:type="dxa"/>
              <w:left w:w="90" w:type="dxa"/>
              <w:bottom w:w="90" w:type="dxa"/>
              <w:right w:w="90" w:type="dxa"/>
            </w:tcMar>
          </w:tcPr>
          <w:p>
            <w:pPr>
              <w:spacing w:after="0"/>
            </w:pPr>
            <w:r>
              <w:rPr>
                <w:sz w:val="16"/>
              </w:rPr>
              <w:t>Critical Design Review</w:t>
            </w:r>
          </w:p>
        </w:tc>
        <w:tc>
          <w:tcPr>
            <w:tcW w:type="dxa" w:w="2340"/>
            <w:vAlign w:val="center"/>
            <w:shd w:fill="F6F8FA"/>
            <w:tcMar>
              <w:top w:w="90" w:type="dxa"/>
              <w:left w:w="90" w:type="dxa"/>
              <w:bottom w:w="90" w:type="dxa"/>
              <w:right w:w="90" w:type="dxa"/>
            </w:tcMar>
          </w:tcPr>
          <w:p>
            <w:pPr>
              <w:spacing w:after="0"/>
            </w:pPr>
            <w:r>
              <w:rPr>
                <w:sz w:val="16"/>
              </w:rPr>
              <w:t>Jun 2030</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MRR</w:t>
            </w:r>
          </w:p>
        </w:tc>
        <w:tc>
          <w:tcPr>
            <w:tcW w:type="dxa" w:w="2340"/>
            <w:vAlign w:val="center"/>
            <w:tcMar>
              <w:top w:w="90" w:type="dxa"/>
              <w:left w:w="90" w:type="dxa"/>
              <w:bottom w:w="90" w:type="dxa"/>
              <w:right w:w="90" w:type="dxa"/>
            </w:tcMar>
          </w:tcPr>
          <w:p>
            <w:pPr>
              <w:spacing w:after="0"/>
            </w:pPr>
            <w:r>
              <w:rPr>
                <w:sz w:val="16"/>
              </w:rPr>
              <w:t>Manufacturing Readiness Review</w:t>
            </w:r>
          </w:p>
        </w:tc>
        <w:tc>
          <w:tcPr>
            <w:tcW w:type="dxa" w:w="2340"/>
            <w:vAlign w:val="center"/>
            <w:tcMar>
              <w:top w:w="90" w:type="dxa"/>
              <w:left w:w="90" w:type="dxa"/>
              <w:bottom w:w="90" w:type="dxa"/>
              <w:right w:w="90" w:type="dxa"/>
            </w:tcMar>
          </w:tcPr>
          <w:p>
            <w:pPr>
              <w:spacing w:after="0"/>
            </w:pPr>
            <w:r>
              <w:rPr>
                <w:sz w:val="16"/>
              </w:rPr>
              <w:t>Sep 2030</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Radiation qualification</w:t>
            </w:r>
          </w:p>
        </w:tc>
        <w:tc>
          <w:tcPr>
            <w:tcW w:type="dxa" w:w="2340"/>
            <w:vAlign w:val="center"/>
            <w:shd w:fill="F6F8FA"/>
            <w:tcMar>
              <w:top w:w="90" w:type="dxa"/>
              <w:left w:w="90" w:type="dxa"/>
              <w:bottom w:w="90" w:type="dxa"/>
              <w:right w:w="90" w:type="dxa"/>
            </w:tcMar>
          </w:tcPr>
          <w:p>
            <w:pPr>
              <w:spacing w:after="0"/>
            </w:pPr>
            <w:r>
              <w:rPr>
                <w:sz w:val="16"/>
              </w:rPr>
              <w:t>Dec 2031</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Flight unit complete</w:t>
            </w:r>
          </w:p>
        </w:tc>
        <w:tc>
          <w:tcPr>
            <w:tcW w:type="dxa" w:w="2340"/>
            <w:vAlign w:val="center"/>
            <w:tcMar>
              <w:top w:w="90" w:type="dxa"/>
              <w:left w:w="90" w:type="dxa"/>
              <w:bottom w:w="90" w:type="dxa"/>
              <w:right w:w="90" w:type="dxa"/>
            </w:tcMar>
          </w:tcPr>
          <w:p>
            <w:pPr>
              <w:spacing w:after="0"/>
            </w:pPr>
            <w:r>
              <w:rPr>
                <w:sz w:val="16"/>
              </w:rPr>
              <w:t>Mar 2032</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Rack fit test</w:t>
            </w:r>
          </w:p>
        </w:tc>
        <w:tc>
          <w:tcPr>
            <w:tcW w:type="dxa" w:w="2340"/>
            <w:vAlign w:val="center"/>
            <w:shd w:fill="F6F8FA"/>
            <w:tcMar>
              <w:top w:w="90" w:type="dxa"/>
              <w:left w:w="90" w:type="dxa"/>
              <w:bottom w:w="90" w:type="dxa"/>
              <w:right w:w="90" w:type="dxa"/>
            </w:tcMar>
          </w:tcPr>
          <w:p>
            <w:pPr>
              <w:spacing w:after="0"/>
            </w:pPr>
            <w:r>
              <w:rPr>
                <w:sz w:val="16"/>
              </w:rPr>
              <w:t>Sep 2032</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SIR</w:t>
            </w:r>
          </w:p>
        </w:tc>
        <w:tc>
          <w:tcPr>
            <w:tcW w:type="dxa" w:w="2340"/>
            <w:vAlign w:val="center"/>
            <w:tcMar>
              <w:top w:w="90" w:type="dxa"/>
              <w:left w:w="90" w:type="dxa"/>
              <w:bottom w:w="90" w:type="dxa"/>
              <w:right w:w="90" w:type="dxa"/>
            </w:tcMar>
          </w:tcPr>
          <w:p>
            <w:pPr>
              <w:spacing w:after="0"/>
            </w:pPr>
            <w:r>
              <w:rPr>
                <w:sz w:val="16"/>
              </w:rPr>
              <w:t>System Integration Review</w:t>
            </w:r>
          </w:p>
        </w:tc>
        <w:tc>
          <w:tcPr>
            <w:tcW w:type="dxa" w:w="2340"/>
            <w:vAlign w:val="center"/>
            <w:tcMar>
              <w:top w:w="90" w:type="dxa"/>
              <w:left w:w="90" w:type="dxa"/>
              <w:bottom w:w="90" w:type="dxa"/>
              <w:right w:w="90" w:type="dxa"/>
            </w:tcMar>
          </w:tcPr>
          <w:p>
            <w:pPr>
              <w:spacing w:after="0"/>
            </w:pPr>
            <w:r>
              <w:rPr>
                <w:sz w:val="16"/>
              </w:rPr>
              <w:t>Nov 2032</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AR</w:t>
            </w:r>
          </w:p>
        </w:tc>
        <w:tc>
          <w:tcPr>
            <w:tcW w:type="dxa" w:w="2340"/>
            <w:vAlign w:val="center"/>
            <w:shd w:fill="F6F8FA"/>
            <w:tcMar>
              <w:top w:w="90" w:type="dxa"/>
              <w:left w:w="90" w:type="dxa"/>
              <w:bottom w:w="90" w:type="dxa"/>
              <w:right w:w="90" w:type="dxa"/>
            </w:tcMar>
          </w:tcPr>
          <w:p>
            <w:pPr>
              <w:spacing w:after="0"/>
            </w:pPr>
            <w:r>
              <w:rPr>
                <w:sz w:val="16"/>
              </w:rPr>
              <w:t>Acceptance</w:t>
            </w:r>
          </w:p>
        </w:tc>
        <w:tc>
          <w:tcPr>
            <w:tcW w:type="dxa" w:w="2340"/>
            <w:vAlign w:val="center"/>
            <w:shd w:fill="F6F8FA"/>
            <w:tcMar>
              <w:top w:w="90" w:type="dxa"/>
              <w:left w:w="90" w:type="dxa"/>
              <w:bottom w:w="90" w:type="dxa"/>
              <w:right w:w="90" w:type="dxa"/>
            </w:tcMar>
          </w:tcPr>
          <w:p>
            <w:pPr>
              <w:spacing w:after="0"/>
            </w:pPr>
            <w:r>
              <w:rPr>
                <w:sz w:val="16"/>
              </w:rPr>
              <w:t>Apr 2033</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LRR</w:t>
            </w:r>
          </w:p>
        </w:tc>
        <w:tc>
          <w:tcPr>
            <w:tcW w:type="dxa" w:w="2340"/>
            <w:vAlign w:val="center"/>
            <w:tcMar>
              <w:top w:w="90" w:type="dxa"/>
              <w:left w:w="90" w:type="dxa"/>
              <w:bottom w:w="90" w:type="dxa"/>
              <w:right w:w="90" w:type="dxa"/>
            </w:tcMar>
          </w:tcPr>
          <w:p>
            <w:pPr>
              <w:spacing w:after="0"/>
            </w:pPr>
            <w:r>
              <w:rPr>
                <w:sz w:val="16"/>
              </w:rPr>
              <w:t>Launch / Delivery Readiness Review</w:t>
            </w:r>
          </w:p>
        </w:tc>
        <w:tc>
          <w:tcPr>
            <w:tcW w:type="dxa" w:w="2340"/>
            <w:vAlign w:val="center"/>
            <w:tcMar>
              <w:top w:w="90" w:type="dxa"/>
              <w:left w:w="90" w:type="dxa"/>
              <w:bottom w:w="90" w:type="dxa"/>
              <w:right w:w="90" w:type="dxa"/>
            </w:tcMar>
          </w:tcPr>
          <w:p>
            <w:pPr>
              <w:spacing w:after="0"/>
            </w:pPr>
            <w:r>
              <w:rPr>
                <w:sz w:val="16"/>
              </w:rPr>
              <w:t>Jul 2033</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Cargo delivery</w:t>
            </w:r>
          </w:p>
        </w:tc>
        <w:tc>
          <w:tcPr>
            <w:tcW w:type="dxa" w:w="2340"/>
            <w:vAlign w:val="center"/>
            <w:shd w:fill="F6F8FA"/>
            <w:tcMar>
              <w:top w:w="90" w:type="dxa"/>
              <w:left w:w="90" w:type="dxa"/>
              <w:bottom w:w="90" w:type="dxa"/>
              <w:right w:w="90" w:type="dxa"/>
            </w:tcMar>
          </w:tcPr>
          <w:p>
            <w:pPr>
              <w:spacing w:after="0"/>
            </w:pPr>
            <w:r>
              <w:rPr>
                <w:sz w:val="16"/>
              </w:rPr>
              <w:t>Sep 2033</w:t>
            </w:r>
          </w:p>
        </w:tc>
      </w:tr>
      <w:tr>
        <w:tc>
          <w:tcPr>
            <w:tcW w:type="dxa" w:w="2340"/>
            <w:vAlign w:val="center"/>
            <w:tcMar>
              <w:top w:w="90" w:type="dxa"/>
              <w:left w:w="90" w:type="dxa"/>
              <w:bottom w:w="90" w:type="dxa"/>
              <w:right w:w="90" w:type="dxa"/>
            </w:tcMar>
          </w:tcPr>
          <w:p>
            <w:pPr>
              <w:spacing w:after="0"/>
            </w:pPr>
            <w:r>
              <w:rPr>
                <w:sz w:val="16"/>
              </w:rPr>
              <w:t>E</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Commissioning</w:t>
            </w:r>
          </w:p>
        </w:tc>
        <w:tc>
          <w:tcPr>
            <w:tcW w:type="dxa" w:w="2340"/>
            <w:vAlign w:val="center"/>
            <w:tcMar>
              <w:top w:w="90" w:type="dxa"/>
              <w:left w:w="90" w:type="dxa"/>
              <w:bottom w:w="90" w:type="dxa"/>
              <w:right w:w="90" w:type="dxa"/>
            </w:tcMar>
          </w:tcPr>
          <w:p>
            <w:pPr>
              <w:spacing w:after="0"/>
            </w:pPr>
            <w:r>
              <w:rPr>
                <w:sz w:val="16"/>
              </w:rPr>
              <w:t>Dec 2033</w:t>
            </w:r>
          </w:p>
        </w:tc>
      </w:tr>
      <w:tr>
        <w:tc>
          <w:tcPr>
            <w:tcW w:type="dxa" w:w="2340"/>
            <w:vAlign w:val="center"/>
            <w:shd w:fill="F6F8FA"/>
            <w:tcMar>
              <w:top w:w="90" w:type="dxa"/>
              <w:left w:w="90" w:type="dxa"/>
              <w:bottom w:w="90" w:type="dxa"/>
              <w:right w:w="90" w:type="dxa"/>
            </w:tcMar>
          </w:tcPr>
          <w:p>
            <w:pPr>
              <w:spacing w:after="0"/>
            </w:pPr>
            <w:r>
              <w:rPr>
                <w:sz w:val="16"/>
              </w:rPr>
              <w:t>E</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Nominal end</w:t>
            </w:r>
          </w:p>
        </w:tc>
        <w:tc>
          <w:tcPr>
            <w:tcW w:type="dxa" w:w="2340"/>
            <w:vAlign w:val="center"/>
            <w:shd w:fill="F6F8FA"/>
            <w:tcMar>
              <w:top w:w="90" w:type="dxa"/>
              <w:left w:w="90" w:type="dxa"/>
              <w:bottom w:w="90" w:type="dxa"/>
              <w:right w:w="90" w:type="dxa"/>
            </w:tcMar>
          </w:tcPr>
          <w:p>
            <w:pPr>
              <w:spacing w:after="0"/>
            </w:pPr>
            <w:r>
              <w:rPr>
                <w:sz w:val="16"/>
              </w:rPr>
              <w:t>Dec 2035</w:t>
            </w:r>
          </w:p>
        </w:tc>
      </w:tr>
    </w:tbl>
    <w:p>
      <w:pPr>
        <w:pStyle w:val="Heading2"/>
      </w:pPr>
      <w:r>
        <w:t>Safety and Mission Assurance</w:t>
      </w:r>
    </w:p>
    <w:p>
      <w:pPr/>
      <w:r>
        <w:t>The project applies controlled requirements, hazard analysis, independent quality oversight, parts and materials screening, nonconformance disposition, serialized configuration and documented readiness reviews. Hazards include stored energy, fluid containment, high voltage, radiation, moving mechanisms, thermal surfaces and potential loss of user service as applicable.</w:t>
      </w:r>
    </w:p>
    <w:p>
      <w:pPr/>
      <w:r>
        <w:t>For Thovaren Skeletal Health Monitor, the initial risk concentration is Crew radiation dose and shielding verification, phantom drift, repositioning bias, software measurement repeatability, privacy boundary and schedule impacts from crew availability. Safety-related controls receive independent verification; mission success and medical or food-use claims require separate acceptance evidence.</w:t>
      </w:r>
    </w:p>
    <w:p>
      <w:pPr>
        <w:pStyle w:val="Heading2"/>
      </w:pPr>
      <w:r>
        <w:t>Prototyping Model Philosophy Qualification and Verification Strategy</w:t>
      </w:r>
    </w:p>
    <w:p>
      <w:pPr/>
      <w:r>
        <w:t>The reference model philosophy comprises an electrical integration article, engineering or breadboard articles for novel functions, a structural/thermal qualification article and 1 flight or delivered unit(s). Every unit receives end-to-end functional, environmental workmanship, communications, safety and calibration testing. Qualification of a representative article does not waive acceptance of later units.</w:t>
      </w:r>
    </w:p>
    <w:p>
      <w:pPr/>
      <w:r>
        <w:t>Verification records state the exact serial number, software version, procedures, environmental settings, anomalies and concessions. The commissioning review compares as-delivered performance to the reference allocation before operations begin.</w:t>
      </w:r>
    </w:p>
    <w:p>
      <w:pPr>
        <w:pStyle w:val="Heading2"/>
      </w:pPr>
      <w:r>
        <w:t>Sparing Strategy</w:t>
      </w:r>
    </w:p>
    <w:p>
      <w:pPr>
        <w:pStyle w:val="BodyText"/>
      </w:pPr>
      <w:r>
        <w:t>Flight spares are allocated for critical, long lead and failure-prone units. A maintained engineering article and ground support equipment support anomaly reproduction and software validation. The final spare quantities and holding costs belong in Part B.</w:t>
      </w:r>
    </w:p>
    <w:p>
      <w:pPr>
        <w:pStyle w:val="Heading2"/>
      </w:pPr>
      <w:r>
        <w:t>Risk Assessment</w:t>
      </w:r>
    </w:p>
    <w:p>
      <w:pPr/>
      <w:r>
        <w:t>The Part C risk register controls risk probability, cost and schedule exposure. Principal threats: Crew radiation dose and shielding verification, phantom drift, repositioning bias, software measurement repeatability, privacy boundary and schedule impacts from crew availability. Each has an owner, trigger, planned mitigation and residual exposure. Design reserves on mass, power, data and propellant or consumables are reported separately from financial contingency.</w:t>
      </w:r>
    </w:p>
    <w:p>
      <w:pPr>
        <w:pStyle w:val="Heading2"/>
      </w:pPr>
      <w:r>
        <w:t>Organizational Breakdown Structure</w:t>
      </w:r>
    </w:p>
    <w:p>
      <w:pPr>
        <w:pStyle w:val="Heading3"/>
      </w:pPr>
      <w:r>
        <w:t>Space Agencies and Government Organizations</w:t>
      </w:r>
    </w:p>
    <w:p>
      <w:pPr>
        <w:pStyle w:val="Caption"/>
      </w:pPr>
      <w:r>
        <w:t>Table 6 – Mission Organizations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Jurisdiction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Orvellis Crew Systems Office</w:t>
            </w:r>
          </w:p>
        </w:tc>
        <w:tc>
          <w:tcPr>
            <w:tcW w:type="dxa" w:w="3120"/>
            <w:vAlign w:val="center"/>
            <w:tcMar>
              <w:top w:w="90" w:type="dxa"/>
              <w:left w:w="90" w:type="dxa"/>
              <w:bottom w:w="90" w:type="dxa"/>
              <w:right w:w="90" w:type="dxa"/>
            </w:tcMar>
          </w:tcPr>
          <w:p>
            <w:pPr>
              <w:spacing w:after="0"/>
            </w:pPr>
            <w:r>
              <w:rPr>
                <w:sz w:val="16"/>
              </w:rPr>
              <w:t>Mission jurisdiction</w:t>
            </w:r>
          </w:p>
        </w:tc>
        <w:tc>
          <w:tcPr>
            <w:tcW w:type="dxa" w:w="3120"/>
            <w:vAlign w:val="center"/>
            <w:tcMar>
              <w:top w:w="90" w:type="dxa"/>
              <w:left w:w="90" w:type="dxa"/>
              <w:bottom w:w="90" w:type="dxa"/>
              <w:right w:w="90" w:type="dxa"/>
            </w:tcMar>
          </w:tcPr>
          <w:p>
            <w:pPr>
              <w:spacing w:after="0"/>
            </w:pPr>
            <w:r>
              <w:rPr>
                <w:sz w:val="16"/>
              </w:rPr>
              <w:t>mission authority, procurement, project assurance and acceptance.</w:t>
            </w:r>
          </w:p>
        </w:tc>
      </w:tr>
    </w:tbl>
    <w:p>
      <w:pPr>
        <w:pStyle w:val="Heading3"/>
      </w:pPr>
      <w:r>
        <w:t>Industrial Partners</w:t>
      </w:r>
    </w:p>
    <w:p>
      <w:pPr>
        <w:pStyle w:val="Caption"/>
      </w:pPr>
      <w:r>
        <w:t>Table 7 – Industrial Partners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Talveron Flight Hardware</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integrated unit design, manufacture and system verification.</w:t>
            </w:r>
          </w:p>
        </w:tc>
      </w:tr>
      <w:tr>
        <w:tc>
          <w:tcPr>
            <w:tcW w:type="dxa" w:w="3120"/>
            <w:vAlign w:val="center"/>
            <w:shd w:fill="F6F8FA"/>
            <w:tcMar>
              <w:top w:w="90" w:type="dxa"/>
              <w:left w:w="90" w:type="dxa"/>
              <w:bottom w:w="90" w:type="dxa"/>
              <w:right w:w="90" w:type="dxa"/>
            </w:tcMar>
          </w:tcPr>
          <w:p>
            <w:pPr>
              <w:spacing w:after="0"/>
            </w:pPr>
            <w:r>
              <w:rPr>
                <w:sz w:val="16"/>
              </w:rPr>
              <w:t>Cevrith Diagnostic Instruments</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payload/process equipment and acceptance calibration.</w:t>
            </w:r>
          </w:p>
        </w:tc>
      </w:tr>
      <w:tr>
        <w:tc>
          <w:tcPr>
            <w:tcW w:type="dxa" w:w="3120"/>
            <w:vAlign w:val="center"/>
            <w:tcMar>
              <w:top w:w="90" w:type="dxa"/>
              <w:left w:w="90" w:type="dxa"/>
              <w:bottom w:w="90" w:type="dxa"/>
              <w:right w:w="90" w:type="dxa"/>
            </w:tcMar>
          </w:tcPr>
          <w:p>
            <w:pPr>
              <w:spacing w:after="0"/>
            </w:pPr>
            <w:r>
              <w:rPr>
                <w:sz w:val="16"/>
              </w:rPr>
              <w:t>Muravex Cargo Services</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delivery, campaign operations and associated interfaces.</w:t>
            </w:r>
          </w:p>
        </w:tc>
      </w:tr>
      <w:tr>
        <w:tc>
          <w:tcPr>
            <w:tcW w:type="dxa" w:w="3120"/>
            <w:vAlign w:val="center"/>
            <w:shd w:fill="F6F8FA"/>
            <w:tcMar>
              <w:top w:w="90" w:type="dxa"/>
              <w:left w:w="90" w:type="dxa"/>
              <w:bottom w:w="90" w:type="dxa"/>
              <w:right w:w="90" w:type="dxa"/>
            </w:tcMar>
          </w:tcPr>
          <w:p>
            <w:pPr>
              <w:spacing w:after="0"/>
            </w:pPr>
            <w:r>
              <w:rPr>
                <w:sz w:val="16"/>
              </w:rPr>
              <w:t>Nerivall Medical Data Centre</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ground network, receiving interfaces and operations support.</w:t>
            </w:r>
          </w:p>
        </w:tc>
      </w:tr>
    </w:tbl>
    <w:p>
      <w:pPr>
        <w:pStyle w:val="Heading3"/>
      </w:pPr>
      <w:r>
        <w:t>Participating Academic Institutions</w:t>
      </w:r>
    </w:p>
    <w:p>
      <w:pPr>
        <w:pStyle w:val="Caption"/>
      </w:pPr>
      <w:r>
        <w:t>Table 8 – Research Institutions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Institution</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contribution</w:t>
            </w:r>
          </w:p>
        </w:tc>
      </w:tr>
      <w:tr>
        <w:tc>
          <w:tcPr>
            <w:tcW w:type="dxa" w:w="3120"/>
            <w:vAlign w:val="center"/>
            <w:tcMar>
              <w:top w:w="90" w:type="dxa"/>
              <w:left w:w="90" w:type="dxa"/>
              <w:bottom w:w="90" w:type="dxa"/>
              <w:right w:w="90" w:type="dxa"/>
            </w:tcMar>
          </w:tcPr>
          <w:p>
            <w:pPr>
              <w:spacing w:after="0"/>
            </w:pPr>
            <w:r>
              <w:rPr>
                <w:sz w:val="16"/>
              </w:rPr>
              <w:t>Yevranel Human Performance Institute</w:t>
            </w:r>
          </w:p>
        </w:tc>
        <w:tc>
          <w:tcPr>
            <w:tcW w:type="dxa" w:w="3120"/>
            <w:vAlign w:val="center"/>
            <w:tcMar>
              <w:top w:w="90" w:type="dxa"/>
              <w:left w:w="90" w:type="dxa"/>
              <w:bottom w:w="90" w:type="dxa"/>
              <w:right w:w="90" w:type="dxa"/>
            </w:tcMar>
          </w:tcPr>
          <w:p>
            <w:pPr>
              <w:spacing w:after="0"/>
            </w:pPr>
            <w:r>
              <w:rPr>
                <w:sz w:val="16"/>
              </w:rPr>
              <w:t>Science consortium</w:t>
            </w:r>
          </w:p>
        </w:tc>
        <w:tc>
          <w:tcPr>
            <w:tcW w:type="dxa" w:w="3120"/>
            <w:vAlign w:val="center"/>
            <w:tcMar>
              <w:top w:w="90" w:type="dxa"/>
              <w:left w:w="90" w:type="dxa"/>
              <w:bottom w:w="90" w:type="dxa"/>
              <w:right w:w="90" w:type="dxa"/>
            </w:tcMar>
          </w:tcPr>
          <w:p>
            <w:pPr>
              <w:spacing w:after="0"/>
            </w:pPr>
            <w:r>
              <w:rPr>
                <w:sz w:val="16"/>
              </w:rPr>
              <w:t>science or user requirements, calibration, data validation and exploitation.</w:t>
            </w:r>
          </w:p>
        </w:tc>
      </w:tr>
    </w:tbl>
    <w:p>
      <w:pPr>
        <w:pStyle w:val="Heading3"/>
      </w:pPr>
      <w:r>
        <w:t>Scientific Leadership (Principal Investigator)</w:t>
      </w:r>
    </w:p>
    <w:p>
      <w:pPr>
        <w:pStyle w:val="Caption"/>
      </w:pPr>
      <w:r>
        <w:t>Table 9 – Scientific Leadership</w:t>
      </w:r>
    </w:p>
    <w:tbl>
      <w:tblPr>
        <w:tblStyle w:val="TableGrid"/>
        <w:tblW w:type="auto" w:w="0"/>
        <w:jc w:val="center"/>
        <w:tblLayout w:type="fixed"/>
        <w:tblLook w:firstColumn="1" w:firstRow="1" w:lastColumn="0" w:lastRow="0" w:noHBand="0" w:noVBand="1" w:val="04A0"/>
      </w:tblPr>
      <w:tblGrid>
        <w:gridCol w:w="2880"/>
        <w:gridCol w:w="2016"/>
        <w:gridCol w:w="4320"/>
      </w:tblGrid>
      <w:tr>
        <w:trPr>
          <w:tblHeader w:val="true"/>
        </w:trPr>
        <w:tc>
          <w:tcPr>
            <w:tcW w:type="dxa" w:w="3120"/>
            <w:vAlign w:val="center"/>
            <w:shd w:fill="DDE6EF"/>
            <w:tcMar>
              <w:top w:w="90" w:type="dxa"/>
              <w:left w:w="90" w:type="dxa"/>
              <w:bottom w:w="90" w:type="dxa"/>
              <w:right w:w="90" w:type="dxa"/>
            </w:tcMar>
          </w:tcPr>
          <w:p>
            <w:pPr>
              <w:spacing w:after="0"/>
            </w:pPr>
            <w:r>
              <w:rPr>
                <w:b/>
                <w:sz w:val="16"/>
              </w:rPr>
              <w:t>Position</w:t>
            </w:r>
          </w:p>
        </w:tc>
        <w:tc>
          <w:tcPr>
            <w:tcW w:type="dxa" w:w="3120"/>
            <w:vAlign w:val="center"/>
            <w:shd w:fill="DDE6EF"/>
            <w:tcMar>
              <w:top w:w="90" w:type="dxa"/>
              <w:left w:w="90" w:type="dxa"/>
              <w:bottom w:w="90" w:type="dxa"/>
              <w:right w:w="90" w:type="dxa"/>
            </w:tcMar>
          </w:tcPr>
          <w:p>
            <w:pPr>
              <w:spacing w:after="0"/>
            </w:pPr>
            <w:r>
              <w:rPr>
                <w:b/>
                <w:sz w:val="16"/>
              </w:rPr>
              <w:t>Assigned individual</w:t>
            </w:r>
          </w:p>
        </w:tc>
        <w:tc>
          <w:tcPr>
            <w:tcW w:type="dxa" w:w="3120"/>
            <w:vAlign w:val="center"/>
            <w:shd w:fill="DDE6EF"/>
            <w:tcMar>
              <w:top w:w="90" w:type="dxa"/>
              <w:left w:w="90" w:type="dxa"/>
              <w:bottom w:w="90" w:type="dxa"/>
              <w:right w:w="90" w:type="dxa"/>
            </w:tcMar>
          </w:tcPr>
          <w:p>
            <w:pPr>
              <w:spacing w:after="0"/>
            </w:pPr>
            <w:r>
              <w:rPr>
                <w:b/>
                <w:sz w:val="16"/>
              </w:rPr>
              <w:t>Affiliation</w:t>
            </w:r>
          </w:p>
        </w:tc>
      </w:tr>
      <w:tr>
        <w:tc>
          <w:tcPr>
            <w:tcW w:type="dxa" w:w="3120"/>
            <w:vAlign w:val="center"/>
            <w:tcMar>
              <w:top w:w="90" w:type="dxa"/>
              <w:left w:w="90" w:type="dxa"/>
              <w:bottom w:w="90" w:type="dxa"/>
              <w:right w:w="90" w:type="dxa"/>
            </w:tcMar>
          </w:tcPr>
          <w:p>
            <w:pPr>
              <w:spacing w:after="0"/>
            </w:pPr>
            <w:r>
              <w:rPr>
                <w:sz w:val="16"/>
              </w:rPr>
              <w:t>Principal investigator</w:t>
            </w:r>
          </w:p>
        </w:tc>
        <w:tc>
          <w:tcPr>
            <w:tcW w:type="dxa" w:w="3120"/>
            <w:vAlign w:val="center"/>
            <w:tcMar>
              <w:top w:w="90" w:type="dxa"/>
              <w:left w:w="90" w:type="dxa"/>
              <w:bottom w:w="90" w:type="dxa"/>
              <w:right w:w="90" w:type="dxa"/>
            </w:tcMar>
          </w:tcPr>
          <w:p>
            <w:pPr>
              <w:spacing w:after="0"/>
            </w:pPr>
            <w:r>
              <w:rPr>
                <w:sz w:val="16"/>
              </w:rPr>
              <w:t>Tavren Elovar</w:t>
            </w:r>
          </w:p>
        </w:tc>
        <w:tc>
          <w:tcPr>
            <w:tcW w:type="dxa" w:w="3120"/>
            <w:vAlign w:val="center"/>
            <w:tcMar>
              <w:top w:w="90" w:type="dxa"/>
              <w:left w:w="90" w:type="dxa"/>
              <w:bottom w:w="90" w:type="dxa"/>
              <w:right w:w="90" w:type="dxa"/>
            </w:tcMar>
          </w:tcPr>
          <w:p>
            <w:pPr>
              <w:spacing w:after="0"/>
            </w:pPr>
            <w:r>
              <w:rPr>
                <w:sz w:val="16"/>
              </w:rPr>
              <w:t>Yevranel Human Performance Institute</w:t>
            </w:r>
          </w:p>
        </w:tc>
      </w:tr>
      <w:tr>
        <w:tc>
          <w:tcPr>
            <w:tcW w:type="dxa" w:w="3120"/>
            <w:vAlign w:val="center"/>
            <w:shd w:fill="F6F8FA"/>
            <w:tcMar>
              <w:top w:w="90" w:type="dxa"/>
              <w:left w:w="90" w:type="dxa"/>
              <w:bottom w:w="90" w:type="dxa"/>
              <w:right w:w="90" w:type="dxa"/>
            </w:tcMar>
          </w:tcPr>
          <w:p>
            <w:pPr>
              <w:spacing w:after="0"/>
            </w:pPr>
            <w:r>
              <w:rPr>
                <w:sz w:val="16"/>
              </w:rPr>
              <w:t>Instrument scientist</w:t>
            </w:r>
          </w:p>
        </w:tc>
        <w:tc>
          <w:tcPr>
            <w:tcW w:type="dxa" w:w="3120"/>
            <w:vAlign w:val="center"/>
            <w:shd w:fill="F6F8FA"/>
            <w:tcMar>
              <w:top w:w="90" w:type="dxa"/>
              <w:left w:w="90" w:type="dxa"/>
              <w:bottom w:w="90" w:type="dxa"/>
              <w:right w:w="90" w:type="dxa"/>
            </w:tcMar>
          </w:tcPr>
          <w:p>
            <w:pPr>
              <w:spacing w:after="0"/>
            </w:pPr>
            <w:r>
              <w:rPr>
                <w:sz w:val="16"/>
              </w:rPr>
              <w:t>Mirev Solanar</w:t>
            </w:r>
          </w:p>
        </w:tc>
        <w:tc>
          <w:tcPr>
            <w:tcW w:type="dxa" w:w="3120"/>
            <w:vAlign w:val="center"/>
            <w:shd w:fill="F6F8FA"/>
            <w:tcMar>
              <w:top w:w="90" w:type="dxa"/>
              <w:left w:w="90" w:type="dxa"/>
              <w:bottom w:w="90" w:type="dxa"/>
              <w:right w:w="90" w:type="dxa"/>
            </w:tcMar>
          </w:tcPr>
          <w:p>
            <w:pPr>
              <w:spacing w:after="0"/>
            </w:pPr>
            <w:r>
              <w:rPr>
                <w:sz w:val="16"/>
              </w:rPr>
              <w:t>Cevrith Diagnostic Instruments</w:t>
            </w:r>
          </w:p>
        </w:tc>
      </w:tr>
    </w:tbl>
    <w:sectPr w:rsidR="007E7DA8" w:rsidRPr="00D26B54" w:rsidSect="00E81DCD">
      <w:footerReference w:type="default" r:id="rId16"/>
      <w:headerReference w:type="default" r:id="rId19"/>
      <w:footnotePr>
        <w:numRestart w:val="eachPage"/>
      </w:footnotePr>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3DAF" w14:textId="77777777" w:rsidR="00AD7A76" w:rsidRDefault="00AD7A76">
      <w:r>
        <w:separator/>
      </w:r>
    </w:p>
  </w:endnote>
  <w:endnote w:type="continuationSeparator" w:id="0">
    <w:p w14:paraId="58087F25" w14:textId="77777777" w:rsidR="00AD7A76" w:rsidRDefault="00AD7A76">
      <w:r>
        <w:continuationSeparator/>
      </w:r>
    </w:p>
  </w:endnote>
  <w:endnote w:type="continuationNotice" w:id="1">
    <w:p w14:paraId="51F0BB4B" w14:textId="77777777" w:rsidR="00AD7A76" w:rsidRDefault="00AD7A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09" w14:textId="1B2F9087" w:rsidR="008F5539" w:rsidRDefault="008F5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D6A">
      <w:rPr>
        <w:rStyle w:val="PageNumber"/>
        <w:noProof/>
      </w:rPr>
      <w:t>i</w:t>
    </w:r>
    <w:r>
      <w:rPr>
        <w:rStyle w:val="PageNumber"/>
      </w:rPr>
      <w:fldChar w:fldCharType="end"/>
    </w:r>
  </w:p>
  <w:p w14:paraId="3B3C0974" w14:textId="77777777" w:rsidR="008F5539"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14" w14:textId="36C34B1D" w:rsidR="008F5539" w:rsidRDefault="000D1E1E">
    <w:pPr>
      <w:pStyle w:val="Footer"/>
      <w:ind w:right="360"/>
    </w:pPr>
    <w:r>
      <w:rPr>
        <w:noProof/>
        <w:sz w:val="20"/>
        <w:lang w:val="en-CA"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9"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QZ9wEAANI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" stroked="f" strokecolor="red">
              <v:textbo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v:textbox>
              <w10:wrap anchorx="margin"/>
            </v:shape>
          </w:pict>
        </mc:Fallback>
      </mc:AlternateContent>
    </w:r>
    <w:r w:rsidR="00956D6A">
      <w:rPr>
        <w:noProof/>
        <w:lang w:val="fr-CA" w:eastAsia="fr-CA"/>
      </w:rPr>
      <w:drawing>
        <wp:anchor distT="0" distB="0" distL="114300" distR="114300" simplePos="0" relativeHeight="251658242" behindDoc="1" locked="0" layoutInCell="1" allowOverlap="1" wp14:anchorId="7BC1509E" wp14:editId="5802B767">
          <wp:simplePos x="0" y="0"/>
          <wp:positionH relativeFrom="margin">
            <wp:posOffset>-113212</wp:posOffset>
          </wp:positionH>
          <wp:positionV relativeFrom="paragraph">
            <wp:posOffset>-108857</wp:posOffset>
          </wp:positionV>
          <wp:extent cx="6309360" cy="949960"/>
          <wp:effectExtent l="0" t="0" r="0" b="2540"/>
          <wp:wrapNone/>
          <wp:docPr id="1128877965" name="Picture 112887796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p>
  <w:p w14:paraId="2F8B1677" w14:textId="77777777" w:rsidR="008F5539" w:rsidRPr="00184471" w:rsidRDefault="008F5539">
    <w:pPr>
      <w:pStyle w:val="Footer"/>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BE7" w14:textId="1CAA83D0" w:rsidR="008F5539" w:rsidRDefault="00956D6A" w:rsidP="00956D6A">
    <w:pPr>
      <w:pStyle w:val="Footer"/>
      <w:tabs>
        <w:tab w:val="clear" w:pos="4320"/>
        <w:tab w:val="clear" w:pos="8640"/>
        <w:tab w:val="center" w:pos="4680"/>
        <w:tab w:val="right" w:pos="9360"/>
      </w:tabs>
      <w:jc w:val="center"/>
      <w:rPr>
        <w:sz w:val="16"/>
      </w:rPr>
    </w:pPr>
    <w:r>
      <w:rPr>
        <w:noProof/>
        <w:lang w:val="fr-CA" w:eastAsia="fr-CA"/>
      </w:rPr>
      <w:drawing>
        <wp:anchor distT="0" distB="0" distL="114300" distR="114300" simplePos="0" relativeHeight="251658241" behindDoc="1" locked="0" layoutInCell="1" allowOverlap="1" wp14:anchorId="548F90F0" wp14:editId="7404AE40">
          <wp:simplePos x="0" y="0"/>
          <wp:positionH relativeFrom="margin">
            <wp:posOffset>-265611</wp:posOffset>
          </wp:positionH>
          <wp:positionV relativeFrom="paragraph">
            <wp:posOffset>-291737</wp:posOffset>
          </wp:positionV>
          <wp:extent cx="6309360" cy="949960"/>
          <wp:effectExtent l="0" t="0" r="0" b="254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r w:rsidR="008F5539">
      <w:rPr>
        <w:rStyle w:val="PageNumber"/>
      </w:rPr>
      <w:fldChar w:fldCharType="begin"/>
    </w:r>
    <w:r w:rsidR="008F5539">
      <w:rPr>
        <w:rStyle w:val="PageNumber"/>
      </w:rPr>
      <w:instrText xml:space="preserve"> PAGE </w:instrText>
    </w:r>
    <w:r w:rsidR="008F5539">
      <w:rPr>
        <w:rStyle w:val="PageNumber"/>
      </w:rPr>
      <w:fldChar w:fldCharType="separate"/>
    </w:r>
    <w:r w:rsidR="00A34DD4">
      <w:rPr>
        <w:rStyle w:val="PageNumber"/>
        <w:noProof/>
      </w:rPr>
      <w:t>vi</w:t>
    </w:r>
    <w:r w:rsidR="008F5539">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078" w14:textId="514E8B72" w:rsidR="00B02A74" w:rsidRDefault="00B02A74">
    <w:pPr>
      <w:pStyle w:val="Footer"/>
      <w:pBdr>
        <w:top w:val="single" w:sz="6" w:space="1" w:color="auto"/>
      </w:pBdr>
      <w:tabs>
        <w:tab w:val="clear" w:pos="4320"/>
        <w:tab w:val="clear" w:pos="8640"/>
        <w:tab w:val="center" w:pos="4680"/>
        <w:tab w:val="right" w:pos="9360"/>
      </w:tabs>
      <w:jc w:val="right"/>
    </w:pPr>
    <w:r>
      <w:t>CADRe Part A  •  TSHM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FB7A3" w14:textId="77777777" w:rsidR="00AD7A76" w:rsidRDefault="00AD7A76">
      <w:r>
        <w:separator/>
      </w:r>
    </w:p>
  </w:footnote>
  <w:footnote w:type="continuationSeparator" w:id="0">
    <w:p w14:paraId="36B43A57" w14:textId="77777777" w:rsidR="00AD7A76" w:rsidRDefault="00AD7A76">
      <w:r>
        <w:continuationSeparator/>
      </w:r>
    </w:p>
  </w:footnote>
  <w:footnote w:type="continuationNotice" w:id="1">
    <w:p w14:paraId="12267820" w14:textId="77777777" w:rsidR="00AD7A76" w:rsidRDefault="00AD7A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303" w14:textId="4FAE5751" w:rsidR="0055106C" w:rsidRDefault="007E07C5">
    <w:pPr>
      <w:pStyle w:val="Header"/>
    </w:pPr>
    <w:r>
      <w:rPr>
        <w:noProof/>
        <w:color w:val="C00000"/>
        <w:sz w:val="32"/>
        <w:szCs w:val="40"/>
      </w:rPr>
      <mc:AlternateContent>
        <mc:Choice Requires="wps">
          <w:drawing>
            <wp:anchor distT="0" distB="0" distL="114300" distR="114300" simplePos="0" relativeHeight="251661319" behindDoc="0" locked="0" layoutInCell="0" allowOverlap="1" wp14:anchorId="6E589ABC" wp14:editId="07D1F66D">
              <wp:simplePos x="0" y="0"/>
              <wp:positionH relativeFrom="page">
                <wp:align>right</wp:align>
              </wp:positionH>
              <wp:positionV relativeFrom="page">
                <wp:align>top</wp:align>
              </wp:positionV>
              <wp:extent cx="7772400" cy="442595"/>
              <wp:effectExtent l="0" t="0" r="0" b="14605"/>
              <wp:wrapNone/>
              <wp:docPr id="32" name="MSIPCM4b1248959ed1a1e080037217" descr="{&quot;HashCode&quot;:1337052541,&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E589ABC" id="_x0000_t202" coordsize="21600,21600" o:spt="202" path="m,l,21600r21600,l21600,xe">
              <v:stroke joinstyle="miter"/>
              <v:path gradientshapeok="t" o:connecttype="rect"/>
            </v:shapetype>
            <v:shape id="MSIPCM4b1248959ed1a1e080037217" o:spid="_x0000_s1028" type="#_x0000_t202" alt="{&quot;HashCode&quot;:1337052541,&quot;Height&quot;:9999999.0,&quot;Width&quot;:9999999.0,&quot;Placement&quot;:&quot;Header&quot;,&quot;Index&quot;:&quot;Primary&quot;,&quot;Section&quot;:1,&quot;Top&quot;:0.0,&quot;Left&quot;:0.0}" style="position:absolute;margin-left:560.8pt;margin-top:0;width:612pt;height:34.85pt;z-index:251661319;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o:allowincell="f" filled="f" stroked="f" strokeweight=".5pt">
              <v:textbox inset=",0,20pt,0">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55106C" w:rsidRPr="005B2F73">
      <w:rPr>
        <w:noProof/>
        <w:color w:val="C00000"/>
        <w:sz w:val="32"/>
        <w:szCs w:val="40"/>
      </w:rPr>
      <w:drawing>
        <wp:anchor distT="0" distB="0" distL="114300" distR="114300" simplePos="0" relativeHeight="251658248" behindDoc="1" locked="0" layoutInCell="1" allowOverlap="1" wp14:anchorId="7449ACFA" wp14:editId="497DF006">
          <wp:simplePos x="0" y="0"/>
          <wp:positionH relativeFrom="column">
            <wp:posOffset>0</wp:posOffset>
          </wp:positionH>
          <wp:positionV relativeFrom="paragraph">
            <wp:posOffset>0</wp:posOffset>
          </wp:positionV>
          <wp:extent cx="914400" cy="922655"/>
          <wp:effectExtent l="0" t="0" r="0" b="0"/>
          <wp:wrapNone/>
          <wp:docPr id="1815450666" name="Picture 18154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B23" w14:textId="7337D5C2" w:rsidR="007E7DA8" w:rsidRDefault="007E7DA8">
    <w:pPr>
      <w:pStyle w:val="Header"/>
    </w:pPr>
    <w:r>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33C4" w14:textId="0397D9C4" w:rsidR="008F5539" w:rsidRDefault="007E07C5">
    <w:pPr>
      <w:pStyle w:val="Header"/>
      <w:pBdr>
        <w:bottom w:val="single" w:sz="4" w:space="1" w:color="auto"/>
      </w:pBdr>
      <w:tabs>
        <w:tab w:val="clear" w:pos="4320"/>
        <w:tab w:val="center" w:pos="4680"/>
      </w:tabs>
    </w:pPr>
    <w:r>
      <w:rPr>
        <w:noProof/>
      </w:rPr>
      <mc:AlternateContent>
        <mc:Choice Requires="wps">
          <w:drawing>
            <wp:anchor distT="0" distB="0" distL="114300" distR="114300" simplePos="0" relativeHeight="251661320" behindDoc="0" locked="0" layoutInCell="0" allowOverlap="1" wp14:anchorId="2615C1D7" wp14:editId="1CE774A3">
              <wp:simplePos x="0" y="0"/>
              <wp:positionH relativeFrom="page">
                <wp:align>right</wp:align>
              </wp:positionH>
              <wp:positionV relativeFrom="page">
                <wp:align>top</wp:align>
              </wp:positionV>
              <wp:extent cx="7772400" cy="442595"/>
              <wp:effectExtent l="0" t="0" r="0" b="14605"/>
              <wp:wrapNone/>
              <wp:docPr id="35" name="MSIPCMe91e4f1dbdb64296d5bbe1ce"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615C1D7" id="_x0000_t202" coordsize="21600,21600" o:spt="202" path="m,l,21600r21600,l21600,xe">
              <v:stroke joinstyle="miter"/>
              <v:path gradientshapeok="t" o:connecttype="rect"/>
            </v:shapetype>
            <v:shape id="MSIPCMe91e4f1dbdb64296d5bbe1ce" o:spid="_x0000_s1031" type="#_x0000_t202" alt="{&quot;HashCode&quot;:1337052541,&quot;Height&quot;:9999999.0,&quot;Width&quot;:9999999.0,&quot;Placement&quot;:&quot;Header&quot;,&quot;Index&quot;:&quot;Primary&quot;,&quot;Section&quot;:2,&quot;Top&quot;:0.0,&quot;Left&quot;:0.0}" style="position:absolute;margin-left:560.8pt;margin-top:0;width:612pt;height:34.85pt;z-index:2516613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3s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3Xg6jVpLDhouGZMZ&#10;YoTebrg2B/0AKMsxvhDLkxmTgxpM6UC/obxXsR2GmOHYtKQ8uMF5CL2W8YFwsVqlNBSWZWFjtpbH&#10;4hHQCO5r98acPTMQkLsnGPTFindE9Lk9FatDANkkliLEPaBn5FGUiefzA4qq/91PWddnvvwF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Cz8D3sHQIAAC4EAAAOAAAAAAAAAAAAAAAAAC4CAABkcnMvZTJvRG9jLnhtbFBLAQItABQA&#10;BgAIAAAAIQAkFsoj2gAAAAUBAAAPAAAAAAAAAAAAAAAAAHcEAABkcnMvZG93bnJldi54bWxQSwUG&#10;AAAAAAQABADzAAAAfgUAAAAA&#10;" o:allowincell="f" filled="f" stroked="f" strokeweight=".5pt">
              <v:textbox inset=",0,20pt,0">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7E7DA8">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 w14:anchorId="7124E168" id="Text Box 28" o:spid="_x0000_s1032"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6i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d34+k0ai05aLhkTGaI&#10;EXq74docmgdAWY7xhViezJgc9GBKB80bynsV22GIGY5NS8qDG5yH0GsZHwgXq1VKQ2FZFjZma3ks&#10;HgGN4L52b8zZMwMBuXuCQV+seEdEn9tTsToEkCqxFCHuAT0jj6JMPJ8fUFT9737Kuj7z5S8A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AnIf6iHQIAAC4EAAAOAAAAAAAAAAAAAAAAAC4CAABkcnMvZTJvRG9jLnhtbFBLAQItABQA&#10;BgAIAAAAIQAkFsoj2gAAAAUBAAAPAAAAAAAAAAAAAAAAAHcEAABkcnMvZG93bnJldi54bWxQSwUG&#10;AAAAAAQABADzAAAAfgUAAAAA&#10;" o:allowincell="f" filled="f" stroked="f" strokeweight=".5pt">
              <v:textbox inset=",0,20pt,0">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fldSimple w:instr="TITLE  \* MERGEFORMAT">
      <w:r w:rsidR="006450EB">
        <w:t>CSA-FIN-RD-0765</w:t>
      </w:r>
    </w:fldSimple>
    <w:r w:rsidR="008F5539">
      <w:tab/>
    </w:r>
    <w:r w:rsidR="008F5539">
      <w:tab/>
    </w:r>
    <w:fldSimple w:instr="COMMENTS  \* MERGEFORMAT">
      <w:r w:rsidR="006450EB">
        <w:t>Draft 1.0</w:t>
      </w:r>
    </w:fldSimple>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89A5B10"/>
    <w:multiLevelType w:val="multilevel"/>
    <w:tmpl w:val="1F44DD9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3"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B6E42"/>
    <w:multiLevelType w:val="hybridMultilevel"/>
    <w:tmpl w:val="2FDC7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F10029B"/>
    <w:multiLevelType w:val="hybridMultilevel"/>
    <w:tmpl w:val="83188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E901F16"/>
    <w:multiLevelType w:val="multilevel"/>
    <w:tmpl w:val="68B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12"/>
  </w:num>
  <w:num w:numId="12" w16cid:durableId="1050106139">
    <w:abstractNumId w:val="19"/>
  </w:num>
  <w:num w:numId="13" w16cid:durableId="1552573594">
    <w:abstractNumId w:val="16"/>
  </w:num>
  <w:num w:numId="14" w16cid:durableId="1153527647">
    <w:abstractNumId w:val="10"/>
  </w:num>
  <w:num w:numId="15" w16cid:durableId="576473743">
    <w:abstractNumId w:val="21"/>
  </w:num>
  <w:num w:numId="16" w16cid:durableId="2094088368">
    <w:abstractNumId w:val="13"/>
  </w:num>
  <w:num w:numId="17" w16cid:durableId="367222494">
    <w:abstractNumId w:val="11"/>
  </w:num>
  <w:num w:numId="18" w16cid:durableId="46613096">
    <w:abstractNumId w:val="20"/>
  </w:num>
  <w:num w:numId="19" w16cid:durableId="2104379051">
    <w:abstractNumId w:val="18"/>
  </w:num>
  <w:num w:numId="20" w16cid:durableId="1876035712">
    <w:abstractNumId w:val="15"/>
  </w:num>
  <w:num w:numId="21" w16cid:durableId="1350908024">
    <w:abstractNumId w:val="14"/>
  </w:num>
  <w:num w:numId="22" w16cid:durableId="1063794209">
    <w:abstractNumId w:val="17"/>
  </w:num>
  <w:num w:numId="23" w16cid:durableId="44068667">
    <w:abstractNumId w:val="12"/>
  </w:num>
  <w:num w:numId="24" w16cid:durableId="1437679430">
    <w:abstractNumId w:val="12"/>
  </w:num>
  <w:num w:numId="25" w16cid:durableId="103530284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ctiveWritingStyle w:appName="MSWord" w:lang="fr-CA"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54BF"/>
    <w:rsid w:val="00005F9A"/>
    <w:rsid w:val="0001028D"/>
    <w:rsid w:val="00011ADB"/>
    <w:rsid w:val="00011C85"/>
    <w:rsid w:val="00014CC0"/>
    <w:rsid w:val="00015251"/>
    <w:rsid w:val="000165A5"/>
    <w:rsid w:val="00020C4F"/>
    <w:rsid w:val="00022412"/>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4BD6"/>
    <w:rsid w:val="00044F29"/>
    <w:rsid w:val="0004523D"/>
    <w:rsid w:val="00045303"/>
    <w:rsid w:val="00047E98"/>
    <w:rsid w:val="00050259"/>
    <w:rsid w:val="000508CE"/>
    <w:rsid w:val="0005255D"/>
    <w:rsid w:val="00053201"/>
    <w:rsid w:val="00054E03"/>
    <w:rsid w:val="00054E20"/>
    <w:rsid w:val="00056B39"/>
    <w:rsid w:val="000607D5"/>
    <w:rsid w:val="00061073"/>
    <w:rsid w:val="00063240"/>
    <w:rsid w:val="0006326F"/>
    <w:rsid w:val="00063376"/>
    <w:rsid w:val="000668A7"/>
    <w:rsid w:val="00066ADC"/>
    <w:rsid w:val="000715B9"/>
    <w:rsid w:val="00071BFA"/>
    <w:rsid w:val="00072A14"/>
    <w:rsid w:val="00072AC6"/>
    <w:rsid w:val="00072B3F"/>
    <w:rsid w:val="00073171"/>
    <w:rsid w:val="00075999"/>
    <w:rsid w:val="00075E74"/>
    <w:rsid w:val="00076C97"/>
    <w:rsid w:val="0008084C"/>
    <w:rsid w:val="00080F28"/>
    <w:rsid w:val="00083093"/>
    <w:rsid w:val="000842FB"/>
    <w:rsid w:val="000844A2"/>
    <w:rsid w:val="00084721"/>
    <w:rsid w:val="000911FD"/>
    <w:rsid w:val="00091E0A"/>
    <w:rsid w:val="00094B3A"/>
    <w:rsid w:val="00095698"/>
    <w:rsid w:val="000957AD"/>
    <w:rsid w:val="0009697A"/>
    <w:rsid w:val="0009786B"/>
    <w:rsid w:val="000A134C"/>
    <w:rsid w:val="000A1624"/>
    <w:rsid w:val="000A1A88"/>
    <w:rsid w:val="000A5210"/>
    <w:rsid w:val="000A6396"/>
    <w:rsid w:val="000A6EBB"/>
    <w:rsid w:val="000A741A"/>
    <w:rsid w:val="000A7F1B"/>
    <w:rsid w:val="000B0465"/>
    <w:rsid w:val="000B1D02"/>
    <w:rsid w:val="000B1F01"/>
    <w:rsid w:val="000B2C0B"/>
    <w:rsid w:val="000B316D"/>
    <w:rsid w:val="000B423C"/>
    <w:rsid w:val="000B424D"/>
    <w:rsid w:val="000B64AC"/>
    <w:rsid w:val="000B74AB"/>
    <w:rsid w:val="000C0D5F"/>
    <w:rsid w:val="000C2605"/>
    <w:rsid w:val="000C3441"/>
    <w:rsid w:val="000C38E3"/>
    <w:rsid w:val="000C49A8"/>
    <w:rsid w:val="000C697D"/>
    <w:rsid w:val="000C73A2"/>
    <w:rsid w:val="000C7D7E"/>
    <w:rsid w:val="000D1E1E"/>
    <w:rsid w:val="000D24B0"/>
    <w:rsid w:val="000D2C34"/>
    <w:rsid w:val="000D2D3B"/>
    <w:rsid w:val="000D3581"/>
    <w:rsid w:val="000D4DAD"/>
    <w:rsid w:val="000E08F2"/>
    <w:rsid w:val="000E2D29"/>
    <w:rsid w:val="000E6BEF"/>
    <w:rsid w:val="000E71E5"/>
    <w:rsid w:val="000F0FD8"/>
    <w:rsid w:val="000F1216"/>
    <w:rsid w:val="000F2141"/>
    <w:rsid w:val="000F21E6"/>
    <w:rsid w:val="000F3B14"/>
    <w:rsid w:val="000F4F1E"/>
    <w:rsid w:val="000F5378"/>
    <w:rsid w:val="000F67F5"/>
    <w:rsid w:val="00100775"/>
    <w:rsid w:val="001052F1"/>
    <w:rsid w:val="00105CB8"/>
    <w:rsid w:val="00107E68"/>
    <w:rsid w:val="001130E8"/>
    <w:rsid w:val="00113851"/>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922"/>
    <w:rsid w:val="001665C6"/>
    <w:rsid w:val="00170E1A"/>
    <w:rsid w:val="001742F4"/>
    <w:rsid w:val="00174AAB"/>
    <w:rsid w:val="0017657E"/>
    <w:rsid w:val="00180711"/>
    <w:rsid w:val="00180E24"/>
    <w:rsid w:val="001826DF"/>
    <w:rsid w:val="00184471"/>
    <w:rsid w:val="00185526"/>
    <w:rsid w:val="001870EF"/>
    <w:rsid w:val="00187410"/>
    <w:rsid w:val="00190785"/>
    <w:rsid w:val="00191896"/>
    <w:rsid w:val="00191926"/>
    <w:rsid w:val="00195A72"/>
    <w:rsid w:val="001963B5"/>
    <w:rsid w:val="00197006"/>
    <w:rsid w:val="001A036F"/>
    <w:rsid w:val="001A0E62"/>
    <w:rsid w:val="001A1E29"/>
    <w:rsid w:val="001A2BB0"/>
    <w:rsid w:val="001A3561"/>
    <w:rsid w:val="001A361A"/>
    <w:rsid w:val="001A38DF"/>
    <w:rsid w:val="001A5332"/>
    <w:rsid w:val="001A7193"/>
    <w:rsid w:val="001B059B"/>
    <w:rsid w:val="001B0F67"/>
    <w:rsid w:val="001B3427"/>
    <w:rsid w:val="001B5483"/>
    <w:rsid w:val="001B5696"/>
    <w:rsid w:val="001C088C"/>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E34"/>
    <w:rsid w:val="001D50DE"/>
    <w:rsid w:val="001D6D48"/>
    <w:rsid w:val="001D7608"/>
    <w:rsid w:val="001D7E1C"/>
    <w:rsid w:val="001E170A"/>
    <w:rsid w:val="001E1D81"/>
    <w:rsid w:val="001E57C2"/>
    <w:rsid w:val="001E709D"/>
    <w:rsid w:val="001E7E84"/>
    <w:rsid w:val="001F0679"/>
    <w:rsid w:val="001F2ABB"/>
    <w:rsid w:val="001F2B48"/>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31D"/>
    <w:rsid w:val="00232470"/>
    <w:rsid w:val="00232752"/>
    <w:rsid w:val="00233A0B"/>
    <w:rsid w:val="00233A63"/>
    <w:rsid w:val="00233B56"/>
    <w:rsid w:val="002356EF"/>
    <w:rsid w:val="002357A9"/>
    <w:rsid w:val="0023740D"/>
    <w:rsid w:val="00240434"/>
    <w:rsid w:val="00240576"/>
    <w:rsid w:val="0024253D"/>
    <w:rsid w:val="002436C9"/>
    <w:rsid w:val="002443F0"/>
    <w:rsid w:val="002459CB"/>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B12"/>
    <w:rsid w:val="00271777"/>
    <w:rsid w:val="002719C9"/>
    <w:rsid w:val="00273C05"/>
    <w:rsid w:val="00273E33"/>
    <w:rsid w:val="00275BD3"/>
    <w:rsid w:val="002804F9"/>
    <w:rsid w:val="002831A6"/>
    <w:rsid w:val="0028609E"/>
    <w:rsid w:val="002934AE"/>
    <w:rsid w:val="00295D68"/>
    <w:rsid w:val="002A1032"/>
    <w:rsid w:val="002A403C"/>
    <w:rsid w:val="002A40E7"/>
    <w:rsid w:val="002A464B"/>
    <w:rsid w:val="002A6947"/>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5AF3"/>
    <w:rsid w:val="002D60C9"/>
    <w:rsid w:val="002D668A"/>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300F9"/>
    <w:rsid w:val="003315D3"/>
    <w:rsid w:val="00331784"/>
    <w:rsid w:val="003322AC"/>
    <w:rsid w:val="003330FB"/>
    <w:rsid w:val="00343A51"/>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7181"/>
    <w:rsid w:val="0037739B"/>
    <w:rsid w:val="00382923"/>
    <w:rsid w:val="003834BC"/>
    <w:rsid w:val="00383C66"/>
    <w:rsid w:val="00385768"/>
    <w:rsid w:val="00385E0F"/>
    <w:rsid w:val="00385E29"/>
    <w:rsid w:val="00386D13"/>
    <w:rsid w:val="003913CE"/>
    <w:rsid w:val="00391823"/>
    <w:rsid w:val="003935C4"/>
    <w:rsid w:val="0039668C"/>
    <w:rsid w:val="00396925"/>
    <w:rsid w:val="00397364"/>
    <w:rsid w:val="003A15B0"/>
    <w:rsid w:val="003A2E59"/>
    <w:rsid w:val="003A3E45"/>
    <w:rsid w:val="003A71B7"/>
    <w:rsid w:val="003A7F39"/>
    <w:rsid w:val="003B28A4"/>
    <w:rsid w:val="003B294E"/>
    <w:rsid w:val="003B3F86"/>
    <w:rsid w:val="003B4E6F"/>
    <w:rsid w:val="003B585B"/>
    <w:rsid w:val="003B7ECB"/>
    <w:rsid w:val="003C02BF"/>
    <w:rsid w:val="003C04C2"/>
    <w:rsid w:val="003C1B1A"/>
    <w:rsid w:val="003C59E4"/>
    <w:rsid w:val="003C625E"/>
    <w:rsid w:val="003C75E2"/>
    <w:rsid w:val="003D1216"/>
    <w:rsid w:val="003D23EE"/>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1FE7"/>
    <w:rsid w:val="00412C15"/>
    <w:rsid w:val="00413834"/>
    <w:rsid w:val="00416DBD"/>
    <w:rsid w:val="00421665"/>
    <w:rsid w:val="00421CBF"/>
    <w:rsid w:val="004233B9"/>
    <w:rsid w:val="0042575E"/>
    <w:rsid w:val="0042602C"/>
    <w:rsid w:val="00440BCD"/>
    <w:rsid w:val="00441BB9"/>
    <w:rsid w:val="00444A1F"/>
    <w:rsid w:val="00444C19"/>
    <w:rsid w:val="00444DF2"/>
    <w:rsid w:val="00445A9F"/>
    <w:rsid w:val="00446304"/>
    <w:rsid w:val="00450704"/>
    <w:rsid w:val="00450B67"/>
    <w:rsid w:val="004510C3"/>
    <w:rsid w:val="004567A3"/>
    <w:rsid w:val="00457B25"/>
    <w:rsid w:val="00457BE0"/>
    <w:rsid w:val="00457CB3"/>
    <w:rsid w:val="00467532"/>
    <w:rsid w:val="00470CA6"/>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C1378"/>
    <w:rsid w:val="004C19DE"/>
    <w:rsid w:val="004C3D3F"/>
    <w:rsid w:val="004C4A31"/>
    <w:rsid w:val="004C5C70"/>
    <w:rsid w:val="004D1183"/>
    <w:rsid w:val="004D25D8"/>
    <w:rsid w:val="004D3A74"/>
    <w:rsid w:val="004D68F9"/>
    <w:rsid w:val="004E0A24"/>
    <w:rsid w:val="004E23CD"/>
    <w:rsid w:val="004E2601"/>
    <w:rsid w:val="004E3F63"/>
    <w:rsid w:val="004E4DFE"/>
    <w:rsid w:val="004E5E64"/>
    <w:rsid w:val="004E603E"/>
    <w:rsid w:val="004E6150"/>
    <w:rsid w:val="004F2719"/>
    <w:rsid w:val="004F4BC4"/>
    <w:rsid w:val="004F73CF"/>
    <w:rsid w:val="004F796E"/>
    <w:rsid w:val="0050390E"/>
    <w:rsid w:val="00503E50"/>
    <w:rsid w:val="0050745F"/>
    <w:rsid w:val="00510A43"/>
    <w:rsid w:val="00511229"/>
    <w:rsid w:val="00512355"/>
    <w:rsid w:val="005132AB"/>
    <w:rsid w:val="00522484"/>
    <w:rsid w:val="005245E8"/>
    <w:rsid w:val="00526287"/>
    <w:rsid w:val="00526743"/>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5045"/>
    <w:rsid w:val="0056535C"/>
    <w:rsid w:val="00572BAF"/>
    <w:rsid w:val="00573684"/>
    <w:rsid w:val="00575C1F"/>
    <w:rsid w:val="00581A88"/>
    <w:rsid w:val="0058323E"/>
    <w:rsid w:val="0058378E"/>
    <w:rsid w:val="00584522"/>
    <w:rsid w:val="00584E8B"/>
    <w:rsid w:val="00591022"/>
    <w:rsid w:val="00591511"/>
    <w:rsid w:val="00591E87"/>
    <w:rsid w:val="00592314"/>
    <w:rsid w:val="00592CD3"/>
    <w:rsid w:val="00592D28"/>
    <w:rsid w:val="00593E57"/>
    <w:rsid w:val="00594299"/>
    <w:rsid w:val="00596B3B"/>
    <w:rsid w:val="00596FE3"/>
    <w:rsid w:val="005A3407"/>
    <w:rsid w:val="005A75FB"/>
    <w:rsid w:val="005B17F2"/>
    <w:rsid w:val="005B1B33"/>
    <w:rsid w:val="005C1321"/>
    <w:rsid w:val="005C3B55"/>
    <w:rsid w:val="005C424D"/>
    <w:rsid w:val="005C4B9A"/>
    <w:rsid w:val="005C58A6"/>
    <w:rsid w:val="005D070D"/>
    <w:rsid w:val="005D07C4"/>
    <w:rsid w:val="005D37EA"/>
    <w:rsid w:val="005D4302"/>
    <w:rsid w:val="005E18FF"/>
    <w:rsid w:val="005E303B"/>
    <w:rsid w:val="005E3E4B"/>
    <w:rsid w:val="005E400E"/>
    <w:rsid w:val="005E547D"/>
    <w:rsid w:val="005E6E30"/>
    <w:rsid w:val="005F01DF"/>
    <w:rsid w:val="005F0294"/>
    <w:rsid w:val="005F4BA1"/>
    <w:rsid w:val="00601CEE"/>
    <w:rsid w:val="00602012"/>
    <w:rsid w:val="00605B13"/>
    <w:rsid w:val="006075D8"/>
    <w:rsid w:val="00611CF5"/>
    <w:rsid w:val="00614E07"/>
    <w:rsid w:val="00616F92"/>
    <w:rsid w:val="00617256"/>
    <w:rsid w:val="00617385"/>
    <w:rsid w:val="00622C59"/>
    <w:rsid w:val="00622ED7"/>
    <w:rsid w:val="00627782"/>
    <w:rsid w:val="006279C2"/>
    <w:rsid w:val="0063269D"/>
    <w:rsid w:val="00634C6B"/>
    <w:rsid w:val="00635F15"/>
    <w:rsid w:val="0064134F"/>
    <w:rsid w:val="00642FEA"/>
    <w:rsid w:val="006450EB"/>
    <w:rsid w:val="00650B07"/>
    <w:rsid w:val="0065148A"/>
    <w:rsid w:val="00652B30"/>
    <w:rsid w:val="006531B6"/>
    <w:rsid w:val="006538B5"/>
    <w:rsid w:val="006546CE"/>
    <w:rsid w:val="00654C5D"/>
    <w:rsid w:val="00660640"/>
    <w:rsid w:val="00661734"/>
    <w:rsid w:val="0066482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60E7"/>
    <w:rsid w:val="00697D4C"/>
    <w:rsid w:val="006A0069"/>
    <w:rsid w:val="006A0D4C"/>
    <w:rsid w:val="006A466A"/>
    <w:rsid w:val="006A57FE"/>
    <w:rsid w:val="006A7DC0"/>
    <w:rsid w:val="006B0695"/>
    <w:rsid w:val="006B1151"/>
    <w:rsid w:val="006B2243"/>
    <w:rsid w:val="006B66B4"/>
    <w:rsid w:val="006C0BCA"/>
    <w:rsid w:val="006C134D"/>
    <w:rsid w:val="006C154C"/>
    <w:rsid w:val="006C1EDD"/>
    <w:rsid w:val="006C2B28"/>
    <w:rsid w:val="006C2C00"/>
    <w:rsid w:val="006C2E32"/>
    <w:rsid w:val="006C4279"/>
    <w:rsid w:val="006C60AF"/>
    <w:rsid w:val="006C7E5E"/>
    <w:rsid w:val="006D3E92"/>
    <w:rsid w:val="006D6E64"/>
    <w:rsid w:val="006D7C94"/>
    <w:rsid w:val="006E1E1B"/>
    <w:rsid w:val="006E6ACA"/>
    <w:rsid w:val="006E70A6"/>
    <w:rsid w:val="006E7700"/>
    <w:rsid w:val="006F0ABE"/>
    <w:rsid w:val="00700464"/>
    <w:rsid w:val="00704E55"/>
    <w:rsid w:val="0070604C"/>
    <w:rsid w:val="00710B4E"/>
    <w:rsid w:val="00712F98"/>
    <w:rsid w:val="00723895"/>
    <w:rsid w:val="00726841"/>
    <w:rsid w:val="007302E2"/>
    <w:rsid w:val="00731513"/>
    <w:rsid w:val="00732ADF"/>
    <w:rsid w:val="0073395E"/>
    <w:rsid w:val="00733BC2"/>
    <w:rsid w:val="00734E4F"/>
    <w:rsid w:val="00736008"/>
    <w:rsid w:val="00740B80"/>
    <w:rsid w:val="00741AD5"/>
    <w:rsid w:val="007450A8"/>
    <w:rsid w:val="0074718D"/>
    <w:rsid w:val="0075391F"/>
    <w:rsid w:val="00753FB7"/>
    <w:rsid w:val="007555F9"/>
    <w:rsid w:val="00756851"/>
    <w:rsid w:val="00757818"/>
    <w:rsid w:val="00757B33"/>
    <w:rsid w:val="00757D19"/>
    <w:rsid w:val="00760AB6"/>
    <w:rsid w:val="00760AE9"/>
    <w:rsid w:val="00760DCB"/>
    <w:rsid w:val="0076185D"/>
    <w:rsid w:val="0076527F"/>
    <w:rsid w:val="00767675"/>
    <w:rsid w:val="0077241A"/>
    <w:rsid w:val="0077519F"/>
    <w:rsid w:val="00775A60"/>
    <w:rsid w:val="00782B53"/>
    <w:rsid w:val="00783F29"/>
    <w:rsid w:val="00783FCD"/>
    <w:rsid w:val="007840D1"/>
    <w:rsid w:val="007848D6"/>
    <w:rsid w:val="007861EC"/>
    <w:rsid w:val="00786763"/>
    <w:rsid w:val="007877E5"/>
    <w:rsid w:val="00794006"/>
    <w:rsid w:val="00796D9C"/>
    <w:rsid w:val="00797E9A"/>
    <w:rsid w:val="007A0928"/>
    <w:rsid w:val="007A11A7"/>
    <w:rsid w:val="007A2C45"/>
    <w:rsid w:val="007A3CAE"/>
    <w:rsid w:val="007A47E0"/>
    <w:rsid w:val="007B182C"/>
    <w:rsid w:val="007B1B98"/>
    <w:rsid w:val="007B22FB"/>
    <w:rsid w:val="007B60D4"/>
    <w:rsid w:val="007B6483"/>
    <w:rsid w:val="007B6704"/>
    <w:rsid w:val="007C246F"/>
    <w:rsid w:val="007C3561"/>
    <w:rsid w:val="007C3FD9"/>
    <w:rsid w:val="007C44BD"/>
    <w:rsid w:val="007C4C93"/>
    <w:rsid w:val="007C55E1"/>
    <w:rsid w:val="007C7245"/>
    <w:rsid w:val="007C7A6C"/>
    <w:rsid w:val="007C7D53"/>
    <w:rsid w:val="007D1D53"/>
    <w:rsid w:val="007D3F00"/>
    <w:rsid w:val="007D4CFB"/>
    <w:rsid w:val="007D6034"/>
    <w:rsid w:val="007E022D"/>
    <w:rsid w:val="007E07C5"/>
    <w:rsid w:val="007E0947"/>
    <w:rsid w:val="007E18BD"/>
    <w:rsid w:val="007E3816"/>
    <w:rsid w:val="007E4571"/>
    <w:rsid w:val="007E6813"/>
    <w:rsid w:val="007E79E2"/>
    <w:rsid w:val="007E7C3C"/>
    <w:rsid w:val="007E7DA8"/>
    <w:rsid w:val="007F06D9"/>
    <w:rsid w:val="007F46E4"/>
    <w:rsid w:val="007F5312"/>
    <w:rsid w:val="007F5C62"/>
    <w:rsid w:val="00800FB9"/>
    <w:rsid w:val="008019A3"/>
    <w:rsid w:val="0080300E"/>
    <w:rsid w:val="00804614"/>
    <w:rsid w:val="00805D7E"/>
    <w:rsid w:val="00807252"/>
    <w:rsid w:val="008116E9"/>
    <w:rsid w:val="00813AFA"/>
    <w:rsid w:val="00814CC4"/>
    <w:rsid w:val="00815B66"/>
    <w:rsid w:val="00816A63"/>
    <w:rsid w:val="00822371"/>
    <w:rsid w:val="008239A4"/>
    <w:rsid w:val="00823DE3"/>
    <w:rsid w:val="00825687"/>
    <w:rsid w:val="0082735F"/>
    <w:rsid w:val="0082750C"/>
    <w:rsid w:val="00830DC9"/>
    <w:rsid w:val="00831AD6"/>
    <w:rsid w:val="008328F8"/>
    <w:rsid w:val="00832A87"/>
    <w:rsid w:val="0083402D"/>
    <w:rsid w:val="00834AE9"/>
    <w:rsid w:val="0084379B"/>
    <w:rsid w:val="00846FA6"/>
    <w:rsid w:val="0085017B"/>
    <w:rsid w:val="00853B75"/>
    <w:rsid w:val="00853E7A"/>
    <w:rsid w:val="00854DA2"/>
    <w:rsid w:val="00862938"/>
    <w:rsid w:val="00866209"/>
    <w:rsid w:val="0086776B"/>
    <w:rsid w:val="008724E0"/>
    <w:rsid w:val="00875551"/>
    <w:rsid w:val="008759E1"/>
    <w:rsid w:val="00881800"/>
    <w:rsid w:val="008828FE"/>
    <w:rsid w:val="008839AE"/>
    <w:rsid w:val="00886A04"/>
    <w:rsid w:val="0088777C"/>
    <w:rsid w:val="00891B06"/>
    <w:rsid w:val="0089284F"/>
    <w:rsid w:val="00897564"/>
    <w:rsid w:val="008A1590"/>
    <w:rsid w:val="008A20FE"/>
    <w:rsid w:val="008A267C"/>
    <w:rsid w:val="008A32BF"/>
    <w:rsid w:val="008A33C3"/>
    <w:rsid w:val="008A3B48"/>
    <w:rsid w:val="008A745C"/>
    <w:rsid w:val="008A7909"/>
    <w:rsid w:val="008B5737"/>
    <w:rsid w:val="008B6CBE"/>
    <w:rsid w:val="008B759E"/>
    <w:rsid w:val="008C14BF"/>
    <w:rsid w:val="008C1737"/>
    <w:rsid w:val="008C212A"/>
    <w:rsid w:val="008C4598"/>
    <w:rsid w:val="008C4FAB"/>
    <w:rsid w:val="008C75B2"/>
    <w:rsid w:val="008D0AB4"/>
    <w:rsid w:val="008D34DF"/>
    <w:rsid w:val="008D57B3"/>
    <w:rsid w:val="008E07A9"/>
    <w:rsid w:val="008E1996"/>
    <w:rsid w:val="008E1CE5"/>
    <w:rsid w:val="008E1F71"/>
    <w:rsid w:val="008E27A6"/>
    <w:rsid w:val="008E4090"/>
    <w:rsid w:val="008E40C7"/>
    <w:rsid w:val="008E5E18"/>
    <w:rsid w:val="008E626A"/>
    <w:rsid w:val="008F5539"/>
    <w:rsid w:val="008F6C06"/>
    <w:rsid w:val="008F70E2"/>
    <w:rsid w:val="00904FAB"/>
    <w:rsid w:val="00906877"/>
    <w:rsid w:val="00906F29"/>
    <w:rsid w:val="009078B3"/>
    <w:rsid w:val="00912253"/>
    <w:rsid w:val="00912BD2"/>
    <w:rsid w:val="00913C63"/>
    <w:rsid w:val="00920684"/>
    <w:rsid w:val="00920A11"/>
    <w:rsid w:val="0092151E"/>
    <w:rsid w:val="00921D95"/>
    <w:rsid w:val="009229F6"/>
    <w:rsid w:val="0092426F"/>
    <w:rsid w:val="00924767"/>
    <w:rsid w:val="00925C03"/>
    <w:rsid w:val="00935669"/>
    <w:rsid w:val="00935D62"/>
    <w:rsid w:val="00936E4F"/>
    <w:rsid w:val="009373DE"/>
    <w:rsid w:val="00941925"/>
    <w:rsid w:val="00942E76"/>
    <w:rsid w:val="009435FB"/>
    <w:rsid w:val="00943D76"/>
    <w:rsid w:val="00945370"/>
    <w:rsid w:val="009463C1"/>
    <w:rsid w:val="009478A1"/>
    <w:rsid w:val="00947F0E"/>
    <w:rsid w:val="0095190C"/>
    <w:rsid w:val="00955FFB"/>
    <w:rsid w:val="00956CDB"/>
    <w:rsid w:val="00956D6A"/>
    <w:rsid w:val="00957EB9"/>
    <w:rsid w:val="00960890"/>
    <w:rsid w:val="00960DBA"/>
    <w:rsid w:val="00960E06"/>
    <w:rsid w:val="00962B9F"/>
    <w:rsid w:val="009639AA"/>
    <w:rsid w:val="00964584"/>
    <w:rsid w:val="00964A97"/>
    <w:rsid w:val="0097030E"/>
    <w:rsid w:val="00970B0D"/>
    <w:rsid w:val="00970C1C"/>
    <w:rsid w:val="00973211"/>
    <w:rsid w:val="00974001"/>
    <w:rsid w:val="00974E9C"/>
    <w:rsid w:val="009752C2"/>
    <w:rsid w:val="00977A92"/>
    <w:rsid w:val="009806C4"/>
    <w:rsid w:val="00984AA2"/>
    <w:rsid w:val="00985A7E"/>
    <w:rsid w:val="0099118F"/>
    <w:rsid w:val="00991D55"/>
    <w:rsid w:val="00993FB4"/>
    <w:rsid w:val="009951F2"/>
    <w:rsid w:val="009A035F"/>
    <w:rsid w:val="009A593E"/>
    <w:rsid w:val="009A76EA"/>
    <w:rsid w:val="009A7C30"/>
    <w:rsid w:val="009B2DB6"/>
    <w:rsid w:val="009B41E1"/>
    <w:rsid w:val="009B7139"/>
    <w:rsid w:val="009C390C"/>
    <w:rsid w:val="009C5952"/>
    <w:rsid w:val="009C7FF3"/>
    <w:rsid w:val="009D07DF"/>
    <w:rsid w:val="009D0918"/>
    <w:rsid w:val="009D2498"/>
    <w:rsid w:val="009D34EB"/>
    <w:rsid w:val="009D5187"/>
    <w:rsid w:val="009D6154"/>
    <w:rsid w:val="009D714B"/>
    <w:rsid w:val="009E2709"/>
    <w:rsid w:val="009E6D7A"/>
    <w:rsid w:val="009E7AA7"/>
    <w:rsid w:val="009F3880"/>
    <w:rsid w:val="009F42C9"/>
    <w:rsid w:val="009F4874"/>
    <w:rsid w:val="009F55E2"/>
    <w:rsid w:val="009F6C49"/>
    <w:rsid w:val="00A01745"/>
    <w:rsid w:val="00A0225C"/>
    <w:rsid w:val="00A0255E"/>
    <w:rsid w:val="00A02C27"/>
    <w:rsid w:val="00A02D35"/>
    <w:rsid w:val="00A04443"/>
    <w:rsid w:val="00A04A31"/>
    <w:rsid w:val="00A070D1"/>
    <w:rsid w:val="00A10EAF"/>
    <w:rsid w:val="00A11877"/>
    <w:rsid w:val="00A12471"/>
    <w:rsid w:val="00A13741"/>
    <w:rsid w:val="00A13E6A"/>
    <w:rsid w:val="00A14B1D"/>
    <w:rsid w:val="00A16151"/>
    <w:rsid w:val="00A16698"/>
    <w:rsid w:val="00A23ABD"/>
    <w:rsid w:val="00A23EF8"/>
    <w:rsid w:val="00A25EFD"/>
    <w:rsid w:val="00A25F04"/>
    <w:rsid w:val="00A27C57"/>
    <w:rsid w:val="00A30826"/>
    <w:rsid w:val="00A30A2E"/>
    <w:rsid w:val="00A30EA5"/>
    <w:rsid w:val="00A328B3"/>
    <w:rsid w:val="00A33886"/>
    <w:rsid w:val="00A34DD4"/>
    <w:rsid w:val="00A35F86"/>
    <w:rsid w:val="00A37FCE"/>
    <w:rsid w:val="00A42409"/>
    <w:rsid w:val="00A4494E"/>
    <w:rsid w:val="00A462BC"/>
    <w:rsid w:val="00A463F0"/>
    <w:rsid w:val="00A46B66"/>
    <w:rsid w:val="00A47D15"/>
    <w:rsid w:val="00A53B63"/>
    <w:rsid w:val="00A57039"/>
    <w:rsid w:val="00A579B8"/>
    <w:rsid w:val="00A604AE"/>
    <w:rsid w:val="00A61AAD"/>
    <w:rsid w:val="00A63B63"/>
    <w:rsid w:val="00A6433F"/>
    <w:rsid w:val="00A64743"/>
    <w:rsid w:val="00A656E5"/>
    <w:rsid w:val="00A65D7C"/>
    <w:rsid w:val="00A6672C"/>
    <w:rsid w:val="00A67D22"/>
    <w:rsid w:val="00A70B63"/>
    <w:rsid w:val="00A74E7A"/>
    <w:rsid w:val="00A7592D"/>
    <w:rsid w:val="00A76D70"/>
    <w:rsid w:val="00A80C44"/>
    <w:rsid w:val="00A81841"/>
    <w:rsid w:val="00A865DE"/>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521B"/>
    <w:rsid w:val="00AC6A81"/>
    <w:rsid w:val="00AD0412"/>
    <w:rsid w:val="00AD1260"/>
    <w:rsid w:val="00AD2A32"/>
    <w:rsid w:val="00AD4F7A"/>
    <w:rsid w:val="00AD6D6D"/>
    <w:rsid w:val="00AD766D"/>
    <w:rsid w:val="00AD7A76"/>
    <w:rsid w:val="00AE0ED5"/>
    <w:rsid w:val="00AE1320"/>
    <w:rsid w:val="00AE2AA0"/>
    <w:rsid w:val="00AE2BC3"/>
    <w:rsid w:val="00AE40FB"/>
    <w:rsid w:val="00AE4B44"/>
    <w:rsid w:val="00AE7C6D"/>
    <w:rsid w:val="00AF16FB"/>
    <w:rsid w:val="00AF172F"/>
    <w:rsid w:val="00AF2B5A"/>
    <w:rsid w:val="00AF2FD4"/>
    <w:rsid w:val="00AF3650"/>
    <w:rsid w:val="00AF3651"/>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52973"/>
    <w:rsid w:val="00B53061"/>
    <w:rsid w:val="00B56E6A"/>
    <w:rsid w:val="00B60954"/>
    <w:rsid w:val="00B65444"/>
    <w:rsid w:val="00B66604"/>
    <w:rsid w:val="00B71ADA"/>
    <w:rsid w:val="00B742B2"/>
    <w:rsid w:val="00B7495A"/>
    <w:rsid w:val="00B7591E"/>
    <w:rsid w:val="00B766E1"/>
    <w:rsid w:val="00B776A6"/>
    <w:rsid w:val="00B847A8"/>
    <w:rsid w:val="00B87EB2"/>
    <w:rsid w:val="00B9240E"/>
    <w:rsid w:val="00B95169"/>
    <w:rsid w:val="00BA742E"/>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7B4D"/>
    <w:rsid w:val="00BE07FC"/>
    <w:rsid w:val="00BE0DD0"/>
    <w:rsid w:val="00BE0E6B"/>
    <w:rsid w:val="00BE16FE"/>
    <w:rsid w:val="00BE1CBB"/>
    <w:rsid w:val="00BE32E3"/>
    <w:rsid w:val="00BE402C"/>
    <w:rsid w:val="00BE4D1E"/>
    <w:rsid w:val="00BE4FFC"/>
    <w:rsid w:val="00BE55C7"/>
    <w:rsid w:val="00BF3A02"/>
    <w:rsid w:val="00BF3E3F"/>
    <w:rsid w:val="00BF48DB"/>
    <w:rsid w:val="00BF676D"/>
    <w:rsid w:val="00BF6972"/>
    <w:rsid w:val="00BF69BF"/>
    <w:rsid w:val="00C00EB1"/>
    <w:rsid w:val="00C0102E"/>
    <w:rsid w:val="00C079AC"/>
    <w:rsid w:val="00C07C67"/>
    <w:rsid w:val="00C10CA3"/>
    <w:rsid w:val="00C129F5"/>
    <w:rsid w:val="00C13445"/>
    <w:rsid w:val="00C15824"/>
    <w:rsid w:val="00C173FE"/>
    <w:rsid w:val="00C20C0B"/>
    <w:rsid w:val="00C20ECF"/>
    <w:rsid w:val="00C221B3"/>
    <w:rsid w:val="00C2356A"/>
    <w:rsid w:val="00C23CB2"/>
    <w:rsid w:val="00C26827"/>
    <w:rsid w:val="00C3351B"/>
    <w:rsid w:val="00C33B88"/>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67482"/>
    <w:rsid w:val="00C7023B"/>
    <w:rsid w:val="00C71869"/>
    <w:rsid w:val="00C72E3E"/>
    <w:rsid w:val="00C734CC"/>
    <w:rsid w:val="00C75660"/>
    <w:rsid w:val="00C77708"/>
    <w:rsid w:val="00C8383B"/>
    <w:rsid w:val="00C845D8"/>
    <w:rsid w:val="00C84E0C"/>
    <w:rsid w:val="00C85055"/>
    <w:rsid w:val="00C86399"/>
    <w:rsid w:val="00C919D6"/>
    <w:rsid w:val="00C97A75"/>
    <w:rsid w:val="00CA03A9"/>
    <w:rsid w:val="00CA3023"/>
    <w:rsid w:val="00CA336F"/>
    <w:rsid w:val="00CA38E8"/>
    <w:rsid w:val="00CA7238"/>
    <w:rsid w:val="00CA7F32"/>
    <w:rsid w:val="00CB0D16"/>
    <w:rsid w:val="00CB137C"/>
    <w:rsid w:val="00CB23EA"/>
    <w:rsid w:val="00CB2E1D"/>
    <w:rsid w:val="00CB4F74"/>
    <w:rsid w:val="00CB5191"/>
    <w:rsid w:val="00CC19AA"/>
    <w:rsid w:val="00CC20AB"/>
    <w:rsid w:val="00CC240F"/>
    <w:rsid w:val="00CC2DE2"/>
    <w:rsid w:val="00CC342B"/>
    <w:rsid w:val="00CC398E"/>
    <w:rsid w:val="00CD005B"/>
    <w:rsid w:val="00CD0630"/>
    <w:rsid w:val="00CD0A02"/>
    <w:rsid w:val="00CD293D"/>
    <w:rsid w:val="00CD4734"/>
    <w:rsid w:val="00CD47F7"/>
    <w:rsid w:val="00CD6EAB"/>
    <w:rsid w:val="00CD7A60"/>
    <w:rsid w:val="00CE0A01"/>
    <w:rsid w:val="00CE41F1"/>
    <w:rsid w:val="00CE447C"/>
    <w:rsid w:val="00CE7199"/>
    <w:rsid w:val="00CE78BF"/>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B54"/>
    <w:rsid w:val="00D26CFE"/>
    <w:rsid w:val="00D27252"/>
    <w:rsid w:val="00D305E9"/>
    <w:rsid w:val="00D327F6"/>
    <w:rsid w:val="00D3407B"/>
    <w:rsid w:val="00D34A1D"/>
    <w:rsid w:val="00D356F8"/>
    <w:rsid w:val="00D35BE1"/>
    <w:rsid w:val="00D37F1E"/>
    <w:rsid w:val="00D415A8"/>
    <w:rsid w:val="00D45DD5"/>
    <w:rsid w:val="00D46E00"/>
    <w:rsid w:val="00D4769C"/>
    <w:rsid w:val="00D47AF9"/>
    <w:rsid w:val="00D52045"/>
    <w:rsid w:val="00D54437"/>
    <w:rsid w:val="00D55872"/>
    <w:rsid w:val="00D646B8"/>
    <w:rsid w:val="00D66036"/>
    <w:rsid w:val="00D67984"/>
    <w:rsid w:val="00D70137"/>
    <w:rsid w:val="00D714E8"/>
    <w:rsid w:val="00D71F81"/>
    <w:rsid w:val="00D76E66"/>
    <w:rsid w:val="00D817F7"/>
    <w:rsid w:val="00D84E6A"/>
    <w:rsid w:val="00D90199"/>
    <w:rsid w:val="00D90FC2"/>
    <w:rsid w:val="00D92C6A"/>
    <w:rsid w:val="00D93EAE"/>
    <w:rsid w:val="00D960E6"/>
    <w:rsid w:val="00DA0B29"/>
    <w:rsid w:val="00DA0DCF"/>
    <w:rsid w:val="00DA3033"/>
    <w:rsid w:val="00DA35AD"/>
    <w:rsid w:val="00DA39C3"/>
    <w:rsid w:val="00DA61E5"/>
    <w:rsid w:val="00DA69B5"/>
    <w:rsid w:val="00DB0D6D"/>
    <w:rsid w:val="00DB1354"/>
    <w:rsid w:val="00DB16EC"/>
    <w:rsid w:val="00DB61F1"/>
    <w:rsid w:val="00DB6469"/>
    <w:rsid w:val="00DB7976"/>
    <w:rsid w:val="00DC06C0"/>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F1C11"/>
    <w:rsid w:val="00DF2D18"/>
    <w:rsid w:val="00DF44C9"/>
    <w:rsid w:val="00DF48A0"/>
    <w:rsid w:val="00DF589D"/>
    <w:rsid w:val="00DF69C0"/>
    <w:rsid w:val="00DF7A25"/>
    <w:rsid w:val="00DF7F64"/>
    <w:rsid w:val="00E004A7"/>
    <w:rsid w:val="00E00E21"/>
    <w:rsid w:val="00E018AB"/>
    <w:rsid w:val="00E060FF"/>
    <w:rsid w:val="00E069C0"/>
    <w:rsid w:val="00E06A45"/>
    <w:rsid w:val="00E10AFA"/>
    <w:rsid w:val="00E11A2B"/>
    <w:rsid w:val="00E12D03"/>
    <w:rsid w:val="00E1422B"/>
    <w:rsid w:val="00E14D1B"/>
    <w:rsid w:val="00E14FF2"/>
    <w:rsid w:val="00E24B5B"/>
    <w:rsid w:val="00E250D4"/>
    <w:rsid w:val="00E25307"/>
    <w:rsid w:val="00E25EB3"/>
    <w:rsid w:val="00E260FD"/>
    <w:rsid w:val="00E304F0"/>
    <w:rsid w:val="00E309AB"/>
    <w:rsid w:val="00E31B41"/>
    <w:rsid w:val="00E31BEB"/>
    <w:rsid w:val="00E31EE3"/>
    <w:rsid w:val="00E32565"/>
    <w:rsid w:val="00E3574D"/>
    <w:rsid w:val="00E36C55"/>
    <w:rsid w:val="00E378C4"/>
    <w:rsid w:val="00E4072F"/>
    <w:rsid w:val="00E40E31"/>
    <w:rsid w:val="00E416E4"/>
    <w:rsid w:val="00E42173"/>
    <w:rsid w:val="00E42783"/>
    <w:rsid w:val="00E434D1"/>
    <w:rsid w:val="00E46F02"/>
    <w:rsid w:val="00E473C0"/>
    <w:rsid w:val="00E47536"/>
    <w:rsid w:val="00E51ADF"/>
    <w:rsid w:val="00E547AB"/>
    <w:rsid w:val="00E561E0"/>
    <w:rsid w:val="00E6040E"/>
    <w:rsid w:val="00E61FC3"/>
    <w:rsid w:val="00E639DC"/>
    <w:rsid w:val="00E65C2D"/>
    <w:rsid w:val="00E661B2"/>
    <w:rsid w:val="00E663C9"/>
    <w:rsid w:val="00E66AA2"/>
    <w:rsid w:val="00E708D7"/>
    <w:rsid w:val="00E70A56"/>
    <w:rsid w:val="00E70E30"/>
    <w:rsid w:val="00E71F29"/>
    <w:rsid w:val="00E725AC"/>
    <w:rsid w:val="00E72A6D"/>
    <w:rsid w:val="00E733B2"/>
    <w:rsid w:val="00E74C1C"/>
    <w:rsid w:val="00E753BC"/>
    <w:rsid w:val="00E76F57"/>
    <w:rsid w:val="00E80E04"/>
    <w:rsid w:val="00E81DCD"/>
    <w:rsid w:val="00E833EE"/>
    <w:rsid w:val="00E8778F"/>
    <w:rsid w:val="00E912B7"/>
    <w:rsid w:val="00E916F7"/>
    <w:rsid w:val="00E91F00"/>
    <w:rsid w:val="00EA1751"/>
    <w:rsid w:val="00EA1E31"/>
    <w:rsid w:val="00EA2B63"/>
    <w:rsid w:val="00EA343B"/>
    <w:rsid w:val="00EA578A"/>
    <w:rsid w:val="00EA5966"/>
    <w:rsid w:val="00EA714E"/>
    <w:rsid w:val="00EA744C"/>
    <w:rsid w:val="00EA7EDD"/>
    <w:rsid w:val="00EB3ED6"/>
    <w:rsid w:val="00EB4869"/>
    <w:rsid w:val="00EC06FF"/>
    <w:rsid w:val="00EC0851"/>
    <w:rsid w:val="00EC1A58"/>
    <w:rsid w:val="00EC4828"/>
    <w:rsid w:val="00EC5528"/>
    <w:rsid w:val="00EC62EA"/>
    <w:rsid w:val="00EC76D7"/>
    <w:rsid w:val="00ED2548"/>
    <w:rsid w:val="00ED4054"/>
    <w:rsid w:val="00ED6851"/>
    <w:rsid w:val="00ED7E21"/>
    <w:rsid w:val="00EE005B"/>
    <w:rsid w:val="00EE17F8"/>
    <w:rsid w:val="00EE46B5"/>
    <w:rsid w:val="00EE5059"/>
    <w:rsid w:val="00EE6456"/>
    <w:rsid w:val="00EE7FC4"/>
    <w:rsid w:val="00EF257F"/>
    <w:rsid w:val="00EF27B6"/>
    <w:rsid w:val="00EF55C4"/>
    <w:rsid w:val="00EF6BDA"/>
    <w:rsid w:val="00EF7ADE"/>
    <w:rsid w:val="00F010AD"/>
    <w:rsid w:val="00F02751"/>
    <w:rsid w:val="00F11812"/>
    <w:rsid w:val="00F156CD"/>
    <w:rsid w:val="00F1622B"/>
    <w:rsid w:val="00F22970"/>
    <w:rsid w:val="00F25289"/>
    <w:rsid w:val="00F27E3F"/>
    <w:rsid w:val="00F31C1B"/>
    <w:rsid w:val="00F32F37"/>
    <w:rsid w:val="00F33388"/>
    <w:rsid w:val="00F36D22"/>
    <w:rsid w:val="00F37DBA"/>
    <w:rsid w:val="00F43420"/>
    <w:rsid w:val="00F43C41"/>
    <w:rsid w:val="00F43F0A"/>
    <w:rsid w:val="00F44226"/>
    <w:rsid w:val="00F452F7"/>
    <w:rsid w:val="00F454A6"/>
    <w:rsid w:val="00F4666C"/>
    <w:rsid w:val="00F512AC"/>
    <w:rsid w:val="00F55E23"/>
    <w:rsid w:val="00F561AE"/>
    <w:rsid w:val="00F5766B"/>
    <w:rsid w:val="00F57B2C"/>
    <w:rsid w:val="00F60F86"/>
    <w:rsid w:val="00F661CB"/>
    <w:rsid w:val="00F67D73"/>
    <w:rsid w:val="00F7179B"/>
    <w:rsid w:val="00F7286C"/>
    <w:rsid w:val="00F748C0"/>
    <w:rsid w:val="00F7610C"/>
    <w:rsid w:val="00F804B2"/>
    <w:rsid w:val="00F80B87"/>
    <w:rsid w:val="00F860EB"/>
    <w:rsid w:val="00F87853"/>
    <w:rsid w:val="00F923EE"/>
    <w:rsid w:val="00F93DCF"/>
    <w:rsid w:val="00F94961"/>
    <w:rsid w:val="00F94A7F"/>
    <w:rsid w:val="00FA1ADD"/>
    <w:rsid w:val="00FA377D"/>
    <w:rsid w:val="00FA75E6"/>
    <w:rsid w:val="00FB2D9A"/>
    <w:rsid w:val="00FB467B"/>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4099"/>
    <w:rsid w:val="00FF079C"/>
    <w:rsid w:val="00FF07A3"/>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52869481"/>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val="en-US" w:eastAsia="en-US"/>
    </w:rPr>
  </w:style>
  <w:style w:type="paragraph" w:styleId="Heading1">
    <w:name w:val="heading 1"/>
    <w:basedOn w:val="Normal"/>
    <w:next w:val="BodyText"/>
    <w:qFormat/>
    <w:rsid w:val="00A7592D"/>
    <w:pPr>
      <w:keepNext/>
      <w:widowControl w:val="0"/>
      <w:numPr>
        <w:numId w:val="11"/>
      </w:numPr>
      <w:tabs>
        <w:tab w:val="left" w:pos="576"/>
      </w:tabs>
      <w:spacing w:before="240" w:after="60"/>
      <w:outlineLvl w:val="0"/>
    </w:pPr>
    <w:rPr>
      <w:rFonts w:cstheme="minorHAnsi"/>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lang w:val="en-CA"/>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rPr>
      <w:lang w:val="en-CA"/>
    </w:rPr>
  </w:style>
  <w:style w:type="paragraph" w:customStyle="1" w:styleId="DocumentParent">
    <w:name w:val="Document Parent"/>
    <w:basedOn w:val="Table"/>
    <w:rsid w:val="008E40C7"/>
    <w:pPr>
      <w:numPr>
        <w:numId w:val="12"/>
      </w:numPr>
      <w:jc w:val="center"/>
    </w:pPr>
    <w:rPr>
      <w:lang w:val="en-CA"/>
    </w:r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unhideWhenUsed/>
    <w:rsid w:val="00184471"/>
    <w:pPr>
      <w:spacing w:before="100" w:beforeAutospacing="1" w:after="100" w:afterAutospacing="1"/>
    </w:pPr>
    <w:rPr>
      <w:rFonts w:eastAsiaTheme="minorEastAsia"/>
      <w:szCs w:val="24"/>
      <w:lang w:val="en-CA"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val="en-CA"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val="en-US"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lang w:val="en-CA"/>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 w:type="table" w:styleId="GridTable4-Accent1">
    <w:name w:val="Grid Table 4 Accent 1"/>
    <w:basedOn w:val="TableNormal"/>
    <w:uiPriority w:val="49"/>
    <w:rsid w:val="001D50D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19" Type="http://schemas.openxmlformats.org/officeDocument/2006/relationships/header" Target="header4.xml"/><Relationship Id="rId20" Type="http://schemas.openxmlformats.org/officeDocument/2006/relationships/image" Target="media/image5.png"/><Relationship Id="rId2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Document_Template-CSA_Project-generic.dotx</Template>
  <TotalTime>8385</TotalTime>
  <Pages>20</Pages>
  <Words>4384</Words>
  <Characters>27664</Characters>
  <Application>Microsoft Office Word</Application>
  <DocSecurity>0</DocSecurity>
  <Lines>922</Lines>
  <Paragraphs>464</Paragraphs>
  <ScaleCrop>false</ScaleCrop>
  <HeadingPairs>
    <vt:vector size="2" baseType="variant">
      <vt:variant>
        <vt:lpstr>Title</vt:lpstr>
      </vt:variant>
      <vt:variant>
        <vt:i4>1</vt:i4>
      </vt:variant>
    </vt:vector>
  </HeadingPairs>
  <TitlesOfParts>
    <vt:vector size="1" baseType="lpstr">
      <vt:lpstr>CSA-FIN-RD-0765</vt:lpstr>
    </vt:vector>
  </TitlesOfParts>
  <Company>Canadian Space Agency</Company>
  <LinksUpToDate>false</LinksUpToDate>
  <CharactersWithSpaces>31584</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CSA-FIN-RD-0765</dc:title>
  <dc:subject>CADRe Part A</dc:subject>
  <dc:creator>Mireille Bedirian</dc:creator>
  <cp:keywords/>
  <dc:description>Draft 1.0</dc:description>
  <cp:lastModifiedBy>Bedirian, Mireille (ASC/CSA)</cp:lastModifiedBy>
  <cp:revision>88</cp:revision>
  <cp:lastPrinted>2001-05-10T16:44:00Z</cp:lastPrinted>
  <dcterms:created xsi:type="dcterms:W3CDTF">2026-05-30T14:57:00Z</dcterms:created>
  <dcterms:modified xsi:type="dcterms:W3CDTF">2026-09-17T18:05:00Z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8d8b6-3c0e-4e86-9041-ef5f84df773e_Enabled">
    <vt:lpwstr>true</vt:lpwstr>
  </property>
  <property fmtid="{D5CDD505-2E9C-101B-9397-08002B2CF9AE}" pid="3" name="MSIP_Label_1bf8d8b6-3c0e-4e86-9041-ef5f84df773e_SetDate">
    <vt:lpwstr>2024-08-23T19:45:49Z</vt:lpwstr>
  </property>
  <property fmtid="{D5CDD505-2E9C-101B-9397-08002B2CF9AE}" pid="4" name="MSIP_Label_1bf8d8b6-3c0e-4e86-9041-ef5f84df773e_Method">
    <vt:lpwstr>Privileged</vt:lpwstr>
  </property>
  <property fmtid="{D5CDD505-2E9C-101B-9397-08002B2CF9AE}" pid="5" name="MSIP_Label_1bf8d8b6-3c0e-4e86-9041-ef5f84df773e_Name">
    <vt:lpwstr>PROTÉGÉ B - PROTECTED B</vt:lpwstr>
  </property>
  <property fmtid="{D5CDD505-2E9C-101B-9397-08002B2CF9AE}" pid="6" name="MSIP_Label_1bf8d8b6-3c0e-4e86-9041-ef5f84df773e_SiteId">
    <vt:lpwstr>ea59922f-ea3d-4e45-ba97-caf826fb9335</vt:lpwstr>
  </property>
  <property fmtid="{D5CDD505-2E9C-101B-9397-08002B2CF9AE}" pid="7" name="MSIP_Label_1bf8d8b6-3c0e-4e86-9041-ef5f84df773e_ActionId">
    <vt:lpwstr>8a7b4d6e-6547-493c-952e-bca26c0447a3</vt:lpwstr>
  </property>
  <property fmtid="{D5CDD505-2E9C-101B-9397-08002B2CF9AE}" pid="8" name="MSIP_Label_1bf8d8b6-3c0e-4e86-9041-ef5f84df773e_ContentBits">
    <vt:lpwstr>1</vt:lpwstr>
  </property>
</Properties>
</file>