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KRAF</w:t>
      </w:r>
    </w:p>
    <w:p>
      <w:pPr>
        <w:pStyle w:val="DocTitle"/>
      </w:pPr>
      <w:r>
        <w:t>Mission Cost Analysis Directorate</w:t>
      </w:r>
    </w:p>
    <w:p>
      <w:pPr>
        <w:pStyle w:val="DocTitle"/>
      </w:pPr>
      <w:r>
        <w:t>Cost Analysis Data Requirements</w:t>
      </w:r>
    </w:p>
    <w:p>
      <w:pPr>
        <w:pStyle w:val="DocTitle"/>
      </w:pPr>
      <w:r>
        <w:t>PART A</w:t>
      </w:r>
    </w:p>
    <w:p>
      <w:pPr>
        <w:pStyle w:val="DocTitle"/>
      </w:pPr>
      <w:r>
        <w:t>Kerovar Regolith Additive Fabricator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Kerovar Regolith Additive Fabricator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one landed regolith printer and power unit. Its operational environment is Near-side equatorial lunar plain within ±10° latitude; daylight manufacture and unpowered-solar lunar-night hibernation. The nominal duration is Three lunar daylight manufacturing cycles for prime success; one-year design life. The flight or installed unit is sized at 520 kg and uses 3000 W power generation or host allocation as stated in the subsystem budget.</w:t>
      </w:r>
    </w:p>
    <w:p>
      <w:pPr/>
      <w:r>
        <w:t>The design carries regolith collection and size selection, laser-sintering build chamber and inspection and power subsystem.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KRAF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Kerovar Regolith Additive Fabricator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Produce ≥100 kg accepted ceramic tiles in three sunlit cycles at ≥70% accepted yield, ≥5 MPa coupon compressive strength and ±3 mm dimensions on 20 × 20 × 2 cm articles.</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Three lunar daylight manufacturing cycles for prime success; one-year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One landed regolith printer and power unit; 1 unit(s).</w:t>
            </w:r>
          </w:p>
        </w:tc>
        <w:tc>
          <w:tcPr>
            <w:tcW w:type="dxa" w:w="3120"/>
            <w:vAlign w:val="center"/>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Near-side equatorial lunar plain within ±10° latitude; daylight manufacture and unpowered-solar lunar-night hibernation.</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Three lunar daylight manufacturing cycles for prime success; one-year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≤520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≤520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3000 W at specified reference; nominal 450 W and peak 1800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Produce ≥100 kg accepted ceramic tiles in three sunlit cycles at ≥70% accepted yield, ≥5 MPa coupon compressive strength and ±3 mm dimensions on 20 × 20 × 2 cm articles.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≥0.75 kg/h prepared feedstock; sieve to ≤1 mm grains; ≥10 kg enclosed feed hopper.</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0.50 kg/h build rate at ≤2.8 kWh/kg process energy; accepted tile 20 × 20 × 2 cm, ~1.5 kg at ~1,875 kg/m³ bulk density.</w:t>
            </w:r>
          </w:p>
        </w:tc>
        <w:tc>
          <w:tcPr>
            <w:tcW w:type="dxa" w:w="3120"/>
            <w:vAlign w:val="center"/>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3.0 kW end-of-life daylight generation, 1.8 kW peak build load, 12 kWh usable night battery and 30 W hibernation draw.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Fixed surface frame with tilt ≤5° after landing; build-bed leveling to ±0.5 mm across 20 cm span.</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≤0.5 GB/day during production, including inspection images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Velurian Surface Technology Office owns system requirements, procurement, risk and mission acceptance.</w:t>
      </w:r>
    </w:p>
    <w:p>
      <w:pPr>
        <w:pStyle w:val="BodyText"/>
      </w:pPr>
      <w:r>
        <w:t>Trivellan Surface Robotics owns the integrated unit, interfaces and system-level verification.</w:t>
      </w:r>
    </w:p>
    <w:p>
      <w:pPr>
        <w:pStyle w:val="BodyText"/>
      </w:pPr>
      <w:r>
        <w:t>Qorvian Fabrication Works delivers the measurement equipment and calibration evidence.</w:t>
      </w:r>
    </w:p>
    <w:p>
      <w:pPr>
        <w:pStyle w:val="BodyText"/>
      </w:pPr>
      <w:r>
        <w:t>Jelrith Lunar Delivery Services delivers the unit to its destination and verifies interface conditions.</w:t>
      </w:r>
    </w:p>
    <w:p>
      <w:pPr>
        <w:pStyle w:val="BodyText"/>
      </w:pPr>
      <w:r>
        <w:t>Tavrel Surface Control Centre supplies receiving, networking and ground-service capacity.</w:t>
      </w:r>
    </w:p>
    <w:p>
      <w:pPr>
        <w:pStyle w:val="BodyText"/>
      </w:pPr>
      <w:r>
        <w:t>Marevex Materials Institute produces, validates and archives the calibrated mission products.</w:t>
      </w:r>
    </w:p>
    <w:p>
      <w:pPr>
        <w:pStyle w:val="Heading1"/>
      </w:pPr>
      <w:r>
        <w:t>Space Segment Description</w:t>
      </w:r>
    </w:p>
    <w:p>
      <w:pPr/>
      <w:r>
        <w:t>The reference configuration is one landed regolith printer and power unit. Its operational environment is Near-side equatorial lunar plain within ±10° latitude; daylight manufacture and unpowered-solar lunar-night hibernation. The nominal duration is Three lunar daylight manufacturing cycles for prime success; one-year design life. The flight or installed unit is sized at 520 kg and uses 3000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Near-side equatorial lunar plain within ±10° latitude; daylight manufacture and unpowered-solar lunar-night hibernation.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520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340 kg printer/robotics + 120 kg arrays/battery + 60 kg structure, tools and reserve = 520 kg landed dry mass</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520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3000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450 W / 1800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128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None after landing; 10 m feedstock collection by tethered scoop. Descent propulsion belongs to the delivery service.</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520 kg landed printer/power unit, with ≥650 kg delivered-payload service capacity including handling interface margin</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Three lunar daylight manufacturing cycles for prime success; one-year design life.</w:t>
            </w:r>
          </w:p>
        </w:tc>
      </w:tr>
    </w:tbl>
    <w:p>
      <w:pPr>
        <w:pStyle w:val="Heading3"/>
      </w:pPr>
      <w:r>
        <w:t>Structural Subsystem</w:t>
      </w:r>
    </w:p>
    <w:p>
      <w:pPr/>
      <w:r>
        <w:t>The structural design is sized for 520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3000 W generation or host provision, 450 W operating demand, 1800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3000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450 W nominal / 1800 W peak</w:t>
            </w:r>
          </w:p>
        </w:tc>
      </w:tr>
    </w:tbl>
    <w:p>
      <w:pPr>
        <w:pStyle w:val="Heading3"/>
      </w:pPr>
      <w:r>
        <w:t>Command and Data Handling</w:t>
      </w:r>
    </w:p>
    <w:p>
      <w:pPr/>
      <w:r>
        <w:t>A redundant or monitored controller executes time-tagged operations, instrument interlocks, fault detection and protected storage. The local allocation is 128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128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≤0.5 GB/day during production, including inspection images planning case against memory capacity, contact availability and the required processing latency. Raw records are retained until integrity checks and ingest acknowledgement complete.</w:t>
      </w:r>
    </w:p>
    <w:p>
      <w:pPr>
        <w:pStyle w:val="Heading3"/>
      </w:pPr>
      <w:r>
        <w:t>Thermal Subsystem</w:t>
      </w:r>
    </w:p>
    <w:p>
      <w:pPr/>
      <w:r>
        <w:t>Equatorial day/night environmental extremes; print chamber setpoint derived by qualification; electronics 0–45 °C in operation and survivable through 360 h night at ≤30 W heater load.</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1800 W peak electrical input, the nominal 450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Fixed surface frame with tilt ≤5° after landing; build-bed leveling to ±0.5 mm across 20 cm span.</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No propulsion after landing. Tethered scoop travel and regolith feed mechanisms are electrically driven.</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520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None after landing; 10 m feedstock collection by tethered scoop. Descent propulsion belongs to the delivery service.</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No propulsion after landing. Tethered scoop travel and regolith feed mechanisms are electrically driven.</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Fixed lunar surface platform with 10 m feedstock collection radius; no orbital or rover transit.</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None after landing; 10 m feedstock collection by tethered scoop. Descent propulsion belongs to the delivery service.</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No propulsion after landing. Tethered scoop travel and regolith feed mechanisms are electricall</w:t>
            </w:r>
          </w:p>
        </w:tc>
      </w:tr>
    </w:tbl>
    <w:p>
      <w:pPr>
        <w:pStyle w:val="Heading3"/>
      </w:pPr>
      <w:r>
        <w:t>Telemetry, Tracking and Command</w:t>
      </w:r>
    </w:p>
    <w:p>
      <w:pPr/>
      <w:r>
        <w:t>At 2 Mb/s, 0.5 GB transfers in about 33 min before overhead; ≥1 h/day contact is budgeted during production.</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Surface-to-relay link ≥2 Mb/s; 128 GB local data retention across a complete lunar night. The contact budget carries acquisition, engineering telemetry, protocol framing, retransmission and unavailable weather or host periods. The sizing check compares usable transferred bytes per contact with ≤0.5 GB/day during production, including inspection images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regolith collection and size selection, laser-sintering build chamber and inspection and power subsystem. Each element has a separate delivered mass, operating load, mode list, failure assessment and calibration requirement.</w:t>
      </w:r>
    </w:p>
    <w:p>
      <w:pPr>
        <w:pStyle w:val="Heading3"/>
      </w:pPr>
      <w:r>
        <w:t>Regolith collection and size selection</w:t>
      </w:r>
    </w:p>
    <w:p>
      <w:pPr/>
      <w:r>
        <w:t>≥0.75 kg/h prepared feedstock; sieve to ≤1 mm grains; ≥10 kg enclosed feed hopper.</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Regolith collection and size selection</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≥0.75 kg/h prepared feedstock; sieve to ≤1 mm grains; ≥10 kg enclosed feed hopper.</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Equatorial day/night environmental extremes; print chamber setpoint derived by qualification; electronics 0–45 °C in operation and survivable through 360 h night at ≤30 W heater load.</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520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Laser-sintering build chamber</w:t>
      </w:r>
    </w:p>
    <w:p>
      <w:pPr/>
      <w:r>
        <w:t>0.50 kg/h build rate at ≤2.8 kWh/kg process energy; accepted tile 20 × 20 × 2 cm, ~1.5 kg at ~1,875 kg/m³ bulk density.</w:t>
      </w:r>
    </w:p>
    <w:p>
      <w:pPr/>
      <w:r>
        <w:t>This measurement or process provides an independent check on the primary result. The ground model shall retain geometric, thermal and instrumental uncertainty, including changes caused by the spacecraft or host.</w:t>
      </w:r>
    </w:p>
    <w:p>
      <w:pPr/>
      <w:r>
        <w:t>For Kerovar Regolith Additive Fabricator,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Laser-sintering build chamber</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0.50 kg/h build rate at ≤2.8 kWh/kg process energy; accepted tile 20 × 20 × 2 cm, ~1.5 kg at ~1,875 kg/m³ bulk density.</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Near-side equatorial lunar plain within ±10° latitude; daylight manufacture and unpowered-solar lunar-night hibernation.</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≤0.5 GB/day during production, including inspection images</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Regolith collection and size selection; Laser-sintering build chamber; Inspection and power subsystem</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128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520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1800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Near-side equatorial lunar plain within ±10° latitude; daylight manufacture</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Inspection and power subsystem</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Equatorial day/night environmental extremes; print chamber setpoint derived by qualification; electronics 0–45 °C in operation and survivable through 360 h night at ≤30 W heater load.</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Laser-sintering build chamber</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KRAF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520 kg landed printer/power unit, with ≥650 kg delivered-payload service capacity including handling interface margin</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One surface relay terminal and two ground operations locations; ≥2 GB/day ingest and 20 TB versioned archive.</w:t>
      </w:r>
    </w:p>
    <w:p>
      <w:pPr/>
      <w:r>
        <w:t>At 2 Mb/s, 0.5 GB transfers in about 33 min before overhead; ≥1 h/day contact is budgeted during production.</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One surface relay terminal and two ground operations locations; ≥2 GB/day ingest and 20 TB versioned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≤0.5 GB/day during production, including inspection images; scheduled ground service availability ≥99%.</w:t>
            </w:r>
          </w:p>
        </w:tc>
      </w:tr>
    </w:tbl>
    <w:p>
      <w:pPr/>
      <w:r>
        <w:t>The daily return is ≤0.5 GB/day during production, including inspection images.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One surface relay terminal and two ground operations locations; ≥2 GB/day ingest and 20 TB versioned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16 months; C 12 months; D1 18 months; D2 9 months; surface commissioning 1 month; E three lunar daylight cycles.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TBD</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Aug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Jun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Aug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Aug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Nov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Regolith analogue qualification</w:t>
            </w:r>
          </w:p>
        </w:tc>
        <w:tc>
          <w:tcPr>
            <w:tcW w:type="dxa" w:w="2340"/>
            <w:vAlign w:val="center"/>
            <w:shd w:fill="F6F8FA"/>
            <w:tcMar>
              <w:top w:w="90" w:type="dxa"/>
              <w:left w:w="90" w:type="dxa"/>
              <w:bottom w:w="90" w:type="dxa"/>
              <w:right w:w="90" w:type="dxa"/>
            </w:tcMar>
          </w:tcPr>
          <w:p>
            <w:pPr>
              <w:spacing w:after="0"/>
            </w:pPr>
            <w:r>
              <w:rPr>
                <w:sz w:val="16"/>
              </w:rPr>
              <w:t>Mar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Build chamber qualification</w:t>
            </w:r>
          </w:p>
        </w:tc>
        <w:tc>
          <w:tcPr>
            <w:tcW w:type="dxa" w:w="2340"/>
            <w:vAlign w:val="center"/>
            <w:tcMar>
              <w:top w:w="90" w:type="dxa"/>
              <w:left w:w="90" w:type="dxa"/>
              <w:bottom w:w="90" w:type="dxa"/>
              <w:right w:w="90" w:type="dxa"/>
            </w:tcMar>
          </w:tcPr>
          <w:p>
            <w:pPr>
              <w:spacing w:after="0"/>
            </w:pPr>
            <w:r>
              <w:rPr>
                <w:sz w:val="16"/>
              </w:rPr>
              <w:t>Oct 2031</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Flight unit complete</w:t>
            </w:r>
          </w:p>
        </w:tc>
        <w:tc>
          <w:tcPr>
            <w:tcW w:type="dxa" w:w="2340"/>
            <w:vAlign w:val="center"/>
            <w:shd w:fill="F6F8FA"/>
            <w:tcMar>
              <w:top w:w="90" w:type="dxa"/>
              <w:left w:w="90" w:type="dxa"/>
              <w:bottom w:w="90" w:type="dxa"/>
              <w:right w:w="90" w:type="dxa"/>
            </w:tcMar>
          </w:tcPr>
          <w:p>
            <w:pPr>
              <w:spacing w:after="0"/>
            </w:pPr>
            <w:r>
              <w:rPr>
                <w:sz w:val="16"/>
              </w:rPr>
              <w:t>Jun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Aug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Jan 2033</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Apr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Lunar delivery</w:t>
            </w:r>
          </w:p>
        </w:tc>
        <w:tc>
          <w:tcPr>
            <w:tcW w:type="dxa" w:w="2340"/>
            <w:vAlign w:val="center"/>
            <w:shd w:fill="F6F8FA"/>
            <w:tcMar>
              <w:top w:w="90" w:type="dxa"/>
              <w:left w:w="90" w:type="dxa"/>
              <w:bottom w:w="90" w:type="dxa"/>
              <w:right w:w="90" w:type="dxa"/>
            </w:tcMar>
          </w:tcPr>
          <w:p>
            <w:pPr>
              <w:spacing w:after="0"/>
            </w:pPr>
            <w:r>
              <w:rPr>
                <w:sz w:val="16"/>
              </w:rPr>
              <w:t>Jun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Jul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Prime demo end</w:t>
            </w:r>
          </w:p>
        </w:tc>
        <w:tc>
          <w:tcPr>
            <w:tcW w:type="dxa" w:w="2340"/>
            <w:vAlign w:val="center"/>
            <w:shd w:fill="F6F8FA"/>
            <w:tcMar>
              <w:top w:w="90" w:type="dxa"/>
              <w:left w:w="90" w:type="dxa"/>
              <w:bottom w:w="90" w:type="dxa"/>
              <w:right w:w="90" w:type="dxa"/>
            </w:tcMar>
          </w:tcPr>
          <w:p>
            <w:pPr>
              <w:spacing w:after="0"/>
            </w:pPr>
            <w:r>
              <w:rPr>
                <w:sz w:val="16"/>
              </w:rPr>
              <w:t>Nov 2033</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Kerovar Regolith Additive Fabricator, the initial risk concentration is Regolith variability, dust intrusion, beam-window contamination, tile cracking on cooldown, low acceptance yield, solar-array dust loss and night battery endurance.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Regolith variability, dust intrusion, beam-window contamination, tile cracking on cooldown, low acceptance yield, solar-array dust loss and night battery endurance.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Velurian Surface Technology Office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Trivellan Surface Robotics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Qorvian Fabrication Works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Jelrith Lunar Delivery Services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Tavrel Surface Control Centre</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Marevex Materials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Marevex Materials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Qorvian Fabrication Works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KRAF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