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VCS</w:t>
      </w:r>
    </w:p>
    <w:p>
      <w:pPr>
        <w:pStyle w:val="DocTitle"/>
      </w:pPr>
      <w:r>
        <w:t>Mission Cost Analysis Directorate</w:t>
      </w:r>
    </w:p>
    <w:p>
      <w:pPr>
        <w:pStyle w:val="DocTitle"/>
      </w:pPr>
      <w:r>
        <w:t>Cost Analysis Data Requirements</w:t>
      </w:r>
    </w:p>
    <w:p>
      <w:pPr>
        <w:pStyle w:val="DocTitle"/>
      </w:pPr>
      <w:r>
        <w:t>PART A</w:t>
      </w:r>
    </w:p>
    <w:p>
      <w:pPr>
        <w:pStyle w:val="DocTitle"/>
      </w:pPr>
      <w:r>
        <w:t>Velun Coma Surveyor</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Velun Coma Surveyor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single flyby spacecraft. Its operational environment is Reference target distance 2.2 AU; closest approach 1,200 ±200 km; relative velocity 6 ±1 km/s. The nominal duration is 48-month cruise, 6-month approach, 36-hour flyby, 6-month downlink and closeout. The flight or installed unit is sized at 650 kg and uses 3150 W power generation or host allocation as stated in the subsystem budget.</w:t>
      </w:r>
    </w:p>
    <w:p>
      <w:pPr/>
      <w:r>
        <w:t>The design carries imaging spectrometer, neutral gas mass spectrometer and dust impact analyser.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VCS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Velun Coma Surveyor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Estimate gas-production rate to ±20% during encounter, derive dust size distribution over 1–100 µm, and map sunlit surface thermal variation at ≤100 m/pixel near closest approach.</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48-month cruise, 6-month approach, 36-hour flyby, 6-month downlink and closeout.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Single flyby spacecraft; 1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Reference target distance 2.2 AU; closest approach 1,200 ±200 km; relative velocity 6 ±1 km/s.</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48-month cruise, 6-month approach, 36-hour flyby, 6-month downlink and closeout.</w:t>
            </w:r>
          </w:p>
        </w:tc>
        <w:tc>
          <w:tcPr>
            <w:tcW w:type="dxa" w:w="3120"/>
            <w:vAlign w:val="center"/>
            <w:tcMar>
              <w:top w:w="90" w:type="dxa"/>
              <w:left w:w="90" w:type="dxa"/>
              <w:bottom w:w="90" w:type="dxa"/>
              <w:right w:w="90" w:type="dxa"/>
            </w:tcMar>
          </w:tcPr>
          <w:p>
            <w:pPr>
              <w:spacing w:after="0"/>
            </w:pPr>
            <w:r>
              <w:rPr>
                <w:sz w:val="16"/>
              </w:rPr>
              <w:t>Recorder capacity, RF equipment, ground contacts and archive processing.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≤650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≤86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3150 W at specified reference; nominal 410 W and peak 720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Estimate gas-production rate to ±20% during encounter, derive dust size distribution over 1–100 µm, and map sunlit surface thermal variation at ≤100 m/pixel near closest approach.</w:t>
            </w:r>
          </w:p>
        </w:tc>
        <w:tc>
          <w:tcPr>
            <w:tcW w:type="dxa" w:w="3120"/>
            <w:vAlign w:val="center"/>
            <w:tcMar>
              <w:top w:w="90" w:type="dxa"/>
              <w:left w:w="90" w:type="dxa"/>
              <w:bottom w:w="90" w:type="dxa"/>
              <w:right w:w="90" w:type="dxa"/>
            </w:tcMar>
          </w:tcPr>
          <w:p>
            <w:pPr>
              <w:spacing w:after="0"/>
            </w:pPr>
            <w:r>
              <w:rPr>
                <w:sz w:val="16"/>
              </w:rPr>
              <w:t>Thermal hardware, environmental test and calibration stability.</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37 kg / 145 W; 0.45–4.0 µm, 180 spectral channels; ≤100 m/pixel at 1,200 km requires ≤83 µrad IFOV.</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24 kg / 110 W; 1–100 u mass range at ≤1 u resolution; 1–10 s sample time through approach.</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25 kg / 90 W; 0.05 m² target; 1–100 µm grains for calibrated 2–20 km/s impact range.</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Dual star trackers, four wheels and inertial unit; encounter pointing ≤0.03° and knowledge ≤0.01° at 95% confidence, with autonomous target tracking.</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20 GB encounter burst; ≤1 GB/day in cruise</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Tharven Planetary Office owns system requirements, procurement, risk and mission acceptance.</w:t>
      </w:r>
    </w:p>
    <w:p>
      <w:pPr>
        <w:pStyle w:val="BodyText"/>
      </w:pPr>
      <w:r>
        <w:t>Aruvell Interplanetary Systems owns the integrated unit, interfaces and system-level verification.</w:t>
      </w:r>
    </w:p>
    <w:p>
      <w:pPr>
        <w:pStyle w:val="BodyText"/>
      </w:pPr>
      <w:r>
        <w:t>Fesrane Spectral Laboratories delivers the measurement equipment and calibration evidence.</w:t>
      </w:r>
    </w:p>
    <w:p>
      <w:pPr>
        <w:pStyle w:val="BodyText"/>
      </w:pPr>
      <w:r>
        <w:t>Pellorin Launch Union delivers the unit to its destination and verifies interface conditions.</w:t>
      </w:r>
    </w:p>
    <w:p>
      <w:pPr>
        <w:pStyle w:val="BodyText"/>
      </w:pPr>
      <w:r>
        <w:t>Suvranel Signal Network supplies receiving, networking and ground-service capacity.</w:t>
      </w:r>
    </w:p>
    <w:p>
      <w:pPr>
        <w:pStyle w:val="BodyText"/>
      </w:pPr>
      <w:r>
        <w:t>Kelruna Volatiles Institute produces, validates and archives the calibrated mission products.</w:t>
      </w:r>
    </w:p>
    <w:p>
      <w:pPr>
        <w:pStyle w:val="Heading1"/>
      </w:pPr>
      <w:r>
        <w:t>Space Segment Description</w:t>
      </w:r>
    </w:p>
    <w:p>
      <w:pPr/>
      <w:r>
        <w:t>The reference configuration is single flyby spacecraft. Its operational environment is Reference target distance 2.2 AU; closest approach 1,200 ±200 km; relative velocity 6 ±1 km/s. The nominal duration is 48-month cruise, 6-month approach, 36-hour flyby, 6-month downlink and closeout. The flight or installed unit is sized at 650 kg and uses 3150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Reference target distance 2.2 AU; closest approach 1,200 ±200 km; relative velocity 6 ±1 km/s.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650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464 kg dry bus + 86 kg payload + 100 kg initial propellant = 650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86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3150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410 W / 720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2 TB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≥320 m/s; 100 kg propellant at 225 s and initial mass 650 kg gives ~368 m/s ideal</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C3 ≥18 km²/s²; 650 kg spacecraft + 110 kg adaptor = 760 kg; capacity ≥900 kg to injection</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48-month cruise, 6-month approach, 36-hour flyby, 6-month downlink and closeout.</w:t>
            </w:r>
          </w:p>
        </w:tc>
      </w:tr>
    </w:tbl>
    <w:p>
      <w:pPr>
        <w:pStyle w:val="Heading3"/>
      </w:pPr>
      <w:r>
        <w:t>Structural Subsystem</w:t>
      </w:r>
    </w:p>
    <w:p>
      <w:pPr/>
      <w:r>
        <w:t>The structural design is sized for 650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3150 W generation or host provision, 410 W operating demand, 720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3150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410 W nominal / 720 W peak</w:t>
            </w:r>
          </w:p>
        </w:tc>
      </w:tr>
    </w:tbl>
    <w:p>
      <w:pPr>
        <w:pStyle w:val="Heading3"/>
      </w:pPr>
      <w:r>
        <w:t>Command and Data Handling</w:t>
      </w:r>
    </w:p>
    <w:p>
      <w:pPr/>
      <w:r>
        <w:t>A redundant or monitored controller executes time-tagged operations, instrument interlocks, fault detection and protected storage. The local allocation is 2 TB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2 TB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20 GB encounter burst; ≤1 GB/day in cruise planning case against memory capacity, contact availability and the required processing latency. Raw records are retained until integrity checks and ingest acknowledgement complete.</w:t>
      </w:r>
    </w:p>
    <w:p>
      <w:pPr>
        <w:pStyle w:val="Heading3"/>
      </w:pPr>
      <w:r>
        <w:t>Thermal Subsystem</w:t>
      </w:r>
    </w:p>
    <w:p>
      <w:pPr/>
      <w:r>
        <w:t>12 m² arrays produce ~3.15 kW EOL at 1 AU and ~651 W at 2.2 AU; nominal encounter load constrained to ≤410 W.</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720 W peak electrical input, the nominal 410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Dual star trackers, four wheels and inertial unit; encounter pointing ≤0.03° and knowledge ≤0.01° at 95% confidence, with autonomous target tracking.</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100 kg monopropellant at 225 s gives ideal Δv ~368 m/s. Against a 320 m/s maneuver requirement, 48 m/s remains for performance dispersion and unusable propellant.</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650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≥320 m/s; 100 kg propellant at 225 s and initial mass 650 kg gives ~368 m/s ideal</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100 kg monopropellant at 225 s gives ideal Δv ~368 m/s. Against a 320 m/s maneuver requirement, 48 m/s remains for performance dispersion and unusable propellant.</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Solar escape/transfer with one target flyby; no capture burn or long-duration target orbit.</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≥320 m/s; 100 kg propellant at 225 s and initial mass 650 kg gives ~368 m/s ideal</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100 kg monopropellant at 225 s gives ideal Δv ~368 m/s. Against a 320 m/s maneuver requirement,</w:t>
            </w:r>
          </w:p>
        </w:tc>
      </w:tr>
    </w:tbl>
    <w:p>
      <w:pPr>
        <w:pStyle w:val="Heading3"/>
      </w:pPr>
      <w:r>
        <w:t>Telemetry, Tracking and Command</w:t>
      </w:r>
    </w:p>
    <w:p>
      <w:pPr/>
      <w:r>
        <w:t>At 1 Mb/s and 70% effective transfer, the 20 GB encounter data set requires about 63.5 hours of contact at maximum range; schedule ≥100 hours over 30 days.</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1 Mb/s X-band at 2.5 AU to 18 m-class antenna. The contact budget carries acquisition, engineering telemetry, protocol framing, retransmission and unavailable weather or host periods. The sizing check compares usable transferred bytes per contact with 20 GB encounter burst; ≤1 GB/day in cruise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imaging spectrometer, neutral gas mass spectrometer and dust impact analyser. Each element has a separate delivered mass, operating load, mode list, failure assessment and calibration requirement.</w:t>
      </w:r>
    </w:p>
    <w:p>
      <w:pPr>
        <w:pStyle w:val="Heading3"/>
      </w:pPr>
      <w:r>
        <w:t>Imaging spectrometer</w:t>
      </w:r>
    </w:p>
    <w:p>
      <w:pPr/>
      <w:r>
        <w:t>37 kg / 145 W; 0.45–4.0 µm, 180 spectral channels; ≤100 m/pixel at 1,200 km requires ≤83 µrad IFOV.</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Imaging spectrometer</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37 kg / 145 W; 0.45–4.0 µm, 180 spectral channels; ≤100 m/pixel at 1,200 km requires ≤83 µrad IFOV.</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12 m² arrays produce ~3.15 kW EOL at 1 AU and ~651 W at 2.2 AU; nominal encounter load constrained to ≤410 W.</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86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Neutral gas mass spectrometer</w:t>
      </w:r>
    </w:p>
    <w:p>
      <w:pPr/>
      <w:r>
        <w:t>24 kg / 110 W; 1–100 u mass range at ≤1 u resolution; 1–10 s sample time through approach.</w:t>
      </w:r>
    </w:p>
    <w:p>
      <w:pPr/>
      <w:r>
        <w:t>This measurement or process provides an independent check on the primary result. The ground model shall retain geometric, thermal and instrumental uncertainty, including changes caused by the spacecraft or host.</w:t>
      </w:r>
    </w:p>
    <w:p>
      <w:pPr/>
      <w:r>
        <w:t>For Velun Coma Surveyor,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Neutral gas mass spectrometer</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24 kg / 110 W; 1–100 u mass range at ≤1 u resolution; 1–10 s sample time through approach.</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Reference target distance 2.2 AU; closest approach 1,200 ±200 km; relative velocity 6 ±1 km/s.</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20 GB encounter burst; ≤1 GB/day in cruise</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Imaging spectrometer; Neutral gas mass spectrometer; Dust impact analyser</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2 TB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86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720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 xml:space="preserve">Qualified for Reference target distance 2.2 AU; closest approach 1,200 ±200 km; relative </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Dust impact analyser</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12 m² arrays produce ~3.15 kW EOL at 1 AU and ~651 W at 2.2 AU; nominal encounter load constrained to ≤410 W.</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Neutral gas mass spectrometer</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VCS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C3 ≥18 km²/s²; 650 kg spacecraft + 110 kg adaptor = 760 kg; capacity ≥900 kg to injection</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Three 18 m-class deep-space antenna sites; 5 GB/day ingest; 90 TB archive.</w:t>
      </w:r>
    </w:p>
    <w:p>
      <w:pPr/>
      <w:r>
        <w:t>At 1 Mb/s and 70% effective transfer, the 20 GB encounter data set requires about 63.5 hours of contact at maximum range; schedule ≥100 hours over 30 days.</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Three 18 m-class deep-space antenna sites; 5 GB/day ingest; 90 TB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20 GB encounter burst; ≤1 GB/day in cruise; scheduled ground service availability ≥99%.</w:t>
            </w:r>
          </w:p>
        </w:tc>
      </w:tr>
    </w:tbl>
    <w:p>
      <w:pPr/>
      <w:r>
        <w:t>The daily return is 20 GB encounter burst; ≤1 GB/day in cruise.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Three 18 m-class deep-space antenna sites; 5 GB/day ingest; 90 TB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16 months; C 12 months; D1 18 months; D2 10 months; cruise 48 months; approach 6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10</w:t>
            </w:r>
          </w:p>
        </w:tc>
        <w:tc>
          <w:tcPr>
            <w:tcW w:type="dxa" w:w="1170"/>
            <w:vAlign w:val="center"/>
            <w:tcMar>
              <w:top w:w="90" w:type="dxa"/>
              <w:left w:w="90" w:type="dxa"/>
              <w:bottom w:w="90" w:type="dxa"/>
              <w:right w:w="90" w:type="dxa"/>
            </w:tcMar>
          </w:tcPr>
          <w:p>
            <w:pPr>
              <w:spacing w:after="0"/>
            </w:pPr>
            <w:r>
              <w:rPr>
                <w:sz w:val="16"/>
              </w:rPr>
              <w:t>TBD</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May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Mar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May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May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Aug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Payload qualification</w:t>
            </w:r>
          </w:p>
        </w:tc>
        <w:tc>
          <w:tcPr>
            <w:tcW w:type="dxa" w:w="2340"/>
            <w:vAlign w:val="center"/>
            <w:shd w:fill="F6F8FA"/>
            <w:tcMar>
              <w:top w:w="90" w:type="dxa"/>
              <w:left w:w="90" w:type="dxa"/>
              <w:bottom w:w="90" w:type="dxa"/>
              <w:right w:w="90" w:type="dxa"/>
            </w:tcMar>
          </w:tcPr>
          <w:p>
            <w:pPr>
              <w:spacing w:after="0"/>
            </w:pPr>
            <w:r>
              <w:rPr>
                <w:sz w:val="16"/>
              </w:rPr>
              <w:t>Nov 2031</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FM complete</w:t>
            </w:r>
          </w:p>
        </w:tc>
        <w:tc>
          <w:tcPr>
            <w:tcW w:type="dxa" w:w="2340"/>
            <w:vAlign w:val="center"/>
            <w:tcMar>
              <w:top w:w="90" w:type="dxa"/>
              <w:left w:w="90" w:type="dxa"/>
              <w:bottom w:w="90" w:type="dxa"/>
              <w:right w:w="90" w:type="dxa"/>
            </w:tcMar>
          </w:tcPr>
          <w:p>
            <w:pPr>
              <w:spacing w:after="0"/>
            </w:pPr>
            <w:r>
              <w:rPr>
                <w:sz w:val="16"/>
              </w:rPr>
              <w:t>Jul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SIR</w:t>
            </w:r>
          </w:p>
        </w:tc>
        <w:tc>
          <w:tcPr>
            <w:tcW w:type="dxa" w:w="2340"/>
            <w:vAlign w:val="center"/>
            <w:shd w:fill="F6F8FA"/>
            <w:tcMar>
              <w:top w:w="90" w:type="dxa"/>
              <w:left w:w="90" w:type="dxa"/>
              <w:bottom w:w="90" w:type="dxa"/>
              <w:right w:w="90" w:type="dxa"/>
            </w:tcMar>
          </w:tcPr>
          <w:p>
            <w:pPr>
              <w:spacing w:after="0"/>
            </w:pPr>
            <w:r>
              <w:rPr>
                <w:sz w:val="16"/>
              </w:rPr>
              <w:t>System Integration Review</w:t>
            </w:r>
          </w:p>
        </w:tc>
        <w:tc>
          <w:tcPr>
            <w:tcW w:type="dxa" w:w="2340"/>
            <w:vAlign w:val="center"/>
            <w:shd w:fill="F6F8FA"/>
            <w:tcMar>
              <w:top w:w="90" w:type="dxa"/>
              <w:left w:w="90" w:type="dxa"/>
              <w:bottom w:w="90" w:type="dxa"/>
              <w:right w:w="90" w:type="dxa"/>
            </w:tcMar>
          </w:tcPr>
          <w:p>
            <w:pPr>
              <w:spacing w:after="0"/>
            </w:pPr>
            <w:r>
              <w:rPr>
                <w:sz w:val="16"/>
              </w:rPr>
              <w:t>Sep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AR</w:t>
            </w:r>
          </w:p>
        </w:tc>
        <w:tc>
          <w:tcPr>
            <w:tcW w:type="dxa" w:w="2340"/>
            <w:vAlign w:val="center"/>
            <w:tcMar>
              <w:top w:w="90" w:type="dxa"/>
              <w:left w:w="90" w:type="dxa"/>
              <w:bottom w:w="90" w:type="dxa"/>
              <w:right w:w="90" w:type="dxa"/>
            </w:tcMar>
          </w:tcPr>
          <w:p>
            <w:pPr>
              <w:spacing w:after="0"/>
            </w:pPr>
            <w:r>
              <w:rPr>
                <w:sz w:val="16"/>
              </w:rPr>
              <w:t>Acceptance</w:t>
            </w:r>
          </w:p>
        </w:tc>
        <w:tc>
          <w:tcPr>
            <w:tcW w:type="dxa" w:w="2340"/>
            <w:vAlign w:val="center"/>
            <w:tcMar>
              <w:top w:w="90" w:type="dxa"/>
              <w:left w:w="90" w:type="dxa"/>
              <w:bottom w:w="90" w:type="dxa"/>
              <w:right w:w="90" w:type="dxa"/>
            </w:tcMar>
          </w:tcPr>
          <w:p>
            <w:pPr>
              <w:spacing w:after="0"/>
            </w:pPr>
            <w:r>
              <w:rPr>
                <w:sz w:val="16"/>
              </w:rPr>
              <w:t>Feb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LRR</w:t>
            </w:r>
          </w:p>
        </w:tc>
        <w:tc>
          <w:tcPr>
            <w:tcW w:type="dxa" w:w="2340"/>
            <w:vAlign w:val="center"/>
            <w:shd w:fill="F6F8FA"/>
            <w:tcMar>
              <w:top w:w="90" w:type="dxa"/>
              <w:left w:w="90" w:type="dxa"/>
              <w:bottom w:w="90" w:type="dxa"/>
              <w:right w:w="90" w:type="dxa"/>
            </w:tcMar>
          </w:tcPr>
          <w:p>
            <w:pPr>
              <w:spacing w:after="0"/>
            </w:pPr>
            <w:r>
              <w:rPr>
                <w:sz w:val="16"/>
              </w:rPr>
              <w:t>Launch / Delivery Readiness Review</w:t>
            </w:r>
          </w:p>
        </w:tc>
        <w:tc>
          <w:tcPr>
            <w:tcW w:type="dxa" w:w="2340"/>
            <w:vAlign w:val="center"/>
            <w:shd w:fill="F6F8FA"/>
            <w:tcMar>
              <w:top w:w="90" w:type="dxa"/>
              <w:left w:w="90" w:type="dxa"/>
              <w:bottom w:w="90" w:type="dxa"/>
              <w:right w:w="90" w:type="dxa"/>
            </w:tcMar>
          </w:tcPr>
          <w:p>
            <w:pPr>
              <w:spacing w:after="0"/>
            </w:pPr>
            <w:r>
              <w:rPr>
                <w:sz w:val="16"/>
              </w:rPr>
              <w:t>Jun 2033</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w:t>
            </w:r>
          </w:p>
        </w:tc>
        <w:tc>
          <w:tcPr>
            <w:tcW w:type="dxa" w:w="2340"/>
            <w:vAlign w:val="center"/>
            <w:tcMar>
              <w:top w:w="90" w:type="dxa"/>
              <w:left w:w="90" w:type="dxa"/>
              <w:bottom w:w="90" w:type="dxa"/>
              <w:right w:w="90" w:type="dxa"/>
            </w:tcMar>
          </w:tcPr>
          <w:p>
            <w:pPr>
              <w:spacing w:after="0"/>
            </w:pPr>
            <w:r>
              <w:rPr>
                <w:sz w:val="16"/>
              </w:rPr>
              <w:t>Launch</w:t>
            </w:r>
          </w:p>
        </w:tc>
        <w:tc>
          <w:tcPr>
            <w:tcW w:type="dxa" w:w="2340"/>
            <w:vAlign w:val="center"/>
            <w:tcMar>
              <w:top w:w="90" w:type="dxa"/>
              <w:left w:w="90" w:type="dxa"/>
              <w:bottom w:w="90" w:type="dxa"/>
              <w:right w:w="90" w:type="dxa"/>
            </w:tcMar>
          </w:tcPr>
          <w:p>
            <w:pPr>
              <w:spacing w:after="0"/>
            </w:pPr>
            <w:r>
              <w:rPr>
                <w:sz w:val="16"/>
              </w:rPr>
              <w:t>Aug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Approach</w:t>
            </w:r>
          </w:p>
        </w:tc>
        <w:tc>
          <w:tcPr>
            <w:tcW w:type="dxa" w:w="2340"/>
            <w:vAlign w:val="center"/>
            <w:shd w:fill="F6F8FA"/>
            <w:tcMar>
              <w:top w:w="90" w:type="dxa"/>
              <w:left w:w="90" w:type="dxa"/>
              <w:bottom w:w="90" w:type="dxa"/>
              <w:right w:w="90" w:type="dxa"/>
            </w:tcMar>
          </w:tcPr>
          <w:p>
            <w:pPr>
              <w:spacing w:after="0"/>
            </w:pPr>
            <w:r>
              <w:rPr>
                <w:sz w:val="16"/>
              </w:rPr>
              <w:t>Aug 2037</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Flyby</w:t>
            </w:r>
          </w:p>
        </w:tc>
        <w:tc>
          <w:tcPr>
            <w:tcW w:type="dxa" w:w="2340"/>
            <w:vAlign w:val="center"/>
            <w:tcMar>
              <w:top w:w="90" w:type="dxa"/>
              <w:left w:w="90" w:type="dxa"/>
              <w:bottom w:w="90" w:type="dxa"/>
              <w:right w:w="90" w:type="dxa"/>
            </w:tcMar>
          </w:tcPr>
          <w:p>
            <w:pPr>
              <w:spacing w:after="0"/>
            </w:pPr>
            <w:r>
              <w:rPr>
                <w:sz w:val="16"/>
              </w:rPr>
              <w:t>Feb 2038</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Closeout</w:t>
            </w:r>
          </w:p>
        </w:tc>
        <w:tc>
          <w:tcPr>
            <w:tcW w:type="dxa" w:w="2340"/>
            <w:vAlign w:val="center"/>
            <w:shd w:fill="F6F8FA"/>
            <w:tcMar>
              <w:top w:w="90" w:type="dxa"/>
              <w:left w:w="90" w:type="dxa"/>
              <w:bottom w:w="90" w:type="dxa"/>
              <w:right w:w="90" w:type="dxa"/>
            </w:tcMar>
          </w:tcPr>
          <w:p>
            <w:pPr>
              <w:spacing w:after="0"/>
            </w:pPr>
            <w:r>
              <w:rPr>
                <w:sz w:val="16"/>
              </w:rPr>
              <w:t>Aug 2038</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Velun Coma Surveyor, the initial risk concentration is Ephemeris uncertainty, dust strikes, autonomous tracking error, one-shot encounter sequencing, solar-array deployment and propulsion performance dispersion.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Ephemeris uncertainty, dust strikes, autonomous tracking error, one-shot encounter sequencing, solar-array deployment and propulsion performance dispersion.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Tharven Planetary Office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Aruvell Interplanetary Systems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Fesrane Spectral Laboratories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Pellorin Launch Union</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Suvranel Signal Network</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Kelruna Volatiles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Kelruna Volatiles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Fesrane Spectral Laboratories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VCS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