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DocNumber"/>
        <w:spacing w:after="640"/>
      </w:pPr>
      <w:r>
        <w:t>CADRe Part A • RCT</w:t>
      </w:r>
    </w:p>
    <w:p>
      <w:pPr>
        <w:pStyle w:val="DocTitle"/>
      </w:pPr>
      <w:r>
        <w:t>Mission Cost Analysis Directorate</w:t>
      </w:r>
    </w:p>
    <w:p>
      <w:pPr>
        <w:pStyle w:val="DocTitle"/>
      </w:pPr>
      <w:r>
        <w:t>Cost Analysis Data Requirements</w:t>
      </w:r>
    </w:p>
    <w:p>
      <w:pPr>
        <w:pStyle w:val="DocTitle"/>
      </w:pPr>
      <w:r>
        <w:t>PART A</w:t>
      </w:r>
    </w:p>
    <w:p>
      <w:pPr>
        <w:pStyle w:val="DocTitle"/>
      </w:pPr>
      <w:r>
        <w:t>Rovenna Cryogenic Transit Demonstrator</w:t>
      </w:r>
    </w:p>
    <w:p>
      <w:pPr>
        <w:pStyle w:val="BodyText"/>
      </w:pPr>
      <w:r>
        <w:t>Planning baseline  •  Revision 1.0  •  23 September 2026</w:t>
      </w:r>
    </w:p>
    <w:p>
      <w:pPr>
        <w:pStyle w:val="BodyText"/>
      </w:pPr>
      <w:r>
        <w:t>This mission and all named organizations and individuals are fictional.</w:t>
      </w:r>
    </w:p>
    <w:p>
      <w:r>
        <w:br w:type="page"/>
      </w:r>
    </w:p>
    <w:p>
      <w:pPr>
        <w:pStyle w:val="Heading-unnumbered"/>
      </w:pPr>
      <w:r>
        <w:t>Revision History</w:t>
      </w:r>
    </w:p>
    <w:tbl>
      <w:tblPr>
        <w:tblStyle w:val="TableGrid"/>
        <w:tblW w:type="auto" w:w="0"/>
        <w:jc w:val="center"/>
        <w:tblLayout w:type="fixed"/>
        <w:tblLook w:firstColumn="1" w:firstRow="1" w:lastColumn="0" w:lastRow="0" w:noHBand="0" w:noVBand="1" w:val="04A0"/>
      </w:tblPr>
      <w:tblGrid>
        <w:gridCol w:w="1008"/>
        <w:gridCol w:w="4608"/>
        <w:gridCol w:w="2232"/>
        <w:gridCol w:w="1584"/>
      </w:tblGrid>
      <w:tr>
        <w:trPr>
          <w:tblHeader w:val="true"/>
        </w:trPr>
        <w:tc>
          <w:tcPr>
            <w:tcW w:type="dxa" w:w="2340"/>
            <w:vAlign w:val="center"/>
            <w:shd w:fill="DDE6EF"/>
            <w:tcMar>
              <w:top w:w="90" w:type="dxa"/>
              <w:left w:w="90" w:type="dxa"/>
              <w:bottom w:w="90" w:type="dxa"/>
              <w:right w:w="90" w:type="dxa"/>
            </w:tcMar>
          </w:tcPr>
          <w:p>
            <w:pPr>
              <w:spacing w:after="0"/>
            </w:pPr>
            <w:r>
              <w:rPr>
                <w:b/>
                <w:sz w:val="16"/>
              </w:rPr>
              <w:t>Rev.</w:t>
            </w:r>
          </w:p>
        </w:tc>
        <w:tc>
          <w:tcPr>
            <w:tcW w:type="dxa" w:w="2340"/>
            <w:vAlign w:val="center"/>
            <w:shd w:fill="DDE6EF"/>
            <w:tcMar>
              <w:top w:w="90" w:type="dxa"/>
              <w:left w:w="90" w:type="dxa"/>
              <w:bottom w:w="90" w:type="dxa"/>
              <w:right w:w="90" w:type="dxa"/>
            </w:tcMar>
          </w:tcPr>
          <w:p>
            <w:pPr>
              <w:spacing w:after="0"/>
            </w:pPr>
            <w:r>
              <w:rPr>
                <w:b/>
                <w:sz w:val="16"/>
              </w:rPr>
              <w:t>Description</w:t>
            </w:r>
          </w:p>
        </w:tc>
        <w:tc>
          <w:tcPr>
            <w:tcW w:type="dxa" w:w="2340"/>
            <w:vAlign w:val="center"/>
            <w:shd w:fill="DDE6EF"/>
            <w:tcMar>
              <w:top w:w="90" w:type="dxa"/>
              <w:left w:w="90" w:type="dxa"/>
              <w:bottom w:w="90" w:type="dxa"/>
              <w:right w:w="90" w:type="dxa"/>
            </w:tcMar>
          </w:tcPr>
          <w:p>
            <w:pPr>
              <w:spacing w:after="0"/>
            </w:pPr>
            <w:r>
              <w:rPr>
                <w:b/>
                <w:sz w:val="16"/>
              </w:rPr>
              <w:t>Prepared by</w:t>
            </w:r>
          </w:p>
        </w:tc>
        <w:tc>
          <w:tcPr>
            <w:tcW w:type="dxa" w:w="2340"/>
            <w:vAlign w:val="center"/>
            <w:shd w:fill="DDE6EF"/>
            <w:tcMar>
              <w:top w:w="90" w:type="dxa"/>
              <w:left w:w="90" w:type="dxa"/>
              <w:bottom w:w="90" w:type="dxa"/>
              <w:right w:w="90" w:type="dxa"/>
            </w:tcMar>
          </w:tcPr>
          <w:p>
            <w:pPr>
              <w:spacing w:after="0"/>
            </w:pPr>
            <w:r>
              <w:rPr>
                <w:b/>
                <w:sz w:val="16"/>
              </w:rPr>
              <w:t>Date</w:t>
            </w:r>
          </w:p>
        </w:tc>
      </w:tr>
      <w:tr>
        <w:tc>
          <w:tcPr>
            <w:tcW w:type="dxa" w:w="2340"/>
            <w:vAlign w:val="center"/>
            <w:tcMar>
              <w:top w:w="90" w:type="dxa"/>
              <w:left w:w="90" w:type="dxa"/>
              <w:bottom w:w="90" w:type="dxa"/>
              <w:right w:w="90" w:type="dxa"/>
            </w:tcMar>
          </w:tcPr>
          <w:p>
            <w:pPr>
              <w:spacing w:after="0"/>
            </w:pPr>
            <w:r>
              <w:rPr>
                <w:sz w:val="16"/>
              </w:rPr>
              <w:t>1.0</w:t>
            </w:r>
          </w:p>
        </w:tc>
        <w:tc>
          <w:tcPr>
            <w:tcW w:type="dxa" w:w="2340"/>
            <w:vAlign w:val="center"/>
            <w:tcMar>
              <w:top w:w="90" w:type="dxa"/>
              <w:left w:w="90" w:type="dxa"/>
              <w:bottom w:w="90" w:type="dxa"/>
              <w:right w:w="90" w:type="dxa"/>
            </w:tcMar>
          </w:tcPr>
          <w:p>
            <w:pPr>
              <w:spacing w:after="0"/>
            </w:pPr>
            <w:r>
              <w:rPr>
                <w:sz w:val="16"/>
              </w:rPr>
              <w:t>Template aligned mission concept</w:t>
            </w:r>
          </w:p>
        </w:tc>
        <w:tc>
          <w:tcPr>
            <w:tcW w:type="dxa" w:w="2340"/>
            <w:vAlign w:val="center"/>
            <w:tcMar>
              <w:top w:w="90" w:type="dxa"/>
              <w:left w:w="90" w:type="dxa"/>
              <w:bottom w:w="90" w:type="dxa"/>
              <w:right w:w="90" w:type="dxa"/>
            </w:tcMar>
          </w:tcPr>
          <w:p>
            <w:pPr>
              <w:spacing w:after="0"/>
            </w:pPr>
            <w:r>
              <w:rPr>
                <w:sz w:val="16"/>
              </w:rPr>
              <w:t>Mission Cost Analysis Directorate</w:t>
            </w:r>
          </w:p>
        </w:tc>
        <w:tc>
          <w:tcPr>
            <w:tcW w:type="dxa" w:w="2340"/>
            <w:vAlign w:val="center"/>
            <w:tcMar>
              <w:top w:w="90" w:type="dxa"/>
              <w:left w:w="90" w:type="dxa"/>
              <w:bottom w:w="90" w:type="dxa"/>
              <w:right w:w="90" w:type="dxa"/>
            </w:tcMar>
          </w:tcPr>
          <w:p>
            <w:pPr>
              <w:spacing w:after="0"/>
            </w:pPr>
            <w:r>
              <w:rPr>
                <w:sz w:val="16"/>
              </w:rPr>
              <w:t>23 Sep 2026</w:t>
            </w:r>
          </w:p>
        </w:tc>
      </w:tr>
    </w:tbl>
    <w:p>
      <w:pPr>
        <w:pStyle w:val="TOC"/>
      </w:pPr>
      <w:r>
        <w:t>Table of Contents</w:t>
      </w:r>
    </w:p>
    <w:p>
      <w:pPr>
        <w:pStyle w:val="TOC1"/>
      </w:pPr>
      <w:r>
        <w:t>1</w:t>
        <w:tab/>
        <w:t>Introduction</w:t>
      </w:r>
    </w:p>
    <w:p>
      <w:pPr>
        <w:pStyle w:val="TOC2"/>
      </w:pPr>
      <w:r>
        <w:t>1.1</w:t>
        <w:tab/>
        <w:t>Purpose of this document</w:t>
      </w:r>
    </w:p>
    <w:p>
      <w:pPr>
        <w:pStyle w:val="TOC1"/>
      </w:pPr>
      <w:r>
        <w:t>2</w:t>
        <w:tab/>
        <w:t>General Descriptive Information</w:t>
      </w:r>
    </w:p>
    <w:p>
      <w:pPr>
        <w:pStyle w:val="TOC2"/>
      </w:pPr>
      <w:r>
        <w:t>2.1</w:t>
        <w:tab/>
        <w:t>Mission Overview</w:t>
      </w:r>
    </w:p>
    <w:p>
      <w:pPr>
        <w:pStyle w:val="TOC2"/>
      </w:pPr>
      <w:r>
        <w:t>2.2</w:t>
        <w:tab/>
        <w:t>Strategic Objectives</w:t>
      </w:r>
    </w:p>
    <w:p>
      <w:pPr>
        <w:pStyle w:val="TOC2"/>
      </w:pPr>
      <w:r>
        <w:t>2.3</w:t>
        <w:tab/>
        <w:t>Selected Mission Requirements</w:t>
      </w:r>
    </w:p>
    <w:p>
      <w:pPr>
        <w:pStyle w:val="TOC2"/>
      </w:pPr>
      <w:r>
        <w:t>2.4</w:t>
        <w:tab/>
        <w:t>High-Level Mission Architecture</w:t>
      </w:r>
    </w:p>
    <w:p>
      <w:pPr>
        <w:pStyle w:val="TOC1"/>
      </w:pPr>
      <w:r>
        <w:t>3</w:t>
        <w:tab/>
        <w:t>Space Segment Description</w:t>
      </w:r>
    </w:p>
    <w:p>
      <w:pPr>
        <w:pStyle w:val="TOC2"/>
      </w:pPr>
      <w:r>
        <w:t>3.1</w:t>
        <w:tab/>
        <w:t>Spacecraft Bus</w:t>
      </w:r>
    </w:p>
    <w:p>
      <w:pPr>
        <w:pStyle w:val="TOC2"/>
      </w:pPr>
      <w:r>
        <w:t>3.2</w:t>
        <w:tab/>
        <w:t>Payload</w:t>
      </w:r>
    </w:p>
    <w:p>
      <w:pPr>
        <w:pStyle w:val="TOC1"/>
      </w:pPr>
      <w:r>
        <w:t>4</w:t>
        <w:tab/>
        <w:t>Launch Segment Description</w:t>
      </w:r>
    </w:p>
    <w:p>
      <w:pPr>
        <w:pStyle w:val="TOC1"/>
      </w:pPr>
      <w:r>
        <w:t>5</w:t>
        <w:tab/>
        <w:t>Ground Segment and Mission Operations</w:t>
      </w:r>
    </w:p>
    <w:p>
      <w:pPr>
        <w:pStyle w:val="TOC1"/>
      </w:pPr>
      <w:r>
        <w:t>6</w:t>
        <w:tab/>
        <w:t>Systems Engineering and Project Management Approach</w:t>
      </w:r>
    </w:p>
    <w:p>
      <w:pPr>
        <w:pStyle w:val="TOC2"/>
      </w:pPr>
      <w:r>
        <w:t>6.1</w:t>
        <w:tab/>
        <w:t>TRL Levels and Heritage</w:t>
      </w:r>
    </w:p>
    <w:p>
      <w:pPr>
        <w:pStyle w:val="TOC2"/>
      </w:pPr>
      <w:r>
        <w:t>6.2</w:t>
        <w:tab/>
        <w:t>Phasing Logic and Naming Conventions</w:t>
      </w:r>
    </w:p>
    <w:p>
      <w:pPr>
        <w:pStyle w:val="TOC2"/>
      </w:pPr>
      <w:r>
        <w:t>6.3</w:t>
        <w:tab/>
        <w:t>Project Milestones</w:t>
      </w:r>
    </w:p>
    <w:p>
      <w:pPr>
        <w:pStyle w:val="TOC2"/>
      </w:pPr>
      <w:r>
        <w:t>6.4</w:t>
        <w:tab/>
        <w:t>Safety and Mission Assurance</w:t>
      </w:r>
    </w:p>
    <w:p>
      <w:pPr>
        <w:pStyle w:val="TOC2"/>
      </w:pPr>
      <w:r>
        <w:t>6.5</w:t>
        <w:tab/>
        <w:t>Prototyping Model Philosophy Qualification and Verification Strategy</w:t>
      </w:r>
    </w:p>
    <w:p>
      <w:pPr>
        <w:pStyle w:val="TOC2"/>
      </w:pPr>
      <w:r>
        <w:t>6.6</w:t>
        <w:tab/>
        <w:t>Sparing Strategy</w:t>
      </w:r>
    </w:p>
    <w:p>
      <w:pPr>
        <w:pStyle w:val="TOC2"/>
      </w:pPr>
      <w:r>
        <w:t>6.7</w:t>
        <w:tab/>
        <w:t>Risk Assessment</w:t>
      </w:r>
    </w:p>
    <w:p>
      <w:pPr>
        <w:pStyle w:val="TOC2"/>
      </w:pPr>
      <w:r>
        <w:t>6.8</w:t>
        <w:tab/>
        <w:t>Organizational Breakdown Structure</w:t>
      </w:r>
    </w:p>
    <w:p>
      <w:pPr>
        <w:pStyle w:val="Heading-unnumbered"/>
      </w:pPr>
      <w:r>
        <w:t>List of Figures</w:t>
      </w:r>
    </w:p>
    <w:p>
      <w:pPr>
        <w:pStyle w:val="TableofFigures"/>
      </w:pPr>
      <w:r>
        <w:t>Figure 1 – Rovenna Cryogenic Transit Demonstrator mission architecture</w:t>
      </w:r>
    </w:p>
    <w:p>
      <w:pPr>
        <w:pStyle w:val="TableofFigures"/>
      </w:pPr>
      <w:r>
        <w:t>Figure 2 – Payload measurement and data path</w:t>
      </w:r>
    </w:p>
    <w:p>
      <w:pPr>
        <w:pStyle w:val="Heading-unnumbered"/>
      </w:pPr>
      <w:r>
        <w:t>List of Tables</w:t>
      </w:r>
    </w:p>
    <w:p>
      <w:pPr>
        <w:pStyle w:val="TableofFigures"/>
      </w:pPr>
      <w:r>
        <w:t>Table 1 – Strategic Alignment</w:t>
      </w:r>
    </w:p>
    <w:p>
      <w:pPr>
        <w:pStyle w:val="TableofFigures"/>
      </w:pPr>
      <w:r>
        <w:t>Table 2 – Selected System Requirements</w:t>
      </w:r>
    </w:p>
    <w:p>
      <w:pPr>
        <w:pStyle w:val="TableofFigures"/>
      </w:pPr>
      <w:r>
        <w:t>Table 3 – Costing Phase Crosswalk</w:t>
      </w:r>
    </w:p>
    <w:p>
      <w:pPr>
        <w:pStyle w:val="TableofFigures"/>
      </w:pPr>
      <w:r>
        <w:t>Table 4 – Planning Phase Dates</w:t>
      </w:r>
    </w:p>
    <w:p>
      <w:pPr>
        <w:pStyle w:val="TableofFigures"/>
      </w:pPr>
      <w:r>
        <w:t>Table 5 – Major Milestones</w:t>
      </w:r>
    </w:p>
    <w:p>
      <w:pPr>
        <w:pStyle w:val="TableofFigures"/>
      </w:pPr>
      <w:r>
        <w:t>Table 6 – Mission Organizations</w:t>
      </w:r>
    </w:p>
    <w:p>
      <w:pPr>
        <w:pStyle w:val="TableofFigures"/>
      </w:pPr>
      <w:r>
        <w:t>Table 7 – Industrial Partners</w:t>
      </w:r>
    </w:p>
    <w:p>
      <w:pPr>
        <w:pStyle w:val="TableofFigures"/>
      </w:pPr>
      <w:r>
        <w:t>Table 8 – Research Institutions</w:t>
      </w:r>
    </w:p>
    <w:p>
      <w:pPr>
        <w:pStyle w:val="TableofFigures"/>
      </w:pPr>
      <w:r>
        <w:t>Table 9 – Scientific Leadership</w:t>
      </w:r>
    </w:p>
    <w:p>
      <w:r>
        <w:br w:type="page"/>
      </w:r>
    </w:p>
    <w:p>
      <w:pPr>
        <w:pStyle w:val="Heading1"/>
      </w:pPr>
      <w:r>
        <w:t>Introduction</w:t>
      </w:r>
    </w:p>
    <w:p>
      <w:pPr>
        <w:pStyle w:val="Heading2"/>
      </w:pPr>
      <w:r>
        <w:t>Purpose of this document</w:t>
      </w:r>
    </w:p>
    <w:p>
      <w:pPr>
        <w:pStyle w:val="BodyText"/>
      </w:pPr>
      <w:r>
        <w:t>CADRe Part A provides a concise, standardized synopsis of the mission to support cost analysis. It consolidates the mission objectives, system requirements, architecture, delivery boundaries, operations, verification strategy, schedule and participating organizations.</w:t>
      </w:r>
    </w:p>
    <w:p>
      <w:pPr>
        <w:pStyle w:val="BodyText"/>
      </w:pPr>
      <w:r>
        <w:t>The quantitative values are planning requirements or preliminary allocations. CADRe Part B records cost element parameters, Part C controls the phase schedule and risk register, and Part D records programmatic evidence.</w:t>
      </w:r>
    </w:p>
    <w:p>
      <w:pPr>
        <w:pStyle w:val="Heading1"/>
      </w:pPr>
      <w:r>
        <w:t>General Descriptive Information</w:t>
      </w:r>
    </w:p>
    <w:p>
      <w:pPr>
        <w:pStyle w:val="Heading2"/>
      </w:pPr>
      <w:r>
        <w:t>Mission Overview</w:t>
      </w:r>
    </w:p>
    <w:p>
      <w:pPr/>
      <w:r>
        <w:t>The reference configuration is one cryogenic testbed. Its operational environment is 700 ±20 km circular dawn–dusk Sun-synchronous reference orbit; inclination confirmed by launch analysis. The nominal duration is 18-month nominal demonstration; three-month commissioning; two-year design life. The flight or installed unit is sized at 480 kg and uses 1100 W power generation or host allocation as stated in the subsystem budget.</w:t>
      </w:r>
    </w:p>
    <w:p>
      <w:pPr/>
      <w:r>
        <w:t>The design carries dual insulated tank assembly, cryocooler and transfer loop and fluid metrology suite. Each produces a separately calibrated record with common time, configuration and quality metadata. The science objectives are quantified in the requirement matrix below.</w:t>
      </w:r>
    </w:p>
    <w:p>
      <w:pPr>
        <w:jc w:val="center"/>
      </w:pPr>
      <w:r>
        <w:drawing>
          <wp:inline xmlns:a="http://schemas.openxmlformats.org/drawingml/2006/main" xmlns:pic="http://schemas.openxmlformats.org/drawingml/2006/picture">
            <wp:extent cx="5852160" cy="1694329"/>
            <wp:docPr id="1" name="Picture 1"/>
            <wp:cNvGraphicFramePr>
              <a:graphicFrameLocks noChangeAspect="1"/>
            </wp:cNvGraphicFramePr>
            <a:graphic>
              <a:graphicData uri="http://schemas.openxmlformats.org/drawingml/2006/picture">
                <pic:pic>
                  <pic:nvPicPr>
                    <pic:cNvPr id="0" name="RCT_architecture.png"/>
                    <pic:cNvPicPr/>
                  </pic:nvPicPr>
                  <pic:blipFill>
                    <a:blip r:embed="rId20"/>
                    <a:stretch>
                      <a:fillRect/>
                    </a:stretch>
                  </pic:blipFill>
                  <pic:spPr>
                    <a:xfrm>
                      <a:off x="0" y="0"/>
                      <a:ext cx="5852160" cy="1694329"/>
                    </a:xfrm>
                    <a:prstGeom prst="rect"/>
                  </pic:spPr>
                </pic:pic>
              </a:graphicData>
            </a:graphic>
          </wp:inline>
        </w:drawing>
      </w:r>
    </w:p>
    <w:p>
      <w:pPr>
        <w:pStyle w:val="Caption"/>
      </w:pPr>
      <w:r>
        <w:t>Figure 1 – Rovenna Cryogenic Transit Demonstrator mission architecture. Labeled boxes identify responsibility boundaries; dimensions are schematic.</w:t>
      </w:r>
    </w:p>
    <w:p>
      <w:pPr>
        <w:pStyle w:val="Heading2"/>
      </w:pPr>
      <w:r>
        <w:t>Strategic Objectives</w:t>
      </w:r>
    </w:p>
    <w:p>
      <w:pPr>
        <w:pStyle w:val="BodyText"/>
      </w:pPr>
      <w:r>
        <w:t>The mission aligns the measurement or service objectives with the sponsoring authority’s stated science, capability and operations priorities.</w:t>
      </w:r>
    </w:p>
    <w:p>
      <w:pPr>
        <w:pStyle w:val="Caption"/>
      </w:pPr>
      <w:r>
        <w:t>Table 1 – Strategic Alignment</w:t>
      </w:r>
    </w:p>
    <w:tbl>
      <w:tblPr>
        <w:tblStyle w:val="TableGrid"/>
        <w:tblW w:type="auto" w:w="0"/>
        <w:jc w:val="center"/>
        <w:tblLayout w:type="fixed"/>
        <w:tblLook w:firstColumn="1" w:firstRow="1" w:lastColumn="0" w:lastRow="0" w:noHBand="0" w:noVBand="1" w:val="04A0"/>
      </w:tblPr>
      <w:tblGrid>
        <w:gridCol w:w="1584"/>
        <w:gridCol w:w="2880"/>
        <w:gridCol w:w="4824"/>
      </w:tblGrid>
      <w:tr>
        <w:trPr>
          <w:tblHeader w:val="true"/>
        </w:trPr>
        <w:tc>
          <w:tcPr>
            <w:tcW w:type="dxa" w:w="3120"/>
            <w:vAlign w:val="center"/>
            <w:shd w:fill="DDE6EF"/>
            <w:tcMar>
              <w:top w:w="90" w:type="dxa"/>
              <w:left w:w="90" w:type="dxa"/>
              <w:bottom w:w="90" w:type="dxa"/>
              <w:right w:w="90" w:type="dxa"/>
            </w:tcMar>
          </w:tcPr>
          <w:p>
            <w:pPr>
              <w:spacing w:after="0"/>
            </w:pPr>
            <w:r>
              <w:rPr>
                <w:b/>
                <w:sz w:val="16"/>
              </w:rPr>
              <w:t>Priority</w:t>
            </w:r>
          </w:p>
        </w:tc>
        <w:tc>
          <w:tcPr>
            <w:tcW w:type="dxa" w:w="3120"/>
            <w:vAlign w:val="center"/>
            <w:shd w:fill="DDE6EF"/>
            <w:tcMar>
              <w:top w:w="90" w:type="dxa"/>
              <w:left w:w="90" w:type="dxa"/>
              <w:bottom w:w="90" w:type="dxa"/>
              <w:right w:w="90" w:type="dxa"/>
            </w:tcMar>
          </w:tcPr>
          <w:p>
            <w:pPr>
              <w:spacing w:after="0"/>
            </w:pPr>
            <w:r>
              <w:rPr>
                <w:b/>
                <w:sz w:val="16"/>
              </w:rPr>
              <w:t>Strategic goal</w:t>
            </w:r>
          </w:p>
        </w:tc>
        <w:tc>
          <w:tcPr>
            <w:tcW w:type="dxa" w:w="3120"/>
            <w:vAlign w:val="center"/>
            <w:shd w:fill="DDE6EF"/>
            <w:tcMar>
              <w:top w:w="90" w:type="dxa"/>
              <w:left w:w="90" w:type="dxa"/>
              <w:bottom w:w="90" w:type="dxa"/>
              <w:right w:w="90" w:type="dxa"/>
            </w:tcMar>
          </w:tcPr>
          <w:p>
            <w:pPr>
              <w:spacing w:after="0"/>
            </w:pPr>
            <w:r>
              <w:rPr>
                <w:b/>
                <w:sz w:val="16"/>
              </w:rPr>
              <w:t>Mission contribution</w:t>
            </w:r>
          </w:p>
        </w:tc>
      </w:tr>
      <w:tr>
        <w:tc>
          <w:tcPr>
            <w:tcW w:type="dxa" w:w="3120"/>
            <w:vAlign w:val="center"/>
            <w:tcMar>
              <w:top w:w="90" w:type="dxa"/>
              <w:left w:w="90" w:type="dxa"/>
              <w:bottom w:w="90" w:type="dxa"/>
              <w:right w:w="90" w:type="dxa"/>
            </w:tcMar>
          </w:tcPr>
          <w:p>
            <w:pPr>
              <w:spacing w:after="0"/>
            </w:pPr>
            <w:r>
              <w:rPr>
                <w:sz w:val="16"/>
              </w:rPr>
              <w:t>1</w:t>
            </w:r>
          </w:p>
        </w:tc>
        <w:tc>
          <w:tcPr>
            <w:tcW w:type="dxa" w:w="3120"/>
            <w:vAlign w:val="center"/>
            <w:tcMar>
              <w:top w:w="90" w:type="dxa"/>
              <w:left w:w="90" w:type="dxa"/>
              <w:bottom w:w="90" w:type="dxa"/>
              <w:right w:w="90" w:type="dxa"/>
            </w:tcMar>
          </w:tcPr>
          <w:p>
            <w:pPr>
              <w:spacing w:after="0"/>
            </w:pPr>
            <w:r>
              <w:rPr>
                <w:sz w:val="16"/>
              </w:rPr>
              <w:t>Primary mission outcome</w:t>
            </w:r>
          </w:p>
        </w:tc>
        <w:tc>
          <w:tcPr>
            <w:tcW w:type="dxa" w:w="3120"/>
            <w:vAlign w:val="center"/>
            <w:tcMar>
              <w:top w:w="90" w:type="dxa"/>
              <w:left w:w="90" w:type="dxa"/>
              <w:bottom w:w="90" w:type="dxa"/>
              <w:right w:w="90" w:type="dxa"/>
            </w:tcMar>
          </w:tcPr>
          <w:p>
            <w:pPr>
              <w:spacing w:after="0"/>
            </w:pPr>
            <w:r>
              <w:rPr>
                <w:sz w:val="16"/>
              </w:rPr>
              <w:t>Demonstrate ≤0.05% per day net fluid loss over a 90-day stable segment, ≥95% transfer efficiency in 20 repeated transfers, and level-estimation error ≤1% of full tank.</w:t>
            </w:r>
          </w:p>
        </w:tc>
      </w:tr>
      <w:tr>
        <w:tc>
          <w:tcPr>
            <w:tcW w:type="dxa" w:w="3120"/>
            <w:vAlign w:val="center"/>
            <w:shd w:fill="F6F8FA"/>
            <w:tcMar>
              <w:top w:w="90" w:type="dxa"/>
              <w:left w:w="90" w:type="dxa"/>
              <w:bottom w:w="90" w:type="dxa"/>
              <w:right w:w="90" w:type="dxa"/>
            </w:tcMar>
          </w:tcPr>
          <w:p>
            <w:pPr>
              <w:spacing w:after="0"/>
            </w:pPr>
            <w:r>
              <w:rPr>
                <w:sz w:val="16"/>
              </w:rPr>
              <w:t>2</w:t>
            </w:r>
          </w:p>
        </w:tc>
        <w:tc>
          <w:tcPr>
            <w:tcW w:type="dxa" w:w="3120"/>
            <w:vAlign w:val="center"/>
            <w:shd w:fill="F6F8FA"/>
            <w:tcMar>
              <w:top w:w="90" w:type="dxa"/>
              <w:left w:w="90" w:type="dxa"/>
              <w:bottom w:w="90" w:type="dxa"/>
              <w:right w:w="90" w:type="dxa"/>
            </w:tcMar>
          </w:tcPr>
          <w:p>
            <w:pPr>
              <w:spacing w:after="0"/>
            </w:pPr>
            <w:r>
              <w:rPr>
                <w:sz w:val="16"/>
              </w:rPr>
              <w:t>Operational sustainability</w:t>
            </w:r>
          </w:p>
        </w:tc>
        <w:tc>
          <w:tcPr>
            <w:tcW w:type="dxa" w:w="3120"/>
            <w:vAlign w:val="center"/>
            <w:shd w:fill="F6F8FA"/>
            <w:tcMar>
              <w:top w:w="90" w:type="dxa"/>
              <w:left w:w="90" w:type="dxa"/>
              <w:bottom w:w="90" w:type="dxa"/>
              <w:right w:w="90" w:type="dxa"/>
            </w:tcMar>
          </w:tcPr>
          <w:p>
            <w:pPr>
              <w:spacing w:after="0"/>
            </w:pPr>
            <w:r>
              <w:rPr>
                <w:sz w:val="16"/>
              </w:rPr>
              <w:t>Deliver 18-month nominal demonstration; three-month commissioning; two-year design life. with independently accepted baseline products and contingency procedures.</w:t>
            </w:r>
          </w:p>
        </w:tc>
      </w:tr>
    </w:tbl>
    <w:p>
      <w:pPr>
        <w:pStyle w:val="Heading2"/>
      </w:pPr>
      <w:r>
        <w:t>Selected Mission Requirements</w:t>
      </w:r>
    </w:p>
    <w:p>
      <w:pPr>
        <w:pStyle w:val="BodyText"/>
      </w:pPr>
      <w:r>
        <w:t>The following selected requirements control the major cost and complexity drivers. Their verification methods and approved values belong in the controlled requirements baseline.</w:t>
      </w:r>
    </w:p>
    <w:p>
      <w:pPr>
        <w:pStyle w:val="Caption"/>
      </w:pPr>
      <w:r>
        <w:t>Table 2 – Selected System Requirements</w:t>
      </w:r>
    </w:p>
    <w:tbl>
      <w:tblPr>
        <w:tblStyle w:val="TableGrid"/>
        <w:tblW w:type="auto" w:w="0"/>
        <w:jc w:val="center"/>
        <w:tblLayout w:type="fixed"/>
        <w:tblLook w:firstColumn="1" w:firstRow="1" w:lastColumn="0" w:lastRow="0" w:noHBand="0" w:noVBand="1" w:val="04A0"/>
      </w:tblPr>
      <w:tblGrid>
        <w:gridCol w:w="2088"/>
        <w:gridCol w:w="4536"/>
        <w:gridCol w:w="2592"/>
      </w:tblGrid>
      <w:tr>
        <w:trPr>
          <w:tblHeader w:val="true"/>
        </w:trPr>
        <w:tc>
          <w:tcPr>
            <w:tcW w:type="dxa" w:w="3120"/>
            <w:vAlign w:val="center"/>
            <w:shd w:fill="DDE6EF"/>
            <w:tcMar>
              <w:top w:w="90" w:type="dxa"/>
              <w:left w:w="90" w:type="dxa"/>
              <w:bottom w:w="90" w:type="dxa"/>
              <w:right w:w="90" w:type="dxa"/>
            </w:tcMar>
          </w:tcPr>
          <w:p>
            <w:pPr>
              <w:spacing w:after="0"/>
            </w:pPr>
            <w:r>
              <w:rPr>
                <w:b/>
                <w:sz w:val="16"/>
              </w:rPr>
              <w:t>Cost and complexity driver</w:t>
            </w:r>
          </w:p>
        </w:tc>
        <w:tc>
          <w:tcPr>
            <w:tcW w:type="dxa" w:w="3120"/>
            <w:vAlign w:val="center"/>
            <w:shd w:fill="DDE6EF"/>
            <w:tcMar>
              <w:top w:w="90" w:type="dxa"/>
              <w:left w:w="90" w:type="dxa"/>
              <w:bottom w:w="90" w:type="dxa"/>
              <w:right w:w="90" w:type="dxa"/>
            </w:tcMar>
          </w:tcPr>
          <w:p>
            <w:pPr>
              <w:spacing w:after="0"/>
            </w:pPr>
            <w:r>
              <w:rPr>
                <w:b/>
                <w:sz w:val="16"/>
              </w:rPr>
              <w:t>Preliminary requirement</w:t>
            </w:r>
          </w:p>
        </w:tc>
        <w:tc>
          <w:tcPr>
            <w:tcW w:type="dxa" w:w="3120"/>
            <w:vAlign w:val="center"/>
            <w:shd w:fill="DDE6EF"/>
            <w:tcMar>
              <w:top w:w="90" w:type="dxa"/>
              <w:left w:w="90" w:type="dxa"/>
              <w:bottom w:w="90" w:type="dxa"/>
              <w:right w:w="90" w:type="dxa"/>
            </w:tcMar>
          </w:tcPr>
          <w:p>
            <w:pPr>
              <w:spacing w:after="0"/>
            </w:pPr>
            <w:r>
              <w:rPr>
                <w:b/>
                <w:sz w:val="16"/>
              </w:rPr>
              <w:t>Principal cost or complexity effect</w:t>
            </w:r>
          </w:p>
        </w:tc>
      </w:tr>
      <w:tr>
        <w:tc>
          <w:tcPr>
            <w:tcW w:type="dxa" w:w="3120"/>
            <w:vAlign w:val="center"/>
            <w:tcMar>
              <w:top w:w="90" w:type="dxa"/>
              <w:left w:w="90" w:type="dxa"/>
              <w:bottom w:w="90" w:type="dxa"/>
              <w:right w:w="90" w:type="dxa"/>
            </w:tcMar>
          </w:tcPr>
          <w:p>
            <w:pPr>
              <w:spacing w:after="0"/>
            </w:pPr>
            <w:r>
              <w:rPr>
                <w:sz w:val="16"/>
              </w:rPr>
              <w:t>Mission architecture</w:t>
            </w:r>
          </w:p>
        </w:tc>
        <w:tc>
          <w:tcPr>
            <w:tcW w:type="dxa" w:w="3120"/>
            <w:vAlign w:val="center"/>
            <w:tcMar>
              <w:top w:w="90" w:type="dxa"/>
              <w:left w:w="90" w:type="dxa"/>
              <w:bottom w:w="90" w:type="dxa"/>
              <w:right w:w="90" w:type="dxa"/>
            </w:tcMar>
          </w:tcPr>
          <w:p>
            <w:pPr>
              <w:spacing w:after="0"/>
            </w:pPr>
            <w:r>
              <w:rPr>
                <w:sz w:val="16"/>
              </w:rPr>
              <w:t>One cryogenic testbed; 1 unit(s).</w:t>
            </w:r>
          </w:p>
        </w:tc>
        <w:tc>
          <w:tcPr>
            <w:tcW w:type="dxa" w:w="3120"/>
            <w:vAlign w:val="center"/>
            <w:tcMar>
              <w:top w:w="90" w:type="dxa"/>
              <w:left w:w="90" w:type="dxa"/>
              <w:bottom w:w="90" w:type="dxa"/>
              <w:right w:w="90" w:type="dxa"/>
            </w:tcMar>
          </w:tcPr>
          <w:p>
            <w:pPr>
              <w:spacing w:after="0"/>
            </w:pPr>
            <w:r>
              <w:rPr>
                <w:sz w:val="16"/>
              </w:rPr>
              <w:t>Thermal hardware, environmental test and calibration stability.</w:t>
            </w:r>
          </w:p>
        </w:tc>
      </w:tr>
      <w:tr>
        <w:tc>
          <w:tcPr>
            <w:tcW w:type="dxa" w:w="3120"/>
            <w:vAlign w:val="center"/>
            <w:shd w:fill="F6F8FA"/>
            <w:tcMar>
              <w:top w:w="90" w:type="dxa"/>
              <w:left w:w="90" w:type="dxa"/>
              <w:bottom w:w="90" w:type="dxa"/>
              <w:right w:w="90" w:type="dxa"/>
            </w:tcMar>
          </w:tcPr>
          <w:p>
            <w:pPr>
              <w:spacing w:after="0"/>
            </w:pPr>
            <w:r>
              <w:rPr>
                <w:sz w:val="16"/>
              </w:rPr>
              <w:t>Operating environment</w:t>
            </w:r>
          </w:p>
        </w:tc>
        <w:tc>
          <w:tcPr>
            <w:tcW w:type="dxa" w:w="3120"/>
            <w:vAlign w:val="center"/>
            <w:shd w:fill="F6F8FA"/>
            <w:tcMar>
              <w:top w:w="90" w:type="dxa"/>
              <w:left w:w="90" w:type="dxa"/>
              <w:bottom w:w="90" w:type="dxa"/>
              <w:right w:w="90" w:type="dxa"/>
            </w:tcMar>
          </w:tcPr>
          <w:p>
            <w:pPr>
              <w:spacing w:after="0"/>
            </w:pPr>
            <w:r>
              <w:rPr>
                <w:sz w:val="16"/>
              </w:rPr>
              <w:t>700 ±20 km circular dawn–dusk Sun-synchronous reference orbit; inclination confirmed by launch analysis.</w:t>
            </w:r>
          </w:p>
        </w:tc>
        <w:tc>
          <w:tcPr>
            <w:tcW w:type="dxa" w:w="3120"/>
            <w:vAlign w:val="center"/>
            <w:shd w:fill="F6F8FA"/>
            <w:tcMar>
              <w:top w:w="90" w:type="dxa"/>
              <w:left w:w="90" w:type="dxa"/>
              <w:bottom w:w="90" w:type="dxa"/>
              <w:right w:w="90" w:type="dxa"/>
            </w:tcMar>
          </w:tcPr>
          <w:p>
            <w:pPr>
              <w:spacing w:after="0"/>
            </w:pPr>
            <w:r>
              <w:rPr>
                <w:sz w:val="16"/>
              </w:rPr>
              <w:t>Launch capacity, structure, separation hardware and qualification loads.</w:t>
            </w:r>
          </w:p>
        </w:tc>
      </w:tr>
      <w:tr>
        <w:tc>
          <w:tcPr>
            <w:tcW w:type="dxa" w:w="3120"/>
            <w:vAlign w:val="center"/>
            <w:tcMar>
              <w:top w:w="90" w:type="dxa"/>
              <w:left w:w="90" w:type="dxa"/>
              <w:bottom w:w="90" w:type="dxa"/>
              <w:right w:w="90" w:type="dxa"/>
            </w:tcMar>
          </w:tcPr>
          <w:p>
            <w:pPr>
              <w:spacing w:after="0"/>
            </w:pPr>
            <w:r>
              <w:rPr>
                <w:sz w:val="16"/>
              </w:rPr>
              <w:t>Mission duration</w:t>
            </w:r>
          </w:p>
        </w:tc>
        <w:tc>
          <w:tcPr>
            <w:tcW w:type="dxa" w:w="3120"/>
            <w:vAlign w:val="center"/>
            <w:tcMar>
              <w:top w:w="90" w:type="dxa"/>
              <w:left w:w="90" w:type="dxa"/>
              <w:bottom w:w="90" w:type="dxa"/>
              <w:right w:w="90" w:type="dxa"/>
            </w:tcMar>
          </w:tcPr>
          <w:p>
            <w:pPr>
              <w:spacing w:after="0"/>
            </w:pPr>
            <w:r>
              <w:rPr>
                <w:sz w:val="16"/>
              </w:rPr>
              <w:t>18-month nominal demonstration; three-month commissioning; two-year design life.</w:t>
            </w:r>
          </w:p>
        </w:tc>
        <w:tc>
          <w:tcPr>
            <w:tcW w:type="dxa" w:w="3120"/>
            <w:vAlign w:val="center"/>
            <w:tcMar>
              <w:top w:w="90" w:type="dxa"/>
              <w:left w:w="90" w:type="dxa"/>
              <w:bottom w:w="90" w:type="dxa"/>
              <w:right w:w="90" w:type="dxa"/>
            </w:tcMar>
          </w:tcPr>
          <w:p>
            <w:pPr>
              <w:spacing w:after="0"/>
            </w:pPr>
            <w:r>
              <w:rPr>
                <w:sz w:val="16"/>
              </w:rPr>
              <w:t>Parts screening, redundancy, spares and operations staffing.</w:t>
            </w:r>
          </w:p>
        </w:tc>
      </w:tr>
      <w:tr>
        <w:tc>
          <w:tcPr>
            <w:tcW w:type="dxa" w:w="3120"/>
            <w:vAlign w:val="center"/>
            <w:shd w:fill="F6F8FA"/>
            <w:tcMar>
              <w:top w:w="90" w:type="dxa"/>
              <w:left w:w="90" w:type="dxa"/>
              <w:bottom w:w="90" w:type="dxa"/>
              <w:right w:w="90" w:type="dxa"/>
            </w:tcMar>
          </w:tcPr>
          <w:p>
            <w:pPr>
              <w:spacing w:after="0"/>
            </w:pPr>
            <w:r>
              <w:rPr>
                <w:sz w:val="16"/>
              </w:rPr>
              <w:t>Unit mass</w:t>
            </w:r>
          </w:p>
        </w:tc>
        <w:tc>
          <w:tcPr>
            <w:tcW w:type="dxa" w:w="3120"/>
            <w:vAlign w:val="center"/>
            <w:shd w:fill="F6F8FA"/>
            <w:tcMar>
              <w:top w:w="90" w:type="dxa"/>
              <w:left w:w="90" w:type="dxa"/>
              <w:bottom w:w="90" w:type="dxa"/>
              <w:right w:w="90" w:type="dxa"/>
            </w:tcMar>
          </w:tcPr>
          <w:p>
            <w:pPr>
              <w:spacing w:after="0"/>
            </w:pPr>
            <w:r>
              <w:rPr>
                <w:sz w:val="16"/>
              </w:rPr>
              <w:t>≤480 kg as delivered or at launch, including the budgeted contents.</w:t>
            </w:r>
          </w:p>
        </w:tc>
        <w:tc>
          <w:tcPr>
            <w:tcW w:type="dxa" w:w="3120"/>
            <w:vAlign w:val="center"/>
            <w:shd w:fill="F6F8FA"/>
            <w:tcMar>
              <w:top w:w="90" w:type="dxa"/>
              <w:left w:w="90" w:type="dxa"/>
              <w:bottom w:w="90" w:type="dxa"/>
              <w:right w:w="90" w:type="dxa"/>
            </w:tcMar>
          </w:tcPr>
          <w:p>
            <w:pPr>
              <w:spacing w:after="0"/>
            </w:pPr>
            <w:r>
              <w:rPr>
                <w:sz w:val="16"/>
              </w:rPr>
              <w:t>Launch capacity, structure, separation hardware and qualification loads.</w:t>
            </w:r>
          </w:p>
        </w:tc>
      </w:tr>
      <w:tr>
        <w:tc>
          <w:tcPr>
            <w:tcW w:type="dxa" w:w="3120"/>
            <w:vAlign w:val="center"/>
            <w:tcMar>
              <w:top w:w="90" w:type="dxa"/>
              <w:left w:w="90" w:type="dxa"/>
              <w:bottom w:w="90" w:type="dxa"/>
              <w:right w:w="90" w:type="dxa"/>
            </w:tcMar>
          </w:tcPr>
          <w:p>
            <w:pPr>
              <w:spacing w:after="0"/>
            </w:pPr>
            <w:r>
              <w:rPr>
                <w:sz w:val="16"/>
              </w:rPr>
              <w:t>Payload allocation</w:t>
            </w:r>
          </w:p>
        </w:tc>
        <w:tc>
          <w:tcPr>
            <w:tcW w:type="dxa" w:w="3120"/>
            <w:vAlign w:val="center"/>
            <w:tcMar>
              <w:top w:w="90" w:type="dxa"/>
              <w:left w:w="90" w:type="dxa"/>
              <w:bottom w:w="90" w:type="dxa"/>
              <w:right w:w="90" w:type="dxa"/>
            </w:tcMar>
          </w:tcPr>
          <w:p>
            <w:pPr>
              <w:spacing w:after="0"/>
            </w:pPr>
            <w:r>
              <w:rPr>
                <w:sz w:val="16"/>
              </w:rPr>
              <w:t>≤130 kg, with definitions controlled by the mass table.</w:t>
            </w:r>
          </w:p>
        </w:tc>
        <w:tc>
          <w:tcPr>
            <w:tcW w:type="dxa" w:w="3120"/>
            <w:vAlign w:val="center"/>
            <w:tcMar>
              <w:top w:w="90" w:type="dxa"/>
              <w:left w:w="90" w:type="dxa"/>
              <w:bottom w:w="90" w:type="dxa"/>
              <w:right w:w="90" w:type="dxa"/>
            </w:tcMar>
          </w:tcPr>
          <w:p>
            <w:pPr>
              <w:spacing w:after="0"/>
            </w:pPr>
            <w:r>
              <w:rPr>
                <w:sz w:val="16"/>
              </w:rPr>
              <w:t>Launch capacity, structure, separation hardware and qualification loads.</w:t>
            </w:r>
          </w:p>
        </w:tc>
      </w:tr>
      <w:tr>
        <w:tc>
          <w:tcPr>
            <w:tcW w:type="dxa" w:w="3120"/>
            <w:vAlign w:val="center"/>
            <w:shd w:fill="F6F8FA"/>
            <w:tcMar>
              <w:top w:w="90" w:type="dxa"/>
              <w:left w:w="90" w:type="dxa"/>
              <w:bottom w:w="90" w:type="dxa"/>
              <w:right w:w="90" w:type="dxa"/>
            </w:tcMar>
          </w:tcPr>
          <w:p>
            <w:pPr>
              <w:spacing w:after="0"/>
            </w:pPr>
            <w:r>
              <w:rPr>
                <w:sz w:val="16"/>
              </w:rPr>
              <w:t>Power generation / provision</w:t>
            </w:r>
          </w:p>
        </w:tc>
        <w:tc>
          <w:tcPr>
            <w:tcW w:type="dxa" w:w="3120"/>
            <w:vAlign w:val="center"/>
            <w:shd w:fill="F6F8FA"/>
            <w:tcMar>
              <w:top w:w="90" w:type="dxa"/>
              <w:left w:w="90" w:type="dxa"/>
              <w:bottom w:w="90" w:type="dxa"/>
              <w:right w:w="90" w:type="dxa"/>
            </w:tcMar>
          </w:tcPr>
          <w:p>
            <w:pPr>
              <w:spacing w:after="0"/>
            </w:pPr>
            <w:r>
              <w:rPr>
                <w:sz w:val="16"/>
              </w:rPr>
              <w:t>1100 W at specified reference; nominal 720 W and peak 950 W.</w:t>
            </w:r>
          </w:p>
        </w:tc>
        <w:tc>
          <w:tcPr>
            <w:tcW w:type="dxa" w:w="3120"/>
            <w:vAlign w:val="center"/>
            <w:shd w:fill="F6F8FA"/>
            <w:tcMar>
              <w:top w:w="90" w:type="dxa"/>
              <w:left w:w="90" w:type="dxa"/>
              <w:bottom w:w="90" w:type="dxa"/>
              <w:right w:w="90" w:type="dxa"/>
            </w:tcMar>
          </w:tcPr>
          <w:p>
            <w:pPr>
              <w:spacing w:after="0"/>
            </w:pPr>
            <w:r>
              <w:rPr>
                <w:sz w:val="16"/>
              </w:rPr>
              <w:t>Generation, storage, power distribution, thermal rejection and eclipse margin.</w:t>
            </w:r>
          </w:p>
        </w:tc>
      </w:tr>
      <w:tr>
        <w:tc>
          <w:tcPr>
            <w:tcW w:type="dxa" w:w="3120"/>
            <w:vAlign w:val="center"/>
            <w:tcMar>
              <w:top w:w="90" w:type="dxa"/>
              <w:left w:w="90" w:type="dxa"/>
              <w:bottom w:w="90" w:type="dxa"/>
              <w:right w:w="90" w:type="dxa"/>
            </w:tcMar>
          </w:tcPr>
          <w:p>
            <w:pPr>
              <w:spacing w:after="0"/>
            </w:pPr>
            <w:r>
              <w:rPr>
                <w:sz w:val="16"/>
              </w:rPr>
              <w:t>Primary measurement</w:t>
            </w:r>
          </w:p>
        </w:tc>
        <w:tc>
          <w:tcPr>
            <w:tcW w:type="dxa" w:w="3120"/>
            <w:vAlign w:val="center"/>
            <w:tcMar>
              <w:top w:w="90" w:type="dxa"/>
              <w:left w:w="90" w:type="dxa"/>
              <w:bottom w:w="90" w:type="dxa"/>
              <w:right w:w="90" w:type="dxa"/>
            </w:tcMar>
          </w:tcPr>
          <w:p>
            <w:pPr>
              <w:spacing w:after="0"/>
            </w:pPr>
            <w:r>
              <w:rPr>
                <w:sz w:val="16"/>
              </w:rPr>
              <w:t>Demonstrate ≤0.05% per day net fluid loss over a 90-day stable segment, ≥95% transfer efficiency in 20 repeated transfers, and level-estimation error ≤1% of full tank.</w:t>
            </w:r>
          </w:p>
        </w:tc>
        <w:tc>
          <w:tcPr>
            <w:tcW w:type="dxa" w:w="3120"/>
            <w:vAlign w:val="center"/>
            <w:tcMar>
              <w:top w:w="90" w:type="dxa"/>
              <w:left w:w="90" w:type="dxa"/>
              <w:bottom w:w="90" w:type="dxa"/>
              <w:right w:w="90" w:type="dxa"/>
            </w:tcMar>
          </w:tcPr>
          <w:p>
            <w:pPr>
              <w:spacing w:after="0"/>
            </w:pPr>
            <w:r>
              <w:rPr>
                <w:sz w:val="16"/>
              </w:rPr>
              <w:t>Flight hardware allocation, interface control and acceptance testing.</w:t>
            </w:r>
          </w:p>
        </w:tc>
      </w:tr>
      <w:tr>
        <w:tc>
          <w:tcPr>
            <w:tcW w:type="dxa" w:w="3120"/>
            <w:vAlign w:val="center"/>
            <w:shd w:fill="F6F8FA"/>
            <w:tcMar>
              <w:top w:w="90" w:type="dxa"/>
              <w:left w:w="90" w:type="dxa"/>
              <w:bottom w:w="90" w:type="dxa"/>
              <w:right w:w="90" w:type="dxa"/>
            </w:tcMar>
          </w:tcPr>
          <w:p>
            <w:pPr>
              <w:spacing w:after="0"/>
            </w:pPr>
            <w:r>
              <w:rPr>
                <w:sz w:val="16"/>
              </w:rPr>
              <w:t>Instrument 1</w:t>
            </w:r>
          </w:p>
        </w:tc>
        <w:tc>
          <w:tcPr>
            <w:tcW w:type="dxa" w:w="3120"/>
            <w:vAlign w:val="center"/>
            <w:shd w:fill="F6F8FA"/>
            <w:tcMar>
              <w:top w:w="90" w:type="dxa"/>
              <w:left w:w="90" w:type="dxa"/>
              <w:bottom w:w="90" w:type="dxa"/>
              <w:right w:w="90" w:type="dxa"/>
            </w:tcMar>
          </w:tcPr>
          <w:p>
            <w:pPr>
              <w:spacing w:after="0"/>
            </w:pPr>
            <w:r>
              <w:rPr>
                <w:sz w:val="16"/>
              </w:rPr>
              <w:t>Two tanks each hold 50 kg of inert test fluid; tank structure and insulation are in the separate 130 kg dry experiment allocation; 90 K storage target.</w:t>
            </w:r>
          </w:p>
        </w:tc>
        <w:tc>
          <w:tcPr>
            <w:tcW w:type="dxa" w:w="3120"/>
            <w:vAlign w:val="center"/>
            <w:shd w:fill="F6F8FA"/>
            <w:tcMar>
              <w:top w:w="90" w:type="dxa"/>
              <w:left w:w="90" w:type="dxa"/>
              <w:bottom w:w="90" w:type="dxa"/>
              <w:right w:w="90" w:type="dxa"/>
            </w:tcMar>
          </w:tcPr>
          <w:p>
            <w:pPr>
              <w:spacing w:after="0"/>
            </w:pPr>
            <w:r>
              <w:rPr>
                <w:sz w:val="16"/>
              </w:rPr>
              <w:t>Recorder capacity, RF equipment, ground contacts and archive processing.</w:t>
            </w:r>
          </w:p>
        </w:tc>
      </w:tr>
      <w:tr>
        <w:tc>
          <w:tcPr>
            <w:tcW w:type="dxa" w:w="3120"/>
            <w:vAlign w:val="center"/>
            <w:tcMar>
              <w:top w:w="90" w:type="dxa"/>
              <w:left w:w="90" w:type="dxa"/>
              <w:bottom w:w="90" w:type="dxa"/>
              <w:right w:w="90" w:type="dxa"/>
            </w:tcMar>
          </w:tcPr>
          <w:p>
            <w:pPr>
              <w:spacing w:after="0"/>
            </w:pPr>
            <w:r>
              <w:rPr>
                <w:sz w:val="16"/>
              </w:rPr>
              <w:t>Instrument 2</w:t>
            </w:r>
          </w:p>
        </w:tc>
        <w:tc>
          <w:tcPr>
            <w:tcW w:type="dxa" w:w="3120"/>
            <w:vAlign w:val="center"/>
            <w:tcMar>
              <w:top w:w="90" w:type="dxa"/>
              <w:left w:w="90" w:type="dxa"/>
              <w:bottom w:w="90" w:type="dxa"/>
              <w:right w:w="90" w:type="dxa"/>
            </w:tcMar>
          </w:tcPr>
          <w:p>
            <w:pPr>
              <w:spacing w:after="0"/>
            </w:pPr>
            <w:r>
              <w:rPr>
                <w:sz w:val="16"/>
              </w:rPr>
              <w:t>≤8 W heat lift at 90 K with ≤260 W electrical input; 0.2–1.0 kg/min controlled transfer through recirculation loop.</w:t>
            </w:r>
          </w:p>
        </w:tc>
        <w:tc>
          <w:tcPr>
            <w:tcW w:type="dxa" w:w="3120"/>
            <w:vAlign w:val="center"/>
            <w:tcMar>
              <w:top w:w="90" w:type="dxa"/>
              <w:left w:w="90" w:type="dxa"/>
              <w:bottom w:w="90" w:type="dxa"/>
              <w:right w:w="90" w:type="dxa"/>
            </w:tcMar>
          </w:tcPr>
          <w:p>
            <w:pPr>
              <w:spacing w:after="0"/>
            </w:pPr>
            <w:r>
              <w:rPr>
                <w:sz w:val="16"/>
              </w:rPr>
              <w:t>Flight hardware allocation, interface control and acceptance testing.</w:t>
            </w:r>
          </w:p>
        </w:tc>
      </w:tr>
      <w:tr>
        <w:tc>
          <w:tcPr>
            <w:tcW w:type="dxa" w:w="3120"/>
            <w:vAlign w:val="center"/>
            <w:shd w:fill="F6F8FA"/>
            <w:tcMar>
              <w:top w:w="90" w:type="dxa"/>
              <w:left w:w="90" w:type="dxa"/>
              <w:bottom w:w="90" w:type="dxa"/>
              <w:right w:w="90" w:type="dxa"/>
            </w:tcMar>
          </w:tcPr>
          <w:p>
            <w:pPr>
              <w:spacing w:after="0"/>
            </w:pPr>
            <w:r>
              <w:rPr>
                <w:sz w:val="16"/>
              </w:rPr>
              <w:t>Instrument 3</w:t>
            </w:r>
          </w:p>
        </w:tc>
        <w:tc>
          <w:tcPr>
            <w:tcW w:type="dxa" w:w="3120"/>
            <w:vAlign w:val="center"/>
            <w:shd w:fill="F6F8FA"/>
            <w:tcMar>
              <w:top w:w="90" w:type="dxa"/>
              <w:left w:w="90" w:type="dxa"/>
              <w:bottom w:w="90" w:type="dxa"/>
              <w:right w:w="90" w:type="dxa"/>
            </w:tcMar>
          </w:tcPr>
          <w:p>
            <w:pPr>
              <w:spacing w:after="0"/>
            </w:pPr>
            <w:r>
              <w:rPr>
                <w:sz w:val="16"/>
              </w:rPr>
              <w:t>≤1% of full tank level error; 0.1 K temperature and 0.2 kPa pressure resolution, sampled at 1 Hz.</w:t>
            </w:r>
          </w:p>
        </w:tc>
        <w:tc>
          <w:tcPr>
            <w:tcW w:type="dxa" w:w="3120"/>
            <w:vAlign w:val="center"/>
            <w:shd w:fill="F6F8FA"/>
            <w:tcMar>
              <w:top w:w="90" w:type="dxa"/>
              <w:left w:w="90" w:type="dxa"/>
              <w:bottom w:w="90" w:type="dxa"/>
              <w:right w:w="90" w:type="dxa"/>
            </w:tcMar>
          </w:tcPr>
          <w:p>
            <w:pPr>
              <w:spacing w:after="0"/>
            </w:pPr>
            <w:r>
              <w:rPr>
                <w:sz w:val="16"/>
              </w:rPr>
              <w:t>Detector performance, calibration, metrology and end-to-end verification.</w:t>
            </w:r>
          </w:p>
        </w:tc>
      </w:tr>
      <w:tr>
        <w:tc>
          <w:tcPr>
            <w:tcW w:type="dxa" w:w="3120"/>
            <w:vAlign w:val="center"/>
            <w:tcMar>
              <w:top w:w="90" w:type="dxa"/>
              <w:left w:w="90" w:type="dxa"/>
              <w:bottom w:w="90" w:type="dxa"/>
              <w:right w:w="90" w:type="dxa"/>
            </w:tcMar>
          </w:tcPr>
          <w:p>
            <w:pPr>
              <w:spacing w:after="0"/>
            </w:pPr>
            <w:r>
              <w:rPr>
                <w:sz w:val="16"/>
              </w:rPr>
              <w:t>Pointing or positioning</w:t>
            </w:r>
          </w:p>
        </w:tc>
        <w:tc>
          <w:tcPr>
            <w:tcW w:type="dxa" w:w="3120"/>
            <w:vAlign w:val="center"/>
            <w:tcMar>
              <w:top w:w="90" w:type="dxa"/>
              <w:left w:w="90" w:type="dxa"/>
              <w:bottom w:w="90" w:type="dxa"/>
              <w:right w:w="90" w:type="dxa"/>
            </w:tcMar>
          </w:tcPr>
          <w:p>
            <w:pPr>
              <w:spacing w:after="0"/>
            </w:pPr>
            <w:r>
              <w:rPr>
                <w:sz w:val="16"/>
              </w:rPr>
              <w:t>Two star trackers, four wheels and Sun sensors; maintain radiator Sun exclusion ≥45° and ≤0.5° attitude accuracy during fluid-transfer runs.</w:t>
            </w:r>
          </w:p>
        </w:tc>
        <w:tc>
          <w:tcPr>
            <w:tcW w:type="dxa" w:w="3120"/>
            <w:vAlign w:val="center"/>
            <w:tcMar>
              <w:top w:w="90" w:type="dxa"/>
              <w:left w:w="90" w:type="dxa"/>
              <w:bottom w:w="90" w:type="dxa"/>
              <w:right w:w="90" w:type="dxa"/>
            </w:tcMar>
          </w:tcPr>
          <w:p>
            <w:pPr>
              <w:spacing w:after="0"/>
            </w:pPr>
            <w:r>
              <w:rPr>
                <w:sz w:val="16"/>
              </w:rPr>
              <w:t>Detector performance, calibration, metrology and end-to-end verification.</w:t>
            </w:r>
          </w:p>
        </w:tc>
      </w:tr>
      <w:tr>
        <w:tc>
          <w:tcPr>
            <w:tcW w:type="dxa" w:w="3120"/>
            <w:vAlign w:val="center"/>
            <w:shd w:fill="F6F8FA"/>
            <w:tcMar>
              <w:top w:w="90" w:type="dxa"/>
              <w:left w:w="90" w:type="dxa"/>
              <w:bottom w:w="90" w:type="dxa"/>
              <w:right w:w="90" w:type="dxa"/>
            </w:tcMar>
          </w:tcPr>
          <w:p>
            <w:pPr>
              <w:spacing w:after="0"/>
            </w:pPr>
            <w:r>
              <w:rPr>
                <w:sz w:val="16"/>
              </w:rPr>
              <w:t>Mission-data volume</w:t>
            </w:r>
          </w:p>
        </w:tc>
        <w:tc>
          <w:tcPr>
            <w:tcW w:type="dxa" w:w="3120"/>
            <w:vAlign w:val="center"/>
            <w:shd w:fill="F6F8FA"/>
            <w:tcMar>
              <w:top w:w="90" w:type="dxa"/>
              <w:left w:w="90" w:type="dxa"/>
              <w:bottom w:w="90" w:type="dxa"/>
              <w:right w:w="90" w:type="dxa"/>
            </w:tcMar>
          </w:tcPr>
          <w:p>
            <w:pPr>
              <w:spacing w:after="0"/>
            </w:pPr>
            <w:r>
              <w:rPr>
                <w:sz w:val="16"/>
              </w:rPr>
              <w:t>5 GB/day experiment and housekeeping</w:t>
            </w:r>
          </w:p>
        </w:tc>
        <w:tc>
          <w:tcPr>
            <w:tcW w:type="dxa" w:w="3120"/>
            <w:vAlign w:val="center"/>
            <w:shd w:fill="F6F8FA"/>
            <w:tcMar>
              <w:top w:w="90" w:type="dxa"/>
              <w:left w:w="90" w:type="dxa"/>
              <w:bottom w:w="90" w:type="dxa"/>
              <w:right w:w="90" w:type="dxa"/>
            </w:tcMar>
          </w:tcPr>
          <w:p>
            <w:pPr>
              <w:spacing w:after="0"/>
            </w:pPr>
            <w:r>
              <w:rPr>
                <w:sz w:val="16"/>
              </w:rPr>
              <w:t>Launch capacity, structure, separation hardware and qualification loads.</w:t>
            </w:r>
          </w:p>
        </w:tc>
      </w:tr>
    </w:tbl>
    <w:p>
      <w:pPr>
        <w:pStyle w:val="Heading2"/>
      </w:pPr>
      <w:r>
        <w:t>High-Level Mission Architecture</w:t>
      </w:r>
    </w:p>
    <w:p>
      <w:pPr>
        <w:pStyle w:val="BodyText"/>
      </w:pPr>
      <w:r>
        <w:t>The architecture separates oversight, space or deployed hardware, launch or delivery, ground services, operations and science or user exploitation.</w:t>
      </w:r>
    </w:p>
    <w:p>
      <w:pPr>
        <w:pStyle w:val="BodyText"/>
      </w:pPr>
      <w:r>
        <w:t>Elarven Flight Technology Directorate owns system requirements, procurement, risk and mission acceptance.</w:t>
      </w:r>
    </w:p>
    <w:p>
      <w:pPr>
        <w:pStyle w:val="BodyText"/>
      </w:pPr>
      <w:r>
        <w:t>Valtrix Orbital Engineering owns the integrated unit, interfaces and system-level verification.</w:t>
      </w:r>
    </w:p>
    <w:p>
      <w:pPr>
        <w:pStyle w:val="BodyText"/>
      </w:pPr>
      <w:r>
        <w:t>Qeruvon Cryogenic Works delivers the measurement equipment and calibration evidence.</w:t>
      </w:r>
    </w:p>
    <w:p>
      <w:pPr>
        <w:pStyle w:val="BodyText"/>
      </w:pPr>
      <w:r>
        <w:t>Fervalis Launch Partnership delivers the unit to its destination and verifies interface conditions.</w:t>
      </w:r>
    </w:p>
    <w:p>
      <w:pPr>
        <w:pStyle w:val="BodyText"/>
      </w:pPr>
      <w:r>
        <w:t>Seleran Ground Operations supplies receiving, networking and ground-service capacity.</w:t>
      </w:r>
    </w:p>
    <w:p>
      <w:pPr>
        <w:pStyle w:val="BodyText"/>
      </w:pPr>
      <w:r>
        <w:t>Mirellis Thermal Institute produces, validates and archives the calibrated mission products.</w:t>
      </w:r>
    </w:p>
    <w:p>
      <w:pPr>
        <w:pStyle w:val="Heading1"/>
      </w:pPr>
      <w:r>
        <w:t>Space Segment Description</w:t>
      </w:r>
    </w:p>
    <w:p>
      <w:pPr/>
      <w:r>
        <w:t>The reference configuration is one cryogenic testbed. Its operational environment is 700 ±20 km circular dawn–dusk Sun-synchronous reference orbit; inclination confirmed by launch analysis. The nominal duration is 18-month nominal demonstration; three-month commissioning; two-year design life. The flight or installed unit is sized at 480 kg and uses 1100 W power generation or host allocation as stated in the subsystem budget. The segment boundary includes the integrated unit and its mission-specific payload, interfaces, spares and verification articles.</w:t>
      </w:r>
    </w:p>
    <w:p>
      <w:pPr>
        <w:pStyle w:val="Heading2"/>
      </w:pPr>
      <w:r>
        <w:t>Spacecraft Bus</w:t>
      </w:r>
    </w:p>
    <w:p>
      <w:pPr/>
      <w:r>
        <w:t>The integrated unit provides structural restraint, power, command and data handling, thermal protection, equipment control and the communication interface appropriate to 700 ±20 km circular dawn–dusk Sun-synchronous reference orbit; inclination confirmed by launch analysis. The design shall carry configuration identifiers and independent acceptance records for every delivered unit.</w:t>
      </w:r>
    </w:p>
    <w:tbl>
      <w:tblPr>
        <w:tblStyle w:val="TableGrid"/>
        <w:tblW w:type="auto" w:w="0"/>
        <w:jc w:val="center"/>
        <w:tblLayout w:type="fixed"/>
        <w:tblLook w:firstColumn="1" w:firstRow="1" w:lastColumn="0" w:lastRow="0" w:noHBand="0" w:noVBand="1" w:val="04A0"/>
      </w:tblPr>
      <w:tblGrid>
        <w:gridCol w:w="3168"/>
        <w:gridCol w:w="5760"/>
      </w:tblGrid>
      <w:tr>
        <w:trPr>
          <w:tblHeader w:val="true"/>
        </w:trPr>
        <w:tc>
          <w:tcPr>
            <w:tcW w:type="dxa" w:w="4680"/>
            <w:vAlign w:val="center"/>
            <w:shd w:fill="DDE6EF"/>
            <w:tcMar>
              <w:top w:w="90" w:type="dxa"/>
              <w:left w:w="90" w:type="dxa"/>
              <w:bottom w:w="90" w:type="dxa"/>
              <w:right w:w="90" w:type="dxa"/>
            </w:tcMar>
          </w:tcPr>
          <w:p>
            <w:pPr>
              <w:spacing w:after="0"/>
            </w:pPr>
            <w:r>
              <w:rPr>
                <w:b/>
                <w:sz w:val="16"/>
              </w:rPr>
              <w:t>Parameter</w:t>
            </w:r>
          </w:p>
        </w:tc>
        <w:tc>
          <w:tcPr>
            <w:tcW w:type="dxa" w:w="4680"/>
            <w:vAlign w:val="center"/>
            <w:shd w:fill="DDE6EF"/>
            <w:tcMar>
              <w:top w:w="90" w:type="dxa"/>
              <w:left w:w="90" w:type="dxa"/>
              <w:bottom w:w="90" w:type="dxa"/>
              <w:right w:w="90" w:type="dxa"/>
            </w:tcMar>
          </w:tcPr>
          <w:p>
            <w:pPr>
              <w:spacing w:after="0"/>
            </w:pPr>
            <w:r>
              <w:rPr>
                <w:b/>
                <w:sz w:val="16"/>
              </w:rPr>
              <w:t>Preliminary allocation / target</w:t>
            </w:r>
          </w:p>
        </w:tc>
      </w:tr>
      <w:tr>
        <w:tc>
          <w:tcPr>
            <w:tcW w:type="dxa" w:w="4680"/>
            <w:vAlign w:val="center"/>
            <w:tcMar>
              <w:top w:w="90" w:type="dxa"/>
              <w:left w:w="90" w:type="dxa"/>
              <w:bottom w:w="90" w:type="dxa"/>
              <w:right w:w="90" w:type="dxa"/>
            </w:tcMar>
          </w:tcPr>
          <w:p>
            <w:pPr>
              <w:spacing w:after="0"/>
            </w:pPr>
            <w:r>
              <w:rPr>
                <w:sz w:val="16"/>
              </w:rPr>
              <w:t>Unit mass</w:t>
            </w:r>
          </w:p>
        </w:tc>
        <w:tc>
          <w:tcPr>
            <w:tcW w:type="dxa" w:w="4680"/>
            <w:vAlign w:val="center"/>
            <w:tcMar>
              <w:top w:w="90" w:type="dxa"/>
              <w:left w:w="90" w:type="dxa"/>
              <w:bottom w:w="90" w:type="dxa"/>
              <w:right w:w="90" w:type="dxa"/>
            </w:tcMar>
          </w:tcPr>
          <w:p>
            <w:pPr>
              <w:spacing w:after="0"/>
            </w:pPr>
            <w:r>
              <w:rPr>
                <w:sz w:val="16"/>
              </w:rPr>
              <w:t>480 kg</w:t>
            </w:r>
          </w:p>
        </w:tc>
      </w:tr>
      <w:tr>
        <w:tc>
          <w:tcPr>
            <w:tcW w:type="dxa" w:w="4680"/>
            <w:vAlign w:val="center"/>
            <w:shd w:fill="F6F8FA"/>
            <w:tcMar>
              <w:top w:w="90" w:type="dxa"/>
              <w:left w:w="90" w:type="dxa"/>
              <w:bottom w:w="90" w:type="dxa"/>
              <w:right w:w="90" w:type="dxa"/>
            </w:tcMar>
          </w:tcPr>
          <w:p>
            <w:pPr>
              <w:spacing w:after="0"/>
            </w:pPr>
            <w:r>
              <w:rPr>
                <w:sz w:val="16"/>
              </w:rPr>
              <w:t>Mass composition</w:t>
            </w:r>
          </w:p>
        </w:tc>
        <w:tc>
          <w:tcPr>
            <w:tcW w:type="dxa" w:w="4680"/>
            <w:vAlign w:val="center"/>
            <w:shd w:fill="F6F8FA"/>
            <w:tcMar>
              <w:top w:w="90" w:type="dxa"/>
              <w:left w:w="90" w:type="dxa"/>
              <w:bottom w:w="90" w:type="dxa"/>
              <w:right w:w="90" w:type="dxa"/>
            </w:tcMar>
          </w:tcPr>
          <w:p>
            <w:pPr>
              <w:spacing w:after="0"/>
            </w:pPr>
            <w:r>
              <w:rPr>
                <w:sz w:val="16"/>
              </w:rPr>
              <w:t>222 kg dry bus + 130 kg experiment hardware + 100 kg fluid + 28 kg propellant = 480 kg</w:t>
            </w:r>
          </w:p>
        </w:tc>
      </w:tr>
      <w:tr>
        <w:tc>
          <w:tcPr>
            <w:tcW w:type="dxa" w:w="4680"/>
            <w:vAlign w:val="center"/>
            <w:tcMar>
              <w:top w:w="90" w:type="dxa"/>
              <w:left w:w="90" w:type="dxa"/>
              <w:bottom w:w="90" w:type="dxa"/>
              <w:right w:w="90" w:type="dxa"/>
            </w:tcMar>
          </w:tcPr>
          <w:p>
            <w:pPr>
              <w:spacing w:after="0"/>
            </w:pPr>
            <w:r>
              <w:rPr>
                <w:sz w:val="16"/>
              </w:rPr>
              <w:t>Payload / experiment allocation</w:t>
            </w:r>
          </w:p>
        </w:tc>
        <w:tc>
          <w:tcPr>
            <w:tcW w:type="dxa" w:w="4680"/>
            <w:vAlign w:val="center"/>
            <w:tcMar>
              <w:top w:w="90" w:type="dxa"/>
              <w:left w:w="90" w:type="dxa"/>
              <w:bottom w:w="90" w:type="dxa"/>
              <w:right w:w="90" w:type="dxa"/>
            </w:tcMar>
          </w:tcPr>
          <w:p>
            <w:pPr>
              <w:spacing w:after="0"/>
            </w:pPr>
            <w:r>
              <w:rPr>
                <w:sz w:val="16"/>
              </w:rPr>
              <w:t>130 kg</w:t>
            </w:r>
          </w:p>
        </w:tc>
      </w:tr>
      <w:tr>
        <w:tc>
          <w:tcPr>
            <w:tcW w:type="dxa" w:w="4680"/>
            <w:vAlign w:val="center"/>
            <w:shd w:fill="F6F8FA"/>
            <w:tcMar>
              <w:top w:w="90" w:type="dxa"/>
              <w:left w:w="90" w:type="dxa"/>
              <w:bottom w:w="90" w:type="dxa"/>
              <w:right w:w="90" w:type="dxa"/>
            </w:tcMar>
          </w:tcPr>
          <w:p>
            <w:pPr>
              <w:spacing w:after="0"/>
            </w:pPr>
            <w:r>
              <w:rPr>
                <w:sz w:val="16"/>
              </w:rPr>
              <w:t>Generation / provision</w:t>
            </w:r>
          </w:p>
        </w:tc>
        <w:tc>
          <w:tcPr>
            <w:tcW w:type="dxa" w:w="4680"/>
            <w:vAlign w:val="center"/>
            <w:shd w:fill="F6F8FA"/>
            <w:tcMar>
              <w:top w:w="90" w:type="dxa"/>
              <w:left w:w="90" w:type="dxa"/>
              <w:bottom w:w="90" w:type="dxa"/>
              <w:right w:w="90" w:type="dxa"/>
            </w:tcMar>
          </w:tcPr>
          <w:p>
            <w:pPr>
              <w:spacing w:after="0"/>
            </w:pPr>
            <w:r>
              <w:rPr>
                <w:sz w:val="16"/>
              </w:rPr>
              <w:t>1100 W reference</w:t>
            </w:r>
          </w:p>
        </w:tc>
      </w:tr>
      <w:tr>
        <w:tc>
          <w:tcPr>
            <w:tcW w:type="dxa" w:w="4680"/>
            <w:vAlign w:val="center"/>
            <w:tcMar>
              <w:top w:w="90" w:type="dxa"/>
              <w:left w:w="90" w:type="dxa"/>
              <w:bottom w:w="90" w:type="dxa"/>
              <w:right w:w="90" w:type="dxa"/>
            </w:tcMar>
          </w:tcPr>
          <w:p>
            <w:pPr>
              <w:spacing w:after="0"/>
            </w:pPr>
            <w:r>
              <w:rPr>
                <w:sz w:val="16"/>
              </w:rPr>
              <w:t>Nominal / peak demand</w:t>
            </w:r>
          </w:p>
        </w:tc>
        <w:tc>
          <w:tcPr>
            <w:tcW w:type="dxa" w:w="4680"/>
            <w:vAlign w:val="center"/>
            <w:tcMar>
              <w:top w:w="90" w:type="dxa"/>
              <w:left w:w="90" w:type="dxa"/>
              <w:bottom w:w="90" w:type="dxa"/>
              <w:right w:w="90" w:type="dxa"/>
            </w:tcMar>
          </w:tcPr>
          <w:p>
            <w:pPr>
              <w:spacing w:after="0"/>
            </w:pPr>
            <w:r>
              <w:rPr>
                <w:sz w:val="16"/>
              </w:rPr>
              <w:t>720 W / 950 W</w:t>
            </w:r>
          </w:p>
        </w:tc>
      </w:tr>
      <w:tr>
        <w:tc>
          <w:tcPr>
            <w:tcW w:type="dxa" w:w="4680"/>
            <w:vAlign w:val="center"/>
            <w:shd w:fill="F6F8FA"/>
            <w:tcMar>
              <w:top w:w="90" w:type="dxa"/>
              <w:left w:w="90" w:type="dxa"/>
              <w:bottom w:w="90" w:type="dxa"/>
              <w:right w:w="90" w:type="dxa"/>
            </w:tcMar>
          </w:tcPr>
          <w:p>
            <w:pPr>
              <w:spacing w:after="0"/>
            </w:pPr>
            <w:r>
              <w:rPr>
                <w:sz w:val="16"/>
              </w:rPr>
              <w:t>Storage</w:t>
            </w:r>
          </w:p>
        </w:tc>
        <w:tc>
          <w:tcPr>
            <w:tcW w:type="dxa" w:w="4680"/>
            <w:vAlign w:val="center"/>
            <w:shd w:fill="F6F8FA"/>
            <w:tcMar>
              <w:top w:w="90" w:type="dxa"/>
              <w:left w:w="90" w:type="dxa"/>
              <w:bottom w:w="90" w:type="dxa"/>
              <w:right w:w="90" w:type="dxa"/>
            </w:tcMar>
          </w:tcPr>
          <w:p>
            <w:pPr>
              <w:spacing w:after="0"/>
            </w:pPr>
            <w:r>
              <w:rPr>
                <w:sz w:val="16"/>
              </w:rPr>
              <w:t>256 GB usable</w:t>
            </w:r>
          </w:p>
        </w:tc>
      </w:tr>
      <w:tr>
        <w:tc>
          <w:tcPr>
            <w:tcW w:type="dxa" w:w="4680"/>
            <w:vAlign w:val="center"/>
            <w:tcMar>
              <w:top w:w="90" w:type="dxa"/>
              <w:left w:w="90" w:type="dxa"/>
              <w:bottom w:w="90" w:type="dxa"/>
              <w:right w:w="90" w:type="dxa"/>
            </w:tcMar>
          </w:tcPr>
          <w:p>
            <w:pPr>
              <w:spacing w:after="0"/>
            </w:pPr>
            <w:r>
              <w:rPr>
                <w:sz w:val="16"/>
              </w:rPr>
              <w:t>Autonomy</w:t>
            </w:r>
          </w:p>
        </w:tc>
        <w:tc>
          <w:tcPr>
            <w:tcW w:type="dxa" w:w="4680"/>
            <w:vAlign w:val="center"/>
            <w:tcMar>
              <w:top w:w="90" w:type="dxa"/>
              <w:left w:w="90" w:type="dxa"/>
              <w:bottom w:w="90" w:type="dxa"/>
              <w:right w:w="90" w:type="dxa"/>
            </w:tcMar>
          </w:tcPr>
          <w:p>
            <w:pPr>
              <w:spacing w:after="0"/>
            </w:pPr>
            <w:r>
              <w:rPr>
                <w:sz w:val="16"/>
              </w:rPr>
              <w:t>≥72 h safe configuration with applicable external power</w:t>
            </w:r>
          </w:p>
        </w:tc>
      </w:tr>
      <w:tr>
        <w:tc>
          <w:tcPr>
            <w:tcW w:type="dxa" w:w="4680"/>
            <w:vAlign w:val="center"/>
            <w:shd w:fill="F6F8FA"/>
            <w:tcMar>
              <w:top w:w="90" w:type="dxa"/>
              <w:left w:w="90" w:type="dxa"/>
              <w:bottom w:w="90" w:type="dxa"/>
              <w:right w:w="90" w:type="dxa"/>
            </w:tcMar>
          </w:tcPr>
          <w:p>
            <w:pPr>
              <w:spacing w:after="0"/>
            </w:pPr>
            <w:r>
              <w:rPr>
                <w:sz w:val="16"/>
              </w:rPr>
              <w:t>Maneuver / mobility</w:t>
            </w:r>
          </w:p>
        </w:tc>
        <w:tc>
          <w:tcPr>
            <w:tcW w:type="dxa" w:w="4680"/>
            <w:vAlign w:val="center"/>
            <w:shd w:fill="F6F8FA"/>
            <w:tcMar>
              <w:top w:w="90" w:type="dxa"/>
              <w:left w:w="90" w:type="dxa"/>
              <w:bottom w:w="90" w:type="dxa"/>
              <w:right w:w="90" w:type="dxa"/>
            </w:tcMar>
          </w:tcPr>
          <w:p>
            <w:pPr>
              <w:spacing w:after="0"/>
            </w:pPr>
            <w:r>
              <w:rPr>
                <w:sz w:val="16"/>
              </w:rPr>
              <w:t>≥90 m/s; 28 kg monopropellant at 220 s yields ~130 m/s ideal at 480 kg initial mass</w:t>
            </w:r>
          </w:p>
        </w:tc>
      </w:tr>
      <w:tr>
        <w:tc>
          <w:tcPr>
            <w:tcW w:type="dxa" w:w="4680"/>
            <w:vAlign w:val="center"/>
            <w:tcMar>
              <w:top w:w="90" w:type="dxa"/>
              <w:left w:w="90" w:type="dxa"/>
              <w:bottom w:w="90" w:type="dxa"/>
              <w:right w:w="90" w:type="dxa"/>
            </w:tcMar>
          </w:tcPr>
          <w:p>
            <w:pPr>
              <w:spacing w:after="0"/>
            </w:pPr>
            <w:r>
              <w:rPr>
                <w:sz w:val="16"/>
              </w:rPr>
              <w:t>Delivery</w:t>
            </w:r>
          </w:p>
        </w:tc>
        <w:tc>
          <w:tcPr>
            <w:tcW w:type="dxa" w:w="4680"/>
            <w:vAlign w:val="center"/>
            <w:tcMar>
              <w:top w:w="90" w:type="dxa"/>
              <w:left w:w="90" w:type="dxa"/>
              <w:bottom w:w="90" w:type="dxa"/>
              <w:right w:w="90" w:type="dxa"/>
            </w:tcMar>
          </w:tcPr>
          <w:p>
            <w:pPr>
              <w:spacing w:after="0"/>
            </w:pPr>
            <w:r>
              <w:rPr>
                <w:sz w:val="16"/>
              </w:rPr>
              <w:t>480 kg spacecraft + 80 kg adaptor = 560 kg; service capacity ≥700 kg to 700 km reference orbit</w:t>
            </w:r>
          </w:p>
        </w:tc>
      </w:tr>
      <w:tr>
        <w:tc>
          <w:tcPr>
            <w:tcW w:type="dxa" w:w="4680"/>
            <w:vAlign w:val="center"/>
            <w:shd w:fill="F6F8FA"/>
            <w:tcMar>
              <w:top w:w="90" w:type="dxa"/>
              <w:left w:w="90" w:type="dxa"/>
              <w:bottom w:w="90" w:type="dxa"/>
              <w:right w:w="90" w:type="dxa"/>
            </w:tcMar>
          </w:tcPr>
          <w:p>
            <w:pPr>
              <w:spacing w:after="0"/>
            </w:pPr>
            <w:r>
              <w:rPr>
                <w:sz w:val="16"/>
              </w:rPr>
              <w:t>Design life</w:t>
            </w:r>
          </w:p>
        </w:tc>
        <w:tc>
          <w:tcPr>
            <w:tcW w:type="dxa" w:w="4680"/>
            <w:vAlign w:val="center"/>
            <w:shd w:fill="F6F8FA"/>
            <w:tcMar>
              <w:top w:w="90" w:type="dxa"/>
              <w:left w:w="90" w:type="dxa"/>
              <w:bottom w:w="90" w:type="dxa"/>
              <w:right w:w="90" w:type="dxa"/>
            </w:tcMar>
          </w:tcPr>
          <w:p>
            <w:pPr>
              <w:spacing w:after="0"/>
            </w:pPr>
            <w:r>
              <w:rPr>
                <w:sz w:val="16"/>
              </w:rPr>
              <w:t>18-month nominal demonstration; three-month commissioning; two-year design life.</w:t>
            </w:r>
          </w:p>
        </w:tc>
      </w:tr>
    </w:tbl>
    <w:p>
      <w:pPr>
        <w:pStyle w:val="Heading3"/>
      </w:pPr>
      <w:r>
        <w:t>Structural Subsystem</w:t>
      </w:r>
    </w:p>
    <w:p>
      <w:pPr/>
      <w:r>
        <w:t>The structural design is sized for 480 kg delivery mass and the qualified interface loads. The launch or cargo provider controls final vibration, shock and handling cases; a 6 g axial and 2 g lateral quasi-static concept check is retained until that interface is defined. Enclosures, hinges, restraints and contained fluids receive separate local load paths.</w:t>
      </w:r>
    </w:p>
    <w:p>
      <w:pPr/>
      <w:r>
        <w:t>The configuration model records mass properties, lifting points, contamination boundaries, access envelopes and center of gravity before acceptance. Instrument alignment and enclosure sealing are measured before and after environmental testing. The project shall document whether the delivery carrier, lander or host provides final restraint hardware.</w:t>
      </w:r>
    </w:p>
    <w:p>
      <w:pPr>
        <w:pStyle w:val="Heading3"/>
      </w:pPr>
      <w:r>
        <w:t>Electrical Power Subsystem</w:t>
      </w:r>
    </w:p>
    <w:p>
      <w:pPr/>
      <w:r>
        <w:t>Nominal allocation: 1100 W generation or host provision, 720 W operating demand, 950 W short-duration peak. These values describe distinct operating cases. The system power margin is assessed at the worst insolation, eclipse or host-service case, not by comparing only nameplate generation and nominal demand.</w:t>
      </w:r>
    </w:p>
    <w:p>
      <w:pPr/>
      <w:r>
        <w:t>Power distribution uses protected 28 V or the host-qualified equivalent. Independent current telemetry and latching protection isolate a failed load. Battery or host reserve is sized from the longest commanded safe-mode, transfer, eclipse or night interval rather than from an arbitrary percentage of nominal energy.</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120"/>
            <w:vAlign w:val="center"/>
            <w:shd w:fill="DDE6EF"/>
            <w:tcMar>
              <w:top w:w="90" w:type="dxa"/>
              <w:left w:w="90" w:type="dxa"/>
              <w:bottom w:w="90" w:type="dxa"/>
              <w:right w:w="90" w:type="dxa"/>
            </w:tcMar>
          </w:tcPr>
          <w:p>
            <w:pPr>
              <w:spacing w:after="0"/>
            </w:pPr>
            <w:r>
              <w:rPr>
                <w:b/>
                <w:sz w:val="16"/>
              </w:rPr>
              <w:t>Reference generation</w:t>
            </w:r>
          </w:p>
        </w:tc>
        <w:tc>
          <w:tcPr>
            <w:tcW w:type="dxa" w:w="3120"/>
            <w:vAlign w:val="center"/>
            <w:shd w:fill="DDE6EF"/>
            <w:tcMar>
              <w:top w:w="90" w:type="dxa"/>
              <w:left w:w="90" w:type="dxa"/>
              <w:bottom w:w="90" w:type="dxa"/>
              <w:right w:w="90" w:type="dxa"/>
            </w:tcMar>
          </w:tcPr>
          <w:p>
            <w:pPr>
              <w:spacing w:after="0"/>
            </w:pPr>
            <w:r>
              <w:rPr>
                <w:b/>
                <w:sz w:val="16"/>
              </w:rPr>
              <w:t>Distribution and storage</w:t>
            </w:r>
          </w:p>
        </w:tc>
        <w:tc>
          <w:tcPr>
            <w:tcW w:type="dxa" w:w="3120"/>
            <w:vAlign w:val="center"/>
            <w:shd w:fill="DDE6EF"/>
            <w:tcMar>
              <w:top w:w="90" w:type="dxa"/>
              <w:left w:w="90" w:type="dxa"/>
              <w:bottom w:w="90" w:type="dxa"/>
              <w:right w:w="90" w:type="dxa"/>
            </w:tcMar>
          </w:tcPr>
          <w:p>
            <w:pPr>
              <w:spacing w:after="0"/>
            </w:pPr>
            <w:r>
              <w:rPr>
                <w:b/>
                <w:sz w:val="16"/>
              </w:rPr>
              <w:t>Protected loads</w:t>
            </w:r>
          </w:p>
        </w:tc>
      </w:tr>
      <w:tr>
        <w:tc>
          <w:tcPr>
            <w:tcW w:type="dxa" w:w="3120"/>
            <w:vAlign w:val="center"/>
            <w:tcMar>
              <w:top w:w="90" w:type="dxa"/>
              <w:left w:w="90" w:type="dxa"/>
              <w:bottom w:w="90" w:type="dxa"/>
              <w:right w:w="90" w:type="dxa"/>
            </w:tcMar>
          </w:tcPr>
          <w:p>
            <w:pPr>
              <w:spacing w:after="0"/>
            </w:pPr>
            <w:r>
              <w:rPr>
                <w:sz w:val="16"/>
              </w:rPr>
              <w:t>1100 W baseline</w:t>
            </w:r>
          </w:p>
        </w:tc>
        <w:tc>
          <w:tcPr>
            <w:tcW w:type="dxa" w:w="3120"/>
            <w:vAlign w:val="center"/>
            <w:tcMar>
              <w:top w:w="90" w:type="dxa"/>
              <w:left w:w="90" w:type="dxa"/>
              <w:bottom w:w="90" w:type="dxa"/>
              <w:right w:w="90" w:type="dxa"/>
            </w:tcMar>
          </w:tcPr>
          <w:p>
            <w:pPr>
              <w:spacing w:after="0"/>
            </w:pPr>
            <w:r>
              <w:rPr>
                <w:sz w:val="16"/>
              </w:rPr>
              <w:t>Regulated bus, protected battery/host service</w:t>
            </w:r>
          </w:p>
        </w:tc>
        <w:tc>
          <w:tcPr>
            <w:tcW w:type="dxa" w:w="3120"/>
            <w:vAlign w:val="center"/>
            <w:tcMar>
              <w:top w:w="90" w:type="dxa"/>
              <w:left w:w="90" w:type="dxa"/>
              <w:bottom w:w="90" w:type="dxa"/>
              <w:right w:w="90" w:type="dxa"/>
            </w:tcMar>
          </w:tcPr>
          <w:p>
            <w:pPr>
              <w:spacing w:after="0"/>
            </w:pPr>
            <w:r>
              <w:rPr>
                <w:sz w:val="16"/>
              </w:rPr>
              <w:t>720 W nominal / 950 W peak</w:t>
            </w:r>
          </w:p>
        </w:tc>
      </w:tr>
    </w:tbl>
    <w:p>
      <w:pPr>
        <w:pStyle w:val="Heading3"/>
      </w:pPr>
      <w:r>
        <w:t>Command and Data Handling</w:t>
      </w:r>
    </w:p>
    <w:p>
      <w:pPr/>
      <w:r>
        <w:t>A redundant or monitored controller executes time-tagged operations, instrument interlocks, fault detection and protected storage. The local allocation is 256 GB usable. A storage analysis includes the worst observation burst, delayed contact, software overhead, file-system reserve and corrected-memory events.</w:t>
      </w:r>
    </w:p>
    <w:p>
      <w:pPr/>
      <w:r>
        <w:t>Every science record carries absolute time, equipment serial number, calibration-set ID, operating mode and validity flags. Loss of link initiates a controlled safe state that preserves source data and performs scheduled reacquisition. A corrupted parameter upload must not silently change instrument calibration or safety limits.</w:t>
      </w:r>
    </w:p>
    <w:p>
      <w:pPr/>
      <w:r>
        <w:t>Flight and process software controls the following functions:</w:t>
      </w:r>
    </w:p>
    <w:p>
      <w:pPr>
        <w:pStyle w:val="BodyText"/>
      </w:pPr>
      <w:r>
        <w:t>receive and execute authorized commands;</w:t>
      </w:r>
    </w:p>
    <w:p>
      <w:pPr>
        <w:pStyle w:val="BodyText"/>
      </w:pPr>
      <w:r>
        <w:t>collect health telemetry and time-correlated payload packets;</w:t>
      </w:r>
    </w:p>
    <w:p>
      <w:pPr>
        <w:pStyle w:val="BodyText"/>
      </w:pPr>
      <w:r>
        <w:t>manage 256 GB usable storage and priority records;</w:t>
      </w:r>
    </w:p>
    <w:p>
      <w:pPr>
        <w:pStyle w:val="BodyText"/>
      </w:pPr>
      <w:r>
        <w:t>switch to a safe mode after undervoltage, overtemperature or watchdog failure;</w:t>
      </w:r>
    </w:p>
    <w:p>
      <w:pPr>
        <w:pStyle w:val="BodyText"/>
      </w:pPr>
      <w:r>
        <w:t>retain the last accepted software and configuration baseline;</w:t>
      </w:r>
    </w:p>
    <w:p>
      <w:pPr>
        <w:pStyle w:val="BodyText"/>
      </w:pPr>
      <w:r>
        <w:t>reacquire the ground or host link after a missed contact; and</w:t>
      </w:r>
    </w:p>
    <w:p>
      <w:pPr>
        <w:pStyle w:val="BodyText"/>
      </w:pPr>
      <w:r>
        <w:t>report data quality and calibration status with each product.</w:t>
      </w:r>
    </w:p>
    <w:p>
      <w:pPr/>
      <w:r>
        <w:t>A mission-data model checks the 5 GB/day experiment and housekeeping planning case against memory capacity, contact availability and the required processing latency. Raw records are retained until integrity checks and ingest acknowledgement complete.</w:t>
      </w:r>
    </w:p>
    <w:p>
      <w:pPr>
        <w:pStyle w:val="Heading3"/>
      </w:pPr>
      <w:r>
        <w:t>Thermal Subsystem</w:t>
      </w:r>
    </w:p>
    <w:p>
      <w:pPr/>
      <w:r>
        <w:t>Two-stage multilayer insulation and 8 W heat lift at 90 K; stable segment requires ≤0.05 kg/day net loss from 100 kg fluid.</w:t>
      </w:r>
    </w:p>
    <w:p>
      <w:pPr/>
      <w:r>
        <w:t>The thermal design shall close with numerical hot and cold cases and shall separately report radiator, insulation, heater and sensor allocations. Instrument calibration is repeated across the qualified operating temperature range. Safe-mode heating and peak-mode waste heat are independently assessed.</w:t>
      </w:r>
    </w:p>
    <w:p>
      <w:pPr/>
      <w:r>
        <w:t>Thermal verification considers heat from 950 W peak electrical input, the nominal 720 W mode, external heat flux, enclosure conduction and the passive or active rejection path. The final instrument uncertainty budget includes temperature-driven bias and gradients.</w:t>
      </w:r>
    </w:p>
    <w:p>
      <w:pPr/>
      <w:r>
        <w:t>The thermal test programme shall establish:</w:t>
      </w:r>
    </w:p>
    <w:p>
      <w:pPr>
        <w:pStyle w:val="BodyText"/>
      </w:pPr>
      <w:r>
        <w:t>steady and transient operating limits of each component;</w:t>
      </w:r>
    </w:p>
    <w:p>
      <w:pPr>
        <w:pStyle w:val="BodyText"/>
      </w:pPr>
      <w:r>
        <w:t>heater and cooler demand in cold and hot cases;</w:t>
      </w:r>
    </w:p>
    <w:p>
      <w:pPr>
        <w:pStyle w:val="BodyText"/>
      </w:pPr>
      <w:r>
        <w:t>radiator or host heat-rejection sizing;</w:t>
      </w:r>
    </w:p>
    <w:p>
      <w:pPr>
        <w:pStyle w:val="BodyText"/>
      </w:pPr>
      <w:r>
        <w:t>calibration stability across the qualified temperature range; and</w:t>
      </w:r>
    </w:p>
    <w:p>
      <w:pPr>
        <w:pStyle w:val="BodyText"/>
      </w:pPr>
      <w:r>
        <w:t>safe survival during a commanded outage.</w:t>
      </w:r>
    </w:p>
    <w:p>
      <w:pPr>
        <w:pStyle w:val="Heading3"/>
      </w:pPr>
      <w:r>
        <w:t>Attitude Determination and Control Subsystem</w:t>
      </w:r>
    </w:p>
    <w:p>
      <w:pPr/>
      <w:r>
        <w:t>Two star trackers, four wheels and Sun sensors; maintain radiator Sun exclusion ≥45° and ≤0.5° attitude accuracy during fluid-transfer runs.</w:t>
      </w:r>
    </w:p>
    <w:p>
      <w:pPr/>
      <w:r>
        <w:t>The reference control architecture separates safe/recovery, measurement, communications and maneuver or servicing modes. A commanded transition requires validated sensor state and resource availability. For hosted equipment, mechanical positioning takes the place of free-flight attitude determination, while retaining an equivalent repeatability verification requirement.</w:t>
      </w:r>
    </w:p>
    <w:p>
      <w:pPr/>
      <w:r>
        <w:t>The control design maintains a mode and pointing error budget. It distinguishes knowledge of where the instrument looked from closed-loop control accuracy, including disturbance rejection and post-facto reconstruction. Engineering tests separately verify sensor alignment, actuator range and degraded operations after a failed sensor or wheel.</w:t>
      </w:r>
    </w:p>
    <w:tbl>
      <w:tblPr>
        <w:tblStyle w:val="TableGrid"/>
        <w:tblW w:type="auto" w:w="0"/>
        <w:jc w:val="center"/>
        <w:tblLayout w:type="fixed"/>
        <w:tblLook w:firstColumn="1" w:firstRow="1" w:lastColumn="0" w:lastRow="0" w:noHBand="0" w:noVBand="1" w:val="04A0"/>
      </w:tblPr>
      <w:tblGrid>
        <w:gridCol w:w="3168"/>
        <w:gridCol w:w="5760"/>
      </w:tblGrid>
      <w:tr>
        <w:trPr>
          <w:tblHeader w:val="true"/>
        </w:trPr>
        <w:tc>
          <w:tcPr>
            <w:tcW w:type="dxa" w:w="4680"/>
            <w:vAlign w:val="center"/>
            <w:shd w:fill="DDE6EF"/>
            <w:tcMar>
              <w:top w:w="90" w:type="dxa"/>
              <w:left w:w="90" w:type="dxa"/>
              <w:bottom w:w="90" w:type="dxa"/>
              <w:right w:w="90" w:type="dxa"/>
            </w:tcMar>
          </w:tcPr>
          <w:p>
            <w:pPr>
              <w:spacing w:after="0"/>
            </w:pPr>
            <w:r>
              <w:rPr>
                <w:b/>
                <w:sz w:val="16"/>
              </w:rPr>
              <w:t>Control element A</w:t>
            </w:r>
          </w:p>
        </w:tc>
        <w:tc>
          <w:tcPr>
            <w:tcW w:type="dxa" w:w="4680"/>
            <w:vAlign w:val="center"/>
            <w:shd w:fill="DDE6EF"/>
            <w:tcMar>
              <w:top w:w="90" w:type="dxa"/>
              <w:left w:w="90" w:type="dxa"/>
              <w:bottom w:w="90" w:type="dxa"/>
              <w:right w:w="90" w:type="dxa"/>
            </w:tcMar>
          </w:tcPr>
          <w:p>
            <w:pPr>
              <w:spacing w:after="0"/>
            </w:pPr>
            <w:r>
              <w:rPr>
                <w:b/>
                <w:sz w:val="16"/>
              </w:rPr>
              <w:t>Control element B</w:t>
            </w:r>
          </w:p>
        </w:tc>
      </w:tr>
      <w:tr>
        <w:tc>
          <w:tcPr>
            <w:tcW w:type="dxa" w:w="4680"/>
            <w:vAlign w:val="center"/>
            <w:tcMar>
              <w:top w:w="90" w:type="dxa"/>
              <w:left w:w="90" w:type="dxa"/>
              <w:bottom w:w="90" w:type="dxa"/>
              <w:right w:w="90" w:type="dxa"/>
            </w:tcMar>
          </w:tcPr>
          <w:p>
            <w:pPr>
              <w:spacing w:after="0"/>
            </w:pPr>
            <w:r>
              <w:rPr>
                <w:sz w:val="16"/>
              </w:rPr>
              <w:t>Primary position/attitude reference</w:t>
            </w:r>
          </w:p>
        </w:tc>
        <w:tc>
          <w:tcPr>
            <w:tcW w:type="dxa" w:w="4680"/>
            <w:vAlign w:val="center"/>
            <w:tcMar>
              <w:top w:w="90" w:type="dxa"/>
              <w:left w:w="90" w:type="dxa"/>
              <w:bottom w:w="90" w:type="dxa"/>
              <w:right w:w="90" w:type="dxa"/>
            </w:tcMar>
          </w:tcPr>
          <w:p>
            <w:pPr>
              <w:spacing w:after="0"/>
            </w:pPr>
            <w:r>
              <w:rPr>
                <w:sz w:val="16"/>
              </w:rPr>
              <w:t>Independent cross-check and health monitor</w:t>
            </w:r>
          </w:p>
        </w:tc>
      </w:tr>
      <w:tr>
        <w:tc>
          <w:tcPr>
            <w:tcW w:type="dxa" w:w="4680"/>
            <w:vAlign w:val="center"/>
            <w:shd w:fill="F6F8FA"/>
            <w:tcMar>
              <w:top w:w="90" w:type="dxa"/>
              <w:left w:w="90" w:type="dxa"/>
              <w:bottom w:w="90" w:type="dxa"/>
              <w:right w:w="90" w:type="dxa"/>
            </w:tcMar>
          </w:tcPr>
          <w:p>
            <w:pPr>
              <w:spacing w:after="0"/>
            </w:pPr>
            <w:r>
              <w:rPr>
                <w:sz w:val="16"/>
              </w:rPr>
              <w:t>Science or process pointing</w:t>
            </w:r>
          </w:p>
        </w:tc>
        <w:tc>
          <w:tcPr>
            <w:tcW w:type="dxa" w:w="4680"/>
            <w:vAlign w:val="center"/>
            <w:shd w:fill="F6F8FA"/>
            <w:tcMar>
              <w:top w:w="90" w:type="dxa"/>
              <w:left w:w="90" w:type="dxa"/>
              <w:bottom w:w="90" w:type="dxa"/>
              <w:right w:w="90" w:type="dxa"/>
            </w:tcMar>
          </w:tcPr>
          <w:p>
            <w:pPr>
              <w:spacing w:after="0"/>
            </w:pPr>
            <w:r>
              <w:rPr>
                <w:sz w:val="16"/>
              </w:rPr>
              <w:t>Safe-mode or host restraint</w:t>
            </w:r>
          </w:p>
        </w:tc>
      </w:tr>
      <w:tr>
        <w:tc>
          <w:tcPr>
            <w:tcW w:type="dxa" w:w="4680"/>
            <w:vAlign w:val="center"/>
            <w:tcMar>
              <w:top w:w="90" w:type="dxa"/>
              <w:left w:w="90" w:type="dxa"/>
              <w:bottom w:w="90" w:type="dxa"/>
              <w:right w:w="90" w:type="dxa"/>
            </w:tcMar>
          </w:tcPr>
          <w:p>
            <w:pPr>
              <w:spacing w:after="0"/>
            </w:pPr>
            <w:r>
              <w:rPr>
                <w:sz w:val="16"/>
              </w:rPr>
              <w:t>Actuator / positioning hardware</w:t>
            </w:r>
          </w:p>
        </w:tc>
        <w:tc>
          <w:tcPr>
            <w:tcW w:type="dxa" w:w="4680"/>
            <w:vAlign w:val="center"/>
            <w:tcMar>
              <w:top w:w="90" w:type="dxa"/>
              <w:left w:w="90" w:type="dxa"/>
              <w:bottom w:w="90" w:type="dxa"/>
              <w:right w:w="90" w:type="dxa"/>
            </w:tcMar>
          </w:tcPr>
          <w:p>
            <w:pPr>
              <w:spacing w:after="0"/>
            </w:pPr>
            <w:r>
              <w:rPr>
                <w:sz w:val="16"/>
              </w:rPr>
              <w:t>Feedback telemetry</w:t>
            </w:r>
          </w:p>
        </w:tc>
      </w:tr>
      <w:tr>
        <w:tc>
          <w:tcPr>
            <w:tcW w:type="dxa" w:w="4680"/>
            <w:vAlign w:val="center"/>
            <w:shd w:fill="F6F8FA"/>
            <w:tcMar>
              <w:top w:w="90" w:type="dxa"/>
              <w:left w:w="90" w:type="dxa"/>
              <w:bottom w:w="90" w:type="dxa"/>
              <w:right w:w="90" w:type="dxa"/>
            </w:tcMar>
          </w:tcPr>
          <w:p>
            <w:pPr>
              <w:spacing w:after="0"/>
            </w:pPr>
            <w:r>
              <w:rPr>
                <w:sz w:val="16"/>
              </w:rPr>
              <w:t>Alignment calibration</w:t>
            </w:r>
          </w:p>
        </w:tc>
        <w:tc>
          <w:tcPr>
            <w:tcW w:type="dxa" w:w="4680"/>
            <w:vAlign w:val="center"/>
            <w:shd w:fill="F6F8FA"/>
            <w:tcMar>
              <w:top w:w="90" w:type="dxa"/>
              <w:left w:w="90" w:type="dxa"/>
              <w:bottom w:w="90" w:type="dxa"/>
              <w:right w:w="90" w:type="dxa"/>
            </w:tcMar>
          </w:tcPr>
          <w:p>
            <w:pPr>
              <w:spacing w:after="0"/>
            </w:pPr>
            <w:r>
              <w:rPr>
                <w:sz w:val="16"/>
              </w:rPr>
              <w:t>Post-test acceptance evidence</w:t>
            </w:r>
          </w:p>
        </w:tc>
      </w:tr>
    </w:tbl>
    <w:p>
      <w:pPr>
        <w:pStyle w:val="Heading3"/>
      </w:pPr>
      <w:r>
        <w:t>Propulsion Subsystem</w:t>
      </w:r>
    </w:p>
    <w:p>
      <w:pPr/>
      <w:r>
        <w:t>28 kg monopropellant at 220 s gives ideal Δv ~130 m/s; 40 m/s headroom over the 90 m/s requirement covers planned performance and unusable-fluid allowances.</w:t>
      </w:r>
    </w:p>
    <w:p>
      <w:pPr/>
      <w:r>
        <w:t>Any maneuver, descent or mobility not carried by the delivered unit is assigned explicitly to the launch or cargo provider. If propulsion is installed, the flight reserve includes residuals, thrust and specific-impulse dispersion, navigation error and unusable propellant. No requirement is treated as closed by nominal rocket-equation capability alone.</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120"/>
            <w:vAlign w:val="center"/>
            <w:shd w:fill="DDE6EF"/>
            <w:tcMar>
              <w:top w:w="90" w:type="dxa"/>
              <w:left w:w="90" w:type="dxa"/>
              <w:bottom w:w="90" w:type="dxa"/>
              <w:right w:w="90" w:type="dxa"/>
            </w:tcMar>
          </w:tcPr>
          <w:p>
            <w:pPr>
              <w:spacing w:after="0"/>
            </w:pPr>
            <w:r>
              <w:rPr>
                <w:b/>
                <w:sz w:val="16"/>
              </w:rPr>
              <w:t>Parameter</w:t>
            </w:r>
          </w:p>
        </w:tc>
        <w:tc>
          <w:tcPr>
            <w:tcW w:type="dxa" w:w="3120"/>
            <w:vAlign w:val="center"/>
            <w:shd w:fill="DDE6EF"/>
            <w:tcMar>
              <w:top w:w="90" w:type="dxa"/>
              <w:left w:w="90" w:type="dxa"/>
              <w:bottom w:w="90" w:type="dxa"/>
              <w:right w:w="90" w:type="dxa"/>
            </w:tcMar>
          </w:tcPr>
          <w:p>
            <w:pPr>
              <w:spacing w:after="0"/>
            </w:pPr>
            <w:r>
              <w:rPr>
                <w:b/>
                <w:sz w:val="16"/>
              </w:rPr>
              <w:t>Reference value</w:t>
            </w:r>
          </w:p>
        </w:tc>
        <w:tc>
          <w:tcPr>
            <w:tcW w:type="dxa" w:w="3120"/>
            <w:vAlign w:val="center"/>
            <w:shd w:fill="DDE6EF"/>
            <w:tcMar>
              <w:top w:w="90" w:type="dxa"/>
              <w:left w:w="90" w:type="dxa"/>
              <w:bottom w:w="90" w:type="dxa"/>
              <w:right w:w="90" w:type="dxa"/>
            </w:tcMar>
          </w:tcPr>
          <w:p>
            <w:pPr>
              <w:spacing w:after="0"/>
            </w:pPr>
            <w:r>
              <w:rPr>
                <w:b/>
                <w:sz w:val="16"/>
              </w:rPr>
              <w:t>Units</w:t>
            </w:r>
          </w:p>
        </w:tc>
      </w:tr>
      <w:tr>
        <w:tc>
          <w:tcPr>
            <w:tcW w:type="dxa" w:w="3120"/>
            <w:vAlign w:val="center"/>
            <w:tcMar>
              <w:top w:w="90" w:type="dxa"/>
              <w:left w:w="90" w:type="dxa"/>
              <w:bottom w:w="90" w:type="dxa"/>
              <w:right w:w="90" w:type="dxa"/>
            </w:tcMar>
          </w:tcPr>
          <w:p>
            <w:pPr>
              <w:spacing w:after="0"/>
            </w:pPr>
            <w:r>
              <w:rPr>
                <w:sz w:val="16"/>
              </w:rPr>
              <w:t>Propulsion type</w:t>
            </w:r>
          </w:p>
        </w:tc>
        <w:tc>
          <w:tcPr>
            <w:tcW w:type="dxa" w:w="3120"/>
            <w:vAlign w:val="center"/>
            <w:tcMar>
              <w:top w:w="90" w:type="dxa"/>
              <w:left w:w="90" w:type="dxa"/>
              <w:bottom w:w="90" w:type="dxa"/>
              <w:right w:w="90" w:type="dxa"/>
            </w:tcMar>
          </w:tcPr>
          <w:p>
            <w:pPr>
              <w:spacing w:after="0"/>
            </w:pPr>
            <w:r>
              <w:rPr>
                <w:sz w:val="16"/>
              </w:rPr>
              <w:t>Installed or external; see baseline</w:t>
            </w:r>
          </w:p>
        </w:tc>
        <w:tc>
          <w:tcPr>
            <w:tcW w:type="dxa" w:w="3120"/>
            <w:vAlign w:val="center"/>
            <w:tcMar>
              <w:top w:w="90" w:type="dxa"/>
              <w:left w:w="90" w:type="dxa"/>
              <w:bottom w:w="90" w:type="dxa"/>
              <w:right w:w="90" w:type="dxa"/>
            </w:tcMar>
          </w:tcPr>
          <w:p>
            <w:pPr>
              <w:spacing w:after="0"/>
            </w:pPr>
            <w:r>
              <w:rPr>
                <w:sz w:val="16"/>
              </w:rPr>
              <w:t>—</w:t>
            </w:r>
          </w:p>
        </w:tc>
      </w:tr>
      <w:tr>
        <w:tc>
          <w:tcPr>
            <w:tcW w:type="dxa" w:w="3120"/>
            <w:vAlign w:val="center"/>
            <w:shd w:fill="F6F8FA"/>
            <w:tcMar>
              <w:top w:w="90" w:type="dxa"/>
              <w:left w:w="90" w:type="dxa"/>
              <w:bottom w:w="90" w:type="dxa"/>
              <w:right w:w="90" w:type="dxa"/>
            </w:tcMar>
          </w:tcPr>
          <w:p>
            <w:pPr>
              <w:spacing w:after="0"/>
            </w:pPr>
            <w:r>
              <w:rPr>
                <w:sz w:val="16"/>
              </w:rPr>
              <w:t>Initial unit mass</w:t>
            </w:r>
          </w:p>
        </w:tc>
        <w:tc>
          <w:tcPr>
            <w:tcW w:type="dxa" w:w="3120"/>
            <w:vAlign w:val="center"/>
            <w:shd w:fill="F6F8FA"/>
            <w:tcMar>
              <w:top w:w="90" w:type="dxa"/>
              <w:left w:w="90" w:type="dxa"/>
              <w:bottom w:w="90" w:type="dxa"/>
              <w:right w:w="90" w:type="dxa"/>
            </w:tcMar>
          </w:tcPr>
          <w:p>
            <w:pPr>
              <w:spacing w:after="0"/>
            </w:pPr>
            <w:r>
              <w:rPr>
                <w:sz w:val="16"/>
              </w:rPr>
              <w:t>480</w:t>
            </w:r>
          </w:p>
        </w:tc>
        <w:tc>
          <w:tcPr>
            <w:tcW w:type="dxa" w:w="3120"/>
            <w:vAlign w:val="center"/>
            <w:shd w:fill="F6F8FA"/>
            <w:tcMar>
              <w:top w:w="90" w:type="dxa"/>
              <w:left w:w="90" w:type="dxa"/>
              <w:bottom w:w="90" w:type="dxa"/>
              <w:right w:w="90" w:type="dxa"/>
            </w:tcMar>
          </w:tcPr>
          <w:p>
            <w:pPr>
              <w:spacing w:after="0"/>
            </w:pPr>
            <w:r>
              <w:rPr>
                <w:sz w:val="16"/>
              </w:rPr>
              <w:t>kg</w:t>
            </w:r>
          </w:p>
        </w:tc>
      </w:tr>
      <w:tr>
        <w:tc>
          <w:tcPr>
            <w:tcW w:type="dxa" w:w="3120"/>
            <w:vAlign w:val="center"/>
            <w:tcMar>
              <w:top w:w="90" w:type="dxa"/>
              <w:left w:w="90" w:type="dxa"/>
              <w:bottom w:w="90" w:type="dxa"/>
              <w:right w:w="90" w:type="dxa"/>
            </w:tcMar>
          </w:tcPr>
          <w:p>
            <w:pPr>
              <w:spacing w:after="0"/>
            </w:pPr>
            <w:r>
              <w:rPr>
                <w:sz w:val="16"/>
              </w:rPr>
              <w:t>Reference performance</w:t>
            </w:r>
          </w:p>
        </w:tc>
        <w:tc>
          <w:tcPr>
            <w:tcW w:type="dxa" w:w="3120"/>
            <w:vAlign w:val="center"/>
            <w:tcMar>
              <w:top w:w="90" w:type="dxa"/>
              <w:left w:w="90" w:type="dxa"/>
              <w:bottom w:w="90" w:type="dxa"/>
              <w:right w:w="90" w:type="dxa"/>
            </w:tcMar>
          </w:tcPr>
          <w:p>
            <w:pPr>
              <w:spacing w:after="0"/>
            </w:pPr>
            <w:r>
              <w:rPr>
                <w:sz w:val="16"/>
              </w:rPr>
              <w:t>≥90 m/s; 28 kg monopropellant at 220 s yields ~130 m/s ideal at 480 kg initial mass</w:t>
            </w:r>
          </w:p>
        </w:tc>
        <w:tc>
          <w:tcPr>
            <w:tcW w:type="dxa" w:w="3120"/>
            <w:vAlign w:val="center"/>
            <w:tcMar>
              <w:top w:w="90" w:type="dxa"/>
              <w:left w:w="90" w:type="dxa"/>
              <w:bottom w:w="90" w:type="dxa"/>
              <w:right w:w="90" w:type="dxa"/>
            </w:tcMar>
          </w:tcPr>
          <w:p>
            <w:pPr>
              <w:spacing w:after="0"/>
            </w:pPr>
            <w:r>
              <w:rPr>
                <w:sz w:val="16"/>
              </w:rPr>
              <w:t>m/s or N/A</w:t>
            </w:r>
          </w:p>
        </w:tc>
      </w:tr>
      <w:tr>
        <w:tc>
          <w:tcPr>
            <w:tcW w:type="dxa" w:w="3120"/>
            <w:vAlign w:val="center"/>
            <w:shd w:fill="F6F8FA"/>
            <w:tcMar>
              <w:top w:w="90" w:type="dxa"/>
              <w:left w:w="90" w:type="dxa"/>
              <w:bottom w:w="90" w:type="dxa"/>
              <w:right w:w="90" w:type="dxa"/>
            </w:tcMar>
          </w:tcPr>
          <w:p>
            <w:pPr>
              <w:spacing w:after="0"/>
            </w:pPr>
            <w:r>
              <w:rPr>
                <w:sz w:val="16"/>
              </w:rPr>
              <w:t>Fuel / propellant allocation</w:t>
            </w:r>
          </w:p>
        </w:tc>
        <w:tc>
          <w:tcPr>
            <w:tcW w:type="dxa" w:w="3120"/>
            <w:vAlign w:val="center"/>
            <w:shd w:fill="F6F8FA"/>
            <w:tcMar>
              <w:top w:w="90" w:type="dxa"/>
              <w:left w:w="90" w:type="dxa"/>
              <w:bottom w:w="90" w:type="dxa"/>
              <w:right w:w="90" w:type="dxa"/>
            </w:tcMar>
          </w:tcPr>
          <w:p>
            <w:pPr>
              <w:spacing w:after="0"/>
            </w:pPr>
            <w:r>
              <w:rPr>
                <w:sz w:val="16"/>
              </w:rPr>
              <w:t>28 kg monopropellant at 220 s gives ideal Δv ~130 m/s</w:t>
            </w:r>
          </w:p>
        </w:tc>
        <w:tc>
          <w:tcPr>
            <w:tcW w:type="dxa" w:w="3120"/>
            <w:vAlign w:val="center"/>
            <w:shd w:fill="F6F8FA"/>
            <w:tcMar>
              <w:top w:w="90" w:type="dxa"/>
              <w:left w:w="90" w:type="dxa"/>
              <w:bottom w:w="90" w:type="dxa"/>
              <w:right w:w="90" w:type="dxa"/>
            </w:tcMar>
          </w:tcPr>
          <w:p>
            <w:pPr>
              <w:spacing w:after="0"/>
            </w:pPr>
            <w:r>
              <w:rPr>
                <w:sz w:val="16"/>
              </w:rPr>
              <w:t>kg / description</w:t>
            </w:r>
          </w:p>
        </w:tc>
      </w:tr>
      <w:tr>
        <w:tc>
          <w:tcPr>
            <w:tcW w:type="dxa" w:w="3120"/>
            <w:vAlign w:val="center"/>
            <w:tcMar>
              <w:top w:w="90" w:type="dxa"/>
              <w:left w:w="90" w:type="dxa"/>
              <w:bottom w:w="90" w:type="dxa"/>
              <w:right w:w="90" w:type="dxa"/>
            </w:tcMar>
          </w:tcPr>
          <w:p>
            <w:pPr>
              <w:spacing w:after="0"/>
            </w:pPr>
            <w:r>
              <w:rPr>
                <w:sz w:val="16"/>
              </w:rPr>
              <w:t>Performance reserve</w:t>
            </w:r>
          </w:p>
        </w:tc>
        <w:tc>
          <w:tcPr>
            <w:tcW w:type="dxa" w:w="3120"/>
            <w:vAlign w:val="center"/>
            <w:tcMar>
              <w:top w:w="90" w:type="dxa"/>
              <w:left w:w="90" w:type="dxa"/>
              <w:bottom w:w="90" w:type="dxa"/>
              <w:right w:w="90" w:type="dxa"/>
            </w:tcMar>
          </w:tcPr>
          <w:p>
            <w:pPr>
              <w:spacing w:after="0"/>
            </w:pPr>
            <w:r>
              <w:rPr>
                <w:sz w:val="16"/>
              </w:rPr>
              <w:t>Verify at PDR</w:t>
            </w:r>
          </w:p>
        </w:tc>
        <w:tc>
          <w:tcPr>
            <w:tcW w:type="dxa" w:w="3120"/>
            <w:vAlign w:val="center"/>
            <w:tcMar>
              <w:top w:w="90" w:type="dxa"/>
              <w:left w:w="90" w:type="dxa"/>
              <w:bottom w:w="90" w:type="dxa"/>
              <w:right w:w="90" w:type="dxa"/>
            </w:tcMar>
          </w:tcPr>
          <w:p>
            <w:pPr>
              <w:spacing w:after="0"/>
            </w:pPr>
            <w:r>
              <w:rPr>
                <w:sz w:val="16"/>
              </w:rPr>
              <w:t>m/s</w:t>
            </w:r>
          </w:p>
        </w:tc>
      </w:tr>
      <w:tr>
        <w:tc>
          <w:tcPr>
            <w:tcW w:type="dxa" w:w="3120"/>
            <w:vAlign w:val="center"/>
            <w:shd w:fill="F6F8FA"/>
            <w:tcMar>
              <w:top w:w="90" w:type="dxa"/>
              <w:left w:w="90" w:type="dxa"/>
              <w:bottom w:w="90" w:type="dxa"/>
              <w:right w:w="90" w:type="dxa"/>
            </w:tcMar>
          </w:tcPr>
          <w:p>
            <w:pPr>
              <w:spacing w:after="0"/>
            </w:pPr>
            <w:r>
              <w:rPr>
                <w:sz w:val="16"/>
              </w:rPr>
              <w:t>Residual accounting</w:t>
            </w:r>
          </w:p>
        </w:tc>
        <w:tc>
          <w:tcPr>
            <w:tcW w:type="dxa" w:w="3120"/>
            <w:vAlign w:val="center"/>
            <w:shd w:fill="F6F8FA"/>
            <w:tcMar>
              <w:top w:w="90" w:type="dxa"/>
              <w:left w:w="90" w:type="dxa"/>
              <w:bottom w:w="90" w:type="dxa"/>
              <w:right w:w="90" w:type="dxa"/>
            </w:tcMar>
          </w:tcPr>
          <w:p>
            <w:pPr>
              <w:spacing w:after="0"/>
            </w:pPr>
            <w:r>
              <w:rPr>
                <w:sz w:val="16"/>
              </w:rPr>
              <w:t>Required in final mass budget</w:t>
            </w:r>
          </w:p>
        </w:tc>
        <w:tc>
          <w:tcPr>
            <w:tcW w:type="dxa" w:w="3120"/>
            <w:vAlign w:val="center"/>
            <w:shd w:fill="F6F8FA"/>
            <w:tcMar>
              <w:top w:w="90" w:type="dxa"/>
              <w:left w:w="90" w:type="dxa"/>
              <w:bottom w:w="90" w:type="dxa"/>
              <w:right w:w="90" w:type="dxa"/>
            </w:tcMar>
          </w:tcPr>
          <w:p>
            <w:pPr>
              <w:spacing w:after="0"/>
            </w:pPr>
            <w:r>
              <w:rPr>
                <w:sz w:val="16"/>
              </w:rPr>
              <w:t>kg</w:t>
            </w:r>
          </w:p>
        </w:tc>
      </w:tr>
    </w:tbl>
    <w:tbl>
      <w:tblPr>
        <w:tblStyle w:val="TableGrid"/>
        <w:tblW w:type="auto" w:w="0"/>
        <w:jc w:val="center"/>
        <w:tblLayout w:type="fixed"/>
        <w:tblLook w:firstColumn="1" w:firstRow="1" w:lastColumn="0" w:lastRow="0" w:noHBand="0" w:noVBand="1" w:val="04A0"/>
      </w:tblPr>
      <w:tblGrid>
        <w:gridCol w:w="3168"/>
        <w:gridCol w:w="5760"/>
      </w:tblGrid>
      <w:tr>
        <w:trPr>
          <w:tblHeader w:val="true"/>
        </w:trPr>
        <w:tc>
          <w:tcPr>
            <w:tcW w:type="dxa" w:w="4680"/>
            <w:vAlign w:val="center"/>
            <w:shd w:fill="DDE6EF"/>
            <w:tcMar>
              <w:top w:w="90" w:type="dxa"/>
              <w:left w:w="90" w:type="dxa"/>
              <w:bottom w:w="90" w:type="dxa"/>
              <w:right w:w="90" w:type="dxa"/>
            </w:tcMar>
          </w:tcPr>
          <w:p>
            <w:pPr>
              <w:spacing w:after="0"/>
            </w:pPr>
            <w:r>
              <w:rPr>
                <w:b/>
                <w:sz w:val="16"/>
              </w:rPr>
              <w:t>Maneuver / mobility element</w:t>
            </w:r>
          </w:p>
        </w:tc>
        <w:tc>
          <w:tcPr>
            <w:tcW w:type="dxa" w:w="4680"/>
            <w:vAlign w:val="center"/>
            <w:shd w:fill="DDE6EF"/>
            <w:tcMar>
              <w:top w:w="90" w:type="dxa"/>
              <w:left w:w="90" w:type="dxa"/>
              <w:bottom w:w="90" w:type="dxa"/>
              <w:right w:w="90" w:type="dxa"/>
            </w:tcMar>
          </w:tcPr>
          <w:p>
            <w:pPr>
              <w:spacing w:after="0"/>
            </w:pPr>
            <w:r>
              <w:rPr>
                <w:b/>
                <w:sz w:val="16"/>
              </w:rPr>
              <w:t>Allocation / assumption</w:t>
            </w:r>
          </w:p>
        </w:tc>
      </w:tr>
      <w:tr>
        <w:tc>
          <w:tcPr>
            <w:tcW w:type="dxa" w:w="4680"/>
            <w:vAlign w:val="center"/>
            <w:tcMar>
              <w:top w:w="90" w:type="dxa"/>
              <w:left w:w="90" w:type="dxa"/>
              <w:bottom w:w="90" w:type="dxa"/>
              <w:right w:w="90" w:type="dxa"/>
            </w:tcMar>
          </w:tcPr>
          <w:p>
            <w:pPr>
              <w:spacing w:after="0"/>
            </w:pPr>
            <w:r>
              <w:rPr>
                <w:sz w:val="16"/>
              </w:rPr>
              <w:t>Initial injection or landing</w:t>
            </w:r>
          </w:p>
        </w:tc>
        <w:tc>
          <w:tcPr>
            <w:tcW w:type="dxa" w:w="4680"/>
            <w:vAlign w:val="center"/>
            <w:tcMar>
              <w:top w:w="90" w:type="dxa"/>
              <w:left w:w="90" w:type="dxa"/>
              <w:bottom w:w="90" w:type="dxa"/>
              <w:right w:w="90" w:type="dxa"/>
            </w:tcMar>
          </w:tcPr>
          <w:p>
            <w:pPr>
              <w:spacing w:after="0"/>
            </w:pPr>
            <w:r>
              <w:rPr>
                <w:sz w:val="16"/>
              </w:rPr>
              <w:t>Included in contracted service unless stated otherwise</w:t>
            </w:r>
          </w:p>
        </w:tc>
      </w:tr>
      <w:tr>
        <w:tc>
          <w:tcPr>
            <w:tcW w:type="dxa" w:w="4680"/>
            <w:vAlign w:val="center"/>
            <w:shd w:fill="F6F8FA"/>
            <w:tcMar>
              <w:top w:w="90" w:type="dxa"/>
              <w:left w:w="90" w:type="dxa"/>
              <w:bottom w:w="90" w:type="dxa"/>
              <w:right w:w="90" w:type="dxa"/>
            </w:tcMar>
          </w:tcPr>
          <w:p>
            <w:pPr>
              <w:spacing w:after="0"/>
            </w:pPr>
            <w:r>
              <w:rPr>
                <w:sz w:val="16"/>
              </w:rPr>
              <w:t>Operational maintenance</w:t>
            </w:r>
          </w:p>
        </w:tc>
        <w:tc>
          <w:tcPr>
            <w:tcW w:type="dxa" w:w="4680"/>
            <w:vAlign w:val="center"/>
            <w:shd w:fill="F6F8FA"/>
            <w:tcMar>
              <w:top w:w="90" w:type="dxa"/>
              <w:left w:w="90" w:type="dxa"/>
              <w:bottom w:w="90" w:type="dxa"/>
              <w:right w:w="90" w:type="dxa"/>
            </w:tcMar>
          </w:tcPr>
          <w:p>
            <w:pPr>
              <w:spacing w:after="0"/>
            </w:pPr>
            <w:r>
              <w:rPr>
                <w:sz w:val="16"/>
              </w:rPr>
              <w:t>Dawn–dusk Sun-synchronous orbit; no docking or rendezvous.</w:t>
            </w:r>
          </w:p>
        </w:tc>
      </w:tr>
      <w:tr>
        <w:tc>
          <w:tcPr>
            <w:tcW w:type="dxa" w:w="4680"/>
            <w:vAlign w:val="center"/>
            <w:tcMar>
              <w:top w:w="90" w:type="dxa"/>
              <w:left w:w="90" w:type="dxa"/>
              <w:bottom w:w="90" w:type="dxa"/>
              <w:right w:w="90" w:type="dxa"/>
            </w:tcMar>
          </w:tcPr>
          <w:p>
            <w:pPr>
              <w:spacing w:after="0"/>
            </w:pPr>
            <w:r>
              <w:rPr>
                <w:sz w:val="16"/>
              </w:rPr>
              <w:t>Navigation and correction</w:t>
            </w:r>
          </w:p>
        </w:tc>
        <w:tc>
          <w:tcPr>
            <w:tcW w:type="dxa" w:w="4680"/>
            <w:vAlign w:val="center"/>
            <w:tcMar>
              <w:top w:w="90" w:type="dxa"/>
              <w:left w:w="90" w:type="dxa"/>
              <w:bottom w:w="90" w:type="dxa"/>
              <w:right w:w="90" w:type="dxa"/>
            </w:tcMar>
          </w:tcPr>
          <w:p>
            <w:pPr>
              <w:spacing w:after="0"/>
            </w:pPr>
            <w:r>
              <w:rPr>
                <w:sz w:val="16"/>
              </w:rPr>
              <w:t>≥90 m/s; 28 kg monopropellant at 220 s yields ~130 m/s ideal at 480 kg initial mass</w:t>
            </w:r>
          </w:p>
        </w:tc>
      </w:tr>
      <w:tr>
        <w:tc>
          <w:tcPr>
            <w:tcW w:type="dxa" w:w="4680"/>
            <w:vAlign w:val="center"/>
            <w:shd w:fill="F6F8FA"/>
            <w:tcMar>
              <w:top w:w="90" w:type="dxa"/>
              <w:left w:w="90" w:type="dxa"/>
              <w:bottom w:w="90" w:type="dxa"/>
              <w:right w:w="90" w:type="dxa"/>
            </w:tcMar>
          </w:tcPr>
          <w:p>
            <w:pPr>
              <w:spacing w:after="0"/>
            </w:pPr>
            <w:r>
              <w:rPr>
                <w:sz w:val="16"/>
              </w:rPr>
              <w:t>Contingency and residuals</w:t>
            </w:r>
          </w:p>
        </w:tc>
        <w:tc>
          <w:tcPr>
            <w:tcW w:type="dxa" w:w="4680"/>
            <w:vAlign w:val="center"/>
            <w:shd w:fill="F6F8FA"/>
            <w:tcMar>
              <w:top w:w="90" w:type="dxa"/>
              <w:left w:w="90" w:type="dxa"/>
              <w:bottom w:w="90" w:type="dxa"/>
              <w:right w:w="90" w:type="dxa"/>
            </w:tcMar>
          </w:tcPr>
          <w:p>
            <w:pPr>
              <w:spacing w:after="0"/>
            </w:pPr>
            <w:r>
              <w:rPr>
                <w:sz w:val="16"/>
              </w:rPr>
              <w:t>Explicit reserve controlled in Part B / Part C</w:t>
            </w:r>
          </w:p>
        </w:tc>
      </w:tr>
      <w:tr>
        <w:tc>
          <w:tcPr>
            <w:tcW w:type="dxa" w:w="4680"/>
            <w:vAlign w:val="center"/>
            <w:tcMar>
              <w:top w:w="90" w:type="dxa"/>
              <w:left w:w="90" w:type="dxa"/>
              <w:bottom w:w="90" w:type="dxa"/>
              <w:right w:w="90" w:type="dxa"/>
            </w:tcMar>
          </w:tcPr>
          <w:p>
            <w:pPr>
              <w:spacing w:after="0"/>
            </w:pPr>
            <w:r>
              <w:rPr>
                <w:sz w:val="16"/>
              </w:rPr>
              <w:t>Total capability</w:t>
            </w:r>
          </w:p>
        </w:tc>
        <w:tc>
          <w:tcPr>
            <w:tcW w:type="dxa" w:w="4680"/>
            <w:vAlign w:val="center"/>
            <w:tcMar>
              <w:top w:w="90" w:type="dxa"/>
              <w:left w:w="90" w:type="dxa"/>
              <w:bottom w:w="90" w:type="dxa"/>
              <w:right w:w="90" w:type="dxa"/>
            </w:tcMar>
          </w:tcPr>
          <w:p>
            <w:pPr>
              <w:spacing w:after="0"/>
            </w:pPr>
            <w:r>
              <w:rPr>
                <w:sz w:val="16"/>
              </w:rPr>
              <w:t>Reconcile with 28 kg monopropellant at 220 s gives ideal Δv ~130 m/s; 40 m/s headroom over the 90 m/s requirem</w:t>
            </w:r>
          </w:p>
        </w:tc>
      </w:tr>
    </w:tbl>
    <w:p>
      <w:pPr>
        <w:pStyle w:val="Heading3"/>
      </w:pPr>
      <w:r>
        <w:t>Telemetry, Tracking and Command</w:t>
      </w:r>
    </w:p>
    <w:p>
      <w:pPr/>
      <w:r>
        <w:t>At 60 Mb/s, 15 minutes yield 6.75 GB gross; 5 GB/day requires ≥74% effective payload throughput.</w:t>
      </w:r>
    </w:p>
    <w:p>
      <w:pPr/>
      <w:r>
        <w:t>The final link assessment shall include transmitter power, antenna gain or host data-service rate, geometry, coding, weather where relevant and a minimum allocated margin. Distinguish command/control packets, health telemetry, raw measurements and user or science products. A link outage analysis is required before ground-service capacity is baselined.</w:t>
      </w:r>
    </w:p>
    <w:p>
      <w:pPr/>
      <w:r>
        <w:t>The communications baseline includes 60 Mb/s X-band to 7 m-class station. The contact budget carries acquisition, engineering telemetry, protocol framing, retransmission and unavailable weather or host periods. The sizing check compares usable transferred bytes per contact with 5 GB/day experiment and housekeeping and any higher burst case.</w:t>
      </w:r>
    </w:p>
    <w:p>
      <w:pPr/>
      <w:r>
        <w:t>A separate low-rate command path or host maintenance interface shall support diagnosis after the prime mission-data path becomes unavailable. No unauthenticated measurement data can alter safety-critical command parameters.</w:t>
      </w:r>
    </w:p>
    <w:p>
      <w:pPr>
        <w:pStyle w:val="Heading2"/>
      </w:pPr>
      <w:r>
        <w:t>Payload</w:t>
      </w:r>
    </w:p>
    <w:p>
      <w:pPr/>
      <w:r>
        <w:t>The payload or process equipment is divided into dual insulated tank assembly, cryocooler and transfer loop and fluid metrology suite. Each element has a separate delivered mass, operating load, mode list, failure assessment and calibration requirement.</w:t>
      </w:r>
    </w:p>
    <w:p>
      <w:pPr>
        <w:pStyle w:val="Heading3"/>
      </w:pPr>
      <w:r>
        <w:t>Dual insulated tank assembly</w:t>
      </w:r>
    </w:p>
    <w:p>
      <w:pPr/>
      <w:r>
        <w:t>Two tanks each hold 50 kg of inert test fluid; tank structure and insulation are in the separate 130 kg dry experiment allocation; 90 K storage target.</w:t>
      </w:r>
    </w:p>
    <w:p>
      <w:pPr/>
      <w:r>
        <w:t>The element is accepted by a traced performance test across the specified environment. Detector or process response, temporal stability, alignment and throughput are measured, not inferred from component labels. Operational anomalies are flagged in the Level 1 record.</w:t>
      </w:r>
    </w:p>
    <w:p>
      <w:pPr/>
      <w:r>
        <w:t>The technical budget traces the stated measurement scale to a physical sampling process and detector or process limits. The performance model shall state coverage, dynamic range, timing, throughput, noise, calibration interval and data-rejection logic. Acceptance reports both the verified central value and its uncertainty.</w:t>
      </w:r>
    </w:p>
    <w:tbl>
      <w:tblPr>
        <w:tblStyle w:val="TableGrid"/>
        <w:tblW w:type="auto" w:w="0"/>
        <w:jc w:val="center"/>
        <w:tblLayout w:type="fixed"/>
        <w:tblLook w:firstColumn="1" w:firstRow="1" w:lastColumn="0" w:lastRow="0" w:noHBand="0" w:noVBand="1" w:val="04A0"/>
      </w:tblPr>
      <w:tblGrid>
        <w:gridCol w:w="3168"/>
        <w:gridCol w:w="5760"/>
      </w:tblGrid>
      <w:tr>
        <w:trPr>
          <w:tblHeader w:val="true"/>
        </w:trPr>
        <w:tc>
          <w:tcPr>
            <w:tcW w:type="dxa" w:w="4680"/>
            <w:vAlign w:val="center"/>
            <w:shd w:fill="DDE6EF"/>
            <w:tcMar>
              <w:top w:w="90" w:type="dxa"/>
              <w:left w:w="90" w:type="dxa"/>
              <w:bottom w:w="90" w:type="dxa"/>
              <w:right w:w="90" w:type="dxa"/>
            </w:tcMar>
          </w:tcPr>
          <w:p>
            <w:pPr>
              <w:spacing w:after="0"/>
            </w:pPr>
            <w:r>
              <w:rPr>
                <w:b/>
                <w:sz w:val="16"/>
              </w:rPr>
              <w:t>Parameter</w:t>
            </w:r>
          </w:p>
        </w:tc>
        <w:tc>
          <w:tcPr>
            <w:tcW w:type="dxa" w:w="4680"/>
            <w:vAlign w:val="center"/>
            <w:shd w:fill="DDE6EF"/>
            <w:tcMar>
              <w:top w:w="90" w:type="dxa"/>
              <w:left w:w="90" w:type="dxa"/>
              <w:bottom w:w="90" w:type="dxa"/>
              <w:right w:w="90" w:type="dxa"/>
            </w:tcMar>
          </w:tcPr>
          <w:p>
            <w:pPr>
              <w:spacing w:after="0"/>
            </w:pPr>
            <w:r>
              <w:rPr>
                <w:b/>
                <w:sz w:val="16"/>
              </w:rPr>
              <w:t>Preliminary requirement / target</w:t>
            </w:r>
          </w:p>
        </w:tc>
      </w:tr>
      <w:tr>
        <w:tc>
          <w:tcPr>
            <w:tcW w:type="dxa" w:w="4680"/>
            <w:vAlign w:val="center"/>
            <w:tcMar>
              <w:top w:w="90" w:type="dxa"/>
              <w:left w:w="90" w:type="dxa"/>
              <w:bottom w:w="90" w:type="dxa"/>
              <w:right w:w="90" w:type="dxa"/>
            </w:tcMar>
          </w:tcPr>
          <w:p>
            <w:pPr>
              <w:spacing w:after="0"/>
            </w:pPr>
            <w:r>
              <w:rPr>
                <w:sz w:val="16"/>
              </w:rPr>
              <w:t>Primary function</w:t>
            </w:r>
          </w:p>
        </w:tc>
        <w:tc>
          <w:tcPr>
            <w:tcW w:type="dxa" w:w="4680"/>
            <w:vAlign w:val="center"/>
            <w:tcMar>
              <w:top w:w="90" w:type="dxa"/>
              <w:left w:w="90" w:type="dxa"/>
              <w:bottom w:w="90" w:type="dxa"/>
              <w:right w:w="90" w:type="dxa"/>
            </w:tcMar>
          </w:tcPr>
          <w:p>
            <w:pPr>
              <w:spacing w:after="0"/>
            </w:pPr>
            <w:r>
              <w:rPr>
                <w:sz w:val="16"/>
              </w:rPr>
              <w:t>Dual insulated tank assembly</w:t>
            </w:r>
          </w:p>
        </w:tc>
      </w:tr>
      <w:tr>
        <w:tc>
          <w:tcPr>
            <w:tcW w:type="dxa" w:w="4680"/>
            <w:vAlign w:val="center"/>
            <w:shd w:fill="F6F8FA"/>
            <w:tcMar>
              <w:top w:w="90" w:type="dxa"/>
              <w:left w:w="90" w:type="dxa"/>
              <w:bottom w:w="90" w:type="dxa"/>
              <w:right w:w="90" w:type="dxa"/>
            </w:tcMar>
          </w:tcPr>
          <w:p>
            <w:pPr>
              <w:spacing w:after="0"/>
            </w:pPr>
            <w:r>
              <w:rPr>
                <w:sz w:val="16"/>
              </w:rPr>
              <w:t>Measured performance</w:t>
            </w:r>
          </w:p>
        </w:tc>
        <w:tc>
          <w:tcPr>
            <w:tcW w:type="dxa" w:w="4680"/>
            <w:vAlign w:val="center"/>
            <w:shd w:fill="F6F8FA"/>
            <w:tcMar>
              <w:top w:w="90" w:type="dxa"/>
              <w:left w:w="90" w:type="dxa"/>
              <w:bottom w:w="90" w:type="dxa"/>
              <w:right w:w="90" w:type="dxa"/>
            </w:tcMar>
          </w:tcPr>
          <w:p>
            <w:pPr>
              <w:spacing w:after="0"/>
            </w:pPr>
            <w:r>
              <w:rPr>
                <w:sz w:val="16"/>
              </w:rPr>
              <w:t>Two tanks each hold 50 kg of inert test fluid; tank structure and insulation are in the separate 130 kg dry experiment allocation; 90 K storage target.</w:t>
            </w:r>
          </w:p>
        </w:tc>
      </w:tr>
      <w:tr>
        <w:tc>
          <w:tcPr>
            <w:tcW w:type="dxa" w:w="4680"/>
            <w:vAlign w:val="center"/>
            <w:tcMar>
              <w:top w:w="90" w:type="dxa"/>
              <w:left w:w="90" w:type="dxa"/>
              <w:bottom w:w="90" w:type="dxa"/>
              <w:right w:w="90" w:type="dxa"/>
            </w:tcMar>
          </w:tcPr>
          <w:p>
            <w:pPr>
              <w:spacing w:after="0"/>
            </w:pPr>
            <w:r>
              <w:rPr>
                <w:sz w:val="16"/>
              </w:rPr>
              <w:t>Unit-level calibration</w:t>
            </w:r>
          </w:p>
        </w:tc>
        <w:tc>
          <w:tcPr>
            <w:tcW w:type="dxa" w:w="4680"/>
            <w:vAlign w:val="center"/>
            <w:tcMar>
              <w:top w:w="90" w:type="dxa"/>
              <w:left w:w="90" w:type="dxa"/>
              <w:bottom w:w="90" w:type="dxa"/>
              <w:right w:w="90" w:type="dxa"/>
            </w:tcMar>
          </w:tcPr>
          <w:p>
            <w:pPr>
              <w:spacing w:after="0"/>
            </w:pPr>
            <w:r>
              <w:rPr>
                <w:sz w:val="16"/>
              </w:rPr>
              <w:t>Before integration and after environmental qualification</w:t>
            </w:r>
          </w:p>
        </w:tc>
      </w:tr>
      <w:tr>
        <w:tc>
          <w:tcPr>
            <w:tcW w:type="dxa" w:w="4680"/>
            <w:vAlign w:val="center"/>
            <w:shd w:fill="F6F8FA"/>
            <w:tcMar>
              <w:top w:w="90" w:type="dxa"/>
              <w:left w:w="90" w:type="dxa"/>
              <w:bottom w:w="90" w:type="dxa"/>
              <w:right w:w="90" w:type="dxa"/>
            </w:tcMar>
          </w:tcPr>
          <w:p>
            <w:pPr>
              <w:spacing w:after="0"/>
            </w:pPr>
            <w:r>
              <w:rPr>
                <w:sz w:val="16"/>
              </w:rPr>
              <w:t>Electrical interface</w:t>
            </w:r>
          </w:p>
        </w:tc>
        <w:tc>
          <w:tcPr>
            <w:tcW w:type="dxa" w:w="4680"/>
            <w:vAlign w:val="center"/>
            <w:shd w:fill="F6F8FA"/>
            <w:tcMar>
              <w:top w:w="90" w:type="dxa"/>
              <w:left w:w="90" w:type="dxa"/>
              <w:bottom w:w="90" w:type="dxa"/>
              <w:right w:w="90" w:type="dxa"/>
            </w:tcMar>
          </w:tcPr>
          <w:p>
            <w:pPr>
              <w:spacing w:after="0"/>
            </w:pPr>
            <w:r>
              <w:rPr>
                <w:sz w:val="16"/>
              </w:rPr>
              <w:t>Protected distribution and commanded safe state</w:t>
            </w:r>
          </w:p>
        </w:tc>
      </w:tr>
      <w:tr>
        <w:tc>
          <w:tcPr>
            <w:tcW w:type="dxa" w:w="4680"/>
            <w:vAlign w:val="center"/>
            <w:tcMar>
              <w:top w:w="90" w:type="dxa"/>
              <w:left w:w="90" w:type="dxa"/>
              <w:bottom w:w="90" w:type="dxa"/>
              <w:right w:w="90" w:type="dxa"/>
            </w:tcMar>
          </w:tcPr>
          <w:p>
            <w:pPr>
              <w:spacing w:after="0"/>
            </w:pPr>
            <w:r>
              <w:rPr>
                <w:sz w:val="16"/>
              </w:rPr>
              <w:t>Data interface</w:t>
            </w:r>
          </w:p>
        </w:tc>
        <w:tc>
          <w:tcPr>
            <w:tcW w:type="dxa" w:w="4680"/>
            <w:vAlign w:val="center"/>
            <w:tcMar>
              <w:top w:w="90" w:type="dxa"/>
              <w:left w:w="90" w:type="dxa"/>
              <w:bottom w:w="90" w:type="dxa"/>
              <w:right w:w="90" w:type="dxa"/>
            </w:tcMar>
          </w:tcPr>
          <w:p>
            <w:pPr>
              <w:spacing w:after="0"/>
            </w:pPr>
            <w:r>
              <w:rPr>
                <w:sz w:val="16"/>
              </w:rPr>
              <w:t>Time-tagged raw records plus status and quality flags</w:t>
            </w:r>
          </w:p>
        </w:tc>
      </w:tr>
      <w:tr>
        <w:tc>
          <w:tcPr>
            <w:tcW w:type="dxa" w:w="4680"/>
            <w:vAlign w:val="center"/>
            <w:shd w:fill="F6F8FA"/>
            <w:tcMar>
              <w:top w:w="90" w:type="dxa"/>
              <w:left w:w="90" w:type="dxa"/>
              <w:bottom w:w="90" w:type="dxa"/>
              <w:right w:w="90" w:type="dxa"/>
            </w:tcMar>
          </w:tcPr>
          <w:p>
            <w:pPr>
              <w:spacing w:after="0"/>
            </w:pPr>
            <w:r>
              <w:rPr>
                <w:sz w:val="16"/>
              </w:rPr>
              <w:t>Environmental tolerance</w:t>
            </w:r>
          </w:p>
        </w:tc>
        <w:tc>
          <w:tcPr>
            <w:tcW w:type="dxa" w:w="4680"/>
            <w:vAlign w:val="center"/>
            <w:shd w:fill="F6F8FA"/>
            <w:tcMar>
              <w:top w:w="90" w:type="dxa"/>
              <w:left w:w="90" w:type="dxa"/>
              <w:bottom w:w="90" w:type="dxa"/>
              <w:right w:w="90" w:type="dxa"/>
            </w:tcMar>
          </w:tcPr>
          <w:p>
            <w:pPr>
              <w:spacing w:after="0"/>
            </w:pPr>
            <w:r>
              <w:rPr>
                <w:sz w:val="16"/>
              </w:rPr>
              <w:t>Two-stage multilayer insulation and 8 W heat lift at 90 K; stable segment requires ≤0.05 kg/day net loss from 100 kg fluid.</w:t>
            </w:r>
          </w:p>
        </w:tc>
      </w:tr>
      <w:tr>
        <w:tc>
          <w:tcPr>
            <w:tcW w:type="dxa" w:w="4680"/>
            <w:vAlign w:val="center"/>
            <w:tcMar>
              <w:top w:w="90" w:type="dxa"/>
              <w:left w:w="90" w:type="dxa"/>
              <w:bottom w:w="90" w:type="dxa"/>
              <w:right w:w="90" w:type="dxa"/>
            </w:tcMar>
          </w:tcPr>
          <w:p>
            <w:pPr>
              <w:spacing w:after="0"/>
            </w:pPr>
            <w:r>
              <w:rPr>
                <w:sz w:val="16"/>
              </w:rPr>
              <w:t>Mass accounting</w:t>
            </w:r>
          </w:p>
        </w:tc>
        <w:tc>
          <w:tcPr>
            <w:tcW w:type="dxa" w:w="4680"/>
            <w:vAlign w:val="center"/>
            <w:tcMar>
              <w:top w:w="90" w:type="dxa"/>
              <w:left w:w="90" w:type="dxa"/>
              <w:bottom w:w="90" w:type="dxa"/>
              <w:right w:w="90" w:type="dxa"/>
            </w:tcMar>
          </w:tcPr>
          <w:p>
            <w:pPr>
              <w:spacing w:after="0"/>
            </w:pPr>
            <w:r>
              <w:rPr>
                <w:sz w:val="16"/>
              </w:rPr>
              <w:t>Within 130 kg payload or experiment allocation</w:t>
            </w:r>
          </w:p>
        </w:tc>
      </w:tr>
      <w:tr>
        <w:tc>
          <w:tcPr>
            <w:tcW w:type="dxa" w:w="4680"/>
            <w:vAlign w:val="center"/>
            <w:shd w:fill="F6F8FA"/>
            <w:tcMar>
              <w:top w:w="90" w:type="dxa"/>
              <w:left w:w="90" w:type="dxa"/>
              <w:bottom w:w="90" w:type="dxa"/>
              <w:right w:w="90" w:type="dxa"/>
            </w:tcMar>
          </w:tcPr>
          <w:p>
            <w:pPr>
              <w:spacing w:after="0"/>
            </w:pPr>
            <w:r>
              <w:rPr>
                <w:sz w:val="16"/>
              </w:rPr>
              <w:t>Verification</w:t>
            </w:r>
          </w:p>
        </w:tc>
        <w:tc>
          <w:tcPr>
            <w:tcW w:type="dxa" w:w="4680"/>
            <w:vAlign w:val="center"/>
            <w:shd w:fill="F6F8FA"/>
            <w:tcMar>
              <w:top w:w="90" w:type="dxa"/>
              <w:left w:w="90" w:type="dxa"/>
              <w:bottom w:w="90" w:type="dxa"/>
              <w:right w:w="90" w:type="dxa"/>
            </w:tcMar>
          </w:tcPr>
          <w:p>
            <w:pPr>
              <w:spacing w:after="0"/>
            </w:pPr>
            <w:r>
              <w:rPr>
                <w:sz w:val="16"/>
              </w:rPr>
              <w:t>Test against mission-level success criterion</w:t>
            </w:r>
          </w:p>
        </w:tc>
      </w:tr>
      <w:tr>
        <w:tc>
          <w:tcPr>
            <w:tcW w:type="dxa" w:w="4680"/>
            <w:vAlign w:val="center"/>
            <w:tcMar>
              <w:top w:w="90" w:type="dxa"/>
              <w:left w:w="90" w:type="dxa"/>
              <w:bottom w:w="90" w:type="dxa"/>
              <w:right w:w="90" w:type="dxa"/>
            </w:tcMar>
          </w:tcPr>
          <w:p>
            <w:pPr>
              <w:spacing w:after="0"/>
            </w:pPr>
            <w:r>
              <w:rPr>
                <w:sz w:val="16"/>
              </w:rPr>
              <w:t>Operations mode</w:t>
            </w:r>
          </w:p>
        </w:tc>
        <w:tc>
          <w:tcPr>
            <w:tcW w:type="dxa" w:w="4680"/>
            <w:vAlign w:val="center"/>
            <w:tcMar>
              <w:top w:w="90" w:type="dxa"/>
              <w:left w:w="90" w:type="dxa"/>
              <w:bottom w:w="90" w:type="dxa"/>
              <w:right w:w="90" w:type="dxa"/>
            </w:tcMar>
          </w:tcPr>
          <w:p>
            <w:pPr>
              <w:spacing w:after="0"/>
            </w:pPr>
            <w:r>
              <w:rPr>
                <w:sz w:val="16"/>
              </w:rPr>
              <w:t>Only when power, thermal and link margins permit</w:t>
            </w:r>
          </w:p>
        </w:tc>
      </w:tr>
      <w:tr>
        <w:tc>
          <w:tcPr>
            <w:tcW w:type="dxa" w:w="4680"/>
            <w:vAlign w:val="center"/>
            <w:shd w:fill="F6F8FA"/>
            <w:tcMar>
              <w:top w:w="90" w:type="dxa"/>
              <w:left w:w="90" w:type="dxa"/>
              <w:bottom w:w="90" w:type="dxa"/>
              <w:right w:w="90" w:type="dxa"/>
            </w:tcMar>
          </w:tcPr>
          <w:p>
            <w:pPr>
              <w:spacing w:after="0"/>
            </w:pPr>
            <w:r>
              <w:rPr>
                <w:sz w:val="16"/>
              </w:rPr>
              <w:t>Fault response</w:t>
            </w:r>
          </w:p>
        </w:tc>
        <w:tc>
          <w:tcPr>
            <w:tcW w:type="dxa" w:w="4680"/>
            <w:vAlign w:val="center"/>
            <w:shd w:fill="F6F8FA"/>
            <w:tcMar>
              <w:top w:w="90" w:type="dxa"/>
              <w:left w:w="90" w:type="dxa"/>
              <w:bottom w:w="90" w:type="dxa"/>
              <w:right w:w="90" w:type="dxa"/>
            </w:tcMar>
          </w:tcPr>
          <w:p>
            <w:pPr>
              <w:spacing w:after="0"/>
            </w:pPr>
            <w:r>
              <w:rPr>
                <w:sz w:val="16"/>
              </w:rPr>
              <w:t>Isolate and report without affecting safe-mode command</w:t>
            </w:r>
          </w:p>
        </w:tc>
      </w:tr>
    </w:tbl>
    <w:p>
      <w:pPr>
        <w:pStyle w:val="Heading3"/>
      </w:pPr>
      <w:r>
        <w:t>Cryocooler and transfer loop</w:t>
      </w:r>
    </w:p>
    <w:p>
      <w:pPr/>
      <w:r>
        <w:t>≤8 W heat lift at 90 K with ≤260 W electrical input; 0.2–1.0 kg/min controlled transfer through recirculation loop.</w:t>
      </w:r>
    </w:p>
    <w:p>
      <w:pPr/>
      <w:r>
        <w:t>This measurement or process provides an independent check on the primary result. The ground model shall retain geometric, thermal and instrumental uncertainty, including changes caused by the spacecraft or host.</w:t>
      </w:r>
    </w:p>
    <w:p>
      <w:pPr/>
      <w:r>
        <w:t>For Rovenna Cryogenic Transit Demonstrator, complementarity is intentional: one channel measures a different physical quantity or provides a contextual state. Processing shall preserve the raw evidence, identify retrieval assumptions and reject inconsistent cross-calibration before product release.</w:t>
      </w:r>
    </w:p>
    <w:tbl>
      <w:tblPr>
        <w:tblStyle w:val="TableGrid"/>
        <w:tblW w:type="auto" w:w="0"/>
        <w:jc w:val="center"/>
        <w:tblLayout w:type="fixed"/>
        <w:tblLook w:firstColumn="1" w:firstRow="1" w:lastColumn="0" w:lastRow="0" w:noHBand="0" w:noVBand="1" w:val="04A0"/>
      </w:tblPr>
      <w:tblGrid>
        <w:gridCol w:w="3168"/>
        <w:gridCol w:w="5760"/>
      </w:tblGrid>
      <w:tr>
        <w:trPr>
          <w:tblHeader w:val="true"/>
        </w:trPr>
        <w:tc>
          <w:tcPr>
            <w:tcW w:type="dxa" w:w="4680"/>
            <w:vAlign w:val="center"/>
            <w:shd w:fill="DDE6EF"/>
            <w:tcMar>
              <w:top w:w="90" w:type="dxa"/>
              <w:left w:w="90" w:type="dxa"/>
              <w:bottom w:w="90" w:type="dxa"/>
              <w:right w:w="90" w:type="dxa"/>
            </w:tcMar>
          </w:tcPr>
          <w:p>
            <w:pPr>
              <w:spacing w:after="0"/>
            </w:pPr>
            <w:r>
              <w:rPr>
                <w:b/>
                <w:sz w:val="16"/>
              </w:rPr>
              <w:t>Parameter</w:t>
            </w:r>
          </w:p>
        </w:tc>
        <w:tc>
          <w:tcPr>
            <w:tcW w:type="dxa" w:w="4680"/>
            <w:vAlign w:val="center"/>
            <w:shd w:fill="DDE6EF"/>
            <w:tcMar>
              <w:top w:w="90" w:type="dxa"/>
              <w:left w:w="90" w:type="dxa"/>
              <w:bottom w:w="90" w:type="dxa"/>
              <w:right w:w="90" w:type="dxa"/>
            </w:tcMar>
          </w:tcPr>
          <w:p>
            <w:pPr>
              <w:spacing w:after="0"/>
            </w:pPr>
            <w:r>
              <w:rPr>
                <w:b/>
                <w:sz w:val="16"/>
              </w:rPr>
              <w:t>Preliminary requirement / target</w:t>
            </w:r>
          </w:p>
        </w:tc>
      </w:tr>
      <w:tr>
        <w:tc>
          <w:tcPr>
            <w:tcW w:type="dxa" w:w="4680"/>
            <w:vAlign w:val="center"/>
            <w:tcMar>
              <w:top w:w="90" w:type="dxa"/>
              <w:left w:w="90" w:type="dxa"/>
              <w:bottom w:w="90" w:type="dxa"/>
              <w:right w:w="90" w:type="dxa"/>
            </w:tcMar>
          </w:tcPr>
          <w:p>
            <w:pPr>
              <w:spacing w:after="0"/>
            </w:pPr>
            <w:r>
              <w:rPr>
                <w:sz w:val="16"/>
              </w:rPr>
              <w:t>Function</w:t>
            </w:r>
          </w:p>
        </w:tc>
        <w:tc>
          <w:tcPr>
            <w:tcW w:type="dxa" w:w="4680"/>
            <w:vAlign w:val="center"/>
            <w:tcMar>
              <w:top w:w="90" w:type="dxa"/>
              <w:left w:w="90" w:type="dxa"/>
              <w:bottom w:w="90" w:type="dxa"/>
              <w:right w:w="90" w:type="dxa"/>
            </w:tcMar>
          </w:tcPr>
          <w:p>
            <w:pPr>
              <w:spacing w:after="0"/>
            </w:pPr>
            <w:r>
              <w:rPr>
                <w:sz w:val="16"/>
              </w:rPr>
              <w:t>Cryocooler and transfer loop</w:t>
            </w:r>
          </w:p>
        </w:tc>
      </w:tr>
      <w:tr>
        <w:tc>
          <w:tcPr>
            <w:tcW w:type="dxa" w:w="4680"/>
            <w:vAlign w:val="center"/>
            <w:shd w:fill="F6F8FA"/>
            <w:tcMar>
              <w:top w:w="90" w:type="dxa"/>
              <w:left w:w="90" w:type="dxa"/>
              <w:bottom w:w="90" w:type="dxa"/>
              <w:right w:w="90" w:type="dxa"/>
            </w:tcMar>
          </w:tcPr>
          <w:p>
            <w:pPr>
              <w:spacing w:after="0"/>
            </w:pPr>
            <w:r>
              <w:rPr>
                <w:sz w:val="16"/>
              </w:rPr>
              <w:t>Performance</w:t>
            </w:r>
          </w:p>
        </w:tc>
        <w:tc>
          <w:tcPr>
            <w:tcW w:type="dxa" w:w="4680"/>
            <w:vAlign w:val="center"/>
            <w:shd w:fill="F6F8FA"/>
            <w:tcMar>
              <w:top w:w="90" w:type="dxa"/>
              <w:left w:w="90" w:type="dxa"/>
              <w:bottom w:w="90" w:type="dxa"/>
              <w:right w:w="90" w:type="dxa"/>
            </w:tcMar>
          </w:tcPr>
          <w:p>
            <w:pPr>
              <w:spacing w:after="0"/>
            </w:pPr>
            <w:r>
              <w:rPr>
                <w:sz w:val="16"/>
              </w:rPr>
              <w:t>≤8 W heat lift at 90 K with ≤260 W electrical input; 0.2–1.0 kg/min controlled transfer through recirculation loop.</w:t>
            </w:r>
          </w:p>
        </w:tc>
      </w:tr>
      <w:tr>
        <w:tc>
          <w:tcPr>
            <w:tcW w:type="dxa" w:w="4680"/>
            <w:vAlign w:val="center"/>
            <w:tcMar>
              <w:top w:w="90" w:type="dxa"/>
              <w:left w:w="90" w:type="dxa"/>
              <w:bottom w:w="90" w:type="dxa"/>
              <w:right w:w="90" w:type="dxa"/>
            </w:tcMar>
          </w:tcPr>
          <w:p>
            <w:pPr>
              <w:spacing w:after="0"/>
            </w:pPr>
            <w:r>
              <w:rPr>
                <w:sz w:val="16"/>
              </w:rPr>
              <w:t>Mass</w:t>
            </w:r>
          </w:p>
        </w:tc>
        <w:tc>
          <w:tcPr>
            <w:tcW w:type="dxa" w:w="4680"/>
            <w:vAlign w:val="center"/>
            <w:tcMar>
              <w:top w:w="90" w:type="dxa"/>
              <w:left w:w="90" w:type="dxa"/>
              <w:bottom w:w="90" w:type="dxa"/>
              <w:right w:w="90" w:type="dxa"/>
            </w:tcMar>
          </w:tcPr>
          <w:p>
            <w:pPr>
              <w:spacing w:after="0"/>
            </w:pPr>
            <w:r>
              <w:rPr>
                <w:sz w:val="16"/>
              </w:rPr>
              <w:t>Included in payload/experiment allocation</w:t>
            </w:r>
          </w:p>
        </w:tc>
      </w:tr>
      <w:tr>
        <w:tc>
          <w:tcPr>
            <w:tcW w:type="dxa" w:w="4680"/>
            <w:vAlign w:val="center"/>
            <w:shd w:fill="F6F8FA"/>
            <w:tcMar>
              <w:top w:w="90" w:type="dxa"/>
              <w:left w:w="90" w:type="dxa"/>
              <w:bottom w:w="90" w:type="dxa"/>
              <w:right w:w="90" w:type="dxa"/>
            </w:tcMar>
          </w:tcPr>
          <w:p>
            <w:pPr>
              <w:spacing w:after="0"/>
            </w:pPr>
            <w:r>
              <w:rPr>
                <w:sz w:val="16"/>
              </w:rPr>
              <w:t>Power</w:t>
            </w:r>
          </w:p>
        </w:tc>
        <w:tc>
          <w:tcPr>
            <w:tcW w:type="dxa" w:w="4680"/>
            <w:vAlign w:val="center"/>
            <w:shd w:fill="F6F8FA"/>
            <w:tcMar>
              <w:top w:w="90" w:type="dxa"/>
              <w:left w:w="90" w:type="dxa"/>
              <w:bottom w:w="90" w:type="dxa"/>
              <w:right w:w="90" w:type="dxa"/>
            </w:tcMar>
          </w:tcPr>
          <w:p>
            <w:pPr>
              <w:spacing w:after="0"/>
            </w:pPr>
            <w:r>
              <w:rPr>
                <w:sz w:val="16"/>
              </w:rPr>
              <w:t>Mode specific; close against peak load</w:t>
            </w:r>
          </w:p>
        </w:tc>
      </w:tr>
      <w:tr>
        <w:tc>
          <w:tcPr>
            <w:tcW w:type="dxa" w:w="4680"/>
            <w:vAlign w:val="center"/>
            <w:tcMar>
              <w:top w:w="90" w:type="dxa"/>
              <w:left w:w="90" w:type="dxa"/>
              <w:bottom w:w="90" w:type="dxa"/>
              <w:right w:w="90" w:type="dxa"/>
            </w:tcMar>
          </w:tcPr>
          <w:p>
            <w:pPr>
              <w:spacing w:after="0"/>
            </w:pPr>
            <w:r>
              <w:rPr>
                <w:sz w:val="16"/>
              </w:rPr>
              <w:t>Field / process geometry</w:t>
            </w:r>
          </w:p>
        </w:tc>
        <w:tc>
          <w:tcPr>
            <w:tcW w:type="dxa" w:w="4680"/>
            <w:vAlign w:val="center"/>
            <w:tcMar>
              <w:top w:w="90" w:type="dxa"/>
              <w:left w:w="90" w:type="dxa"/>
              <w:bottom w:w="90" w:type="dxa"/>
              <w:right w:w="90" w:type="dxa"/>
            </w:tcMar>
          </w:tcPr>
          <w:p>
            <w:pPr>
              <w:spacing w:after="0"/>
            </w:pPr>
            <w:r>
              <w:rPr>
                <w:sz w:val="16"/>
              </w:rPr>
              <w:t>700 ±20 km circular dawn–dusk Sun-synchronous reference orbit; inclination confirmed by launch analysis.</w:t>
            </w:r>
          </w:p>
        </w:tc>
      </w:tr>
      <w:tr>
        <w:tc>
          <w:tcPr>
            <w:tcW w:type="dxa" w:w="4680"/>
            <w:vAlign w:val="center"/>
            <w:shd w:fill="F6F8FA"/>
            <w:tcMar>
              <w:top w:w="90" w:type="dxa"/>
              <w:left w:w="90" w:type="dxa"/>
              <w:bottom w:w="90" w:type="dxa"/>
              <w:right w:w="90" w:type="dxa"/>
            </w:tcMar>
          </w:tcPr>
          <w:p>
            <w:pPr>
              <w:spacing w:after="0"/>
            </w:pPr>
            <w:r>
              <w:rPr>
                <w:sz w:val="16"/>
              </w:rPr>
              <w:t>Timing</w:t>
            </w:r>
          </w:p>
        </w:tc>
        <w:tc>
          <w:tcPr>
            <w:tcW w:type="dxa" w:w="4680"/>
            <w:vAlign w:val="center"/>
            <w:shd w:fill="F6F8FA"/>
            <w:tcMar>
              <w:top w:w="90" w:type="dxa"/>
              <w:left w:w="90" w:type="dxa"/>
              <w:bottom w:w="90" w:type="dxa"/>
              <w:right w:w="90" w:type="dxa"/>
            </w:tcMar>
          </w:tcPr>
          <w:p>
            <w:pPr>
              <w:spacing w:after="0"/>
            </w:pPr>
            <w:r>
              <w:rPr>
                <w:sz w:val="16"/>
              </w:rPr>
              <w:t>Synchronized to system command clock</w:t>
            </w:r>
          </w:p>
        </w:tc>
      </w:tr>
      <w:tr>
        <w:tc>
          <w:tcPr>
            <w:tcW w:type="dxa" w:w="4680"/>
            <w:vAlign w:val="center"/>
            <w:tcMar>
              <w:top w:w="90" w:type="dxa"/>
              <w:left w:w="90" w:type="dxa"/>
              <w:bottom w:w="90" w:type="dxa"/>
              <w:right w:w="90" w:type="dxa"/>
            </w:tcMar>
          </w:tcPr>
          <w:p>
            <w:pPr>
              <w:spacing w:after="0"/>
            </w:pPr>
            <w:r>
              <w:rPr>
                <w:sz w:val="16"/>
              </w:rPr>
              <w:t>Calibration</w:t>
            </w:r>
          </w:p>
        </w:tc>
        <w:tc>
          <w:tcPr>
            <w:tcW w:type="dxa" w:w="4680"/>
            <w:vAlign w:val="center"/>
            <w:tcMar>
              <w:top w:w="90" w:type="dxa"/>
              <w:left w:w="90" w:type="dxa"/>
              <w:bottom w:w="90" w:type="dxa"/>
              <w:right w:w="90" w:type="dxa"/>
            </w:tcMar>
          </w:tcPr>
          <w:p>
            <w:pPr>
              <w:spacing w:after="0"/>
            </w:pPr>
            <w:r>
              <w:rPr>
                <w:sz w:val="16"/>
              </w:rPr>
              <w:t>At acceptance and by scheduled in-operation reference</w:t>
            </w:r>
          </w:p>
        </w:tc>
      </w:tr>
      <w:tr>
        <w:tc>
          <w:tcPr>
            <w:tcW w:type="dxa" w:w="4680"/>
            <w:vAlign w:val="center"/>
            <w:shd w:fill="F6F8FA"/>
            <w:tcMar>
              <w:top w:w="90" w:type="dxa"/>
              <w:left w:w="90" w:type="dxa"/>
              <w:bottom w:w="90" w:type="dxa"/>
              <w:right w:w="90" w:type="dxa"/>
            </w:tcMar>
          </w:tcPr>
          <w:p>
            <w:pPr>
              <w:spacing w:after="0"/>
            </w:pPr>
            <w:r>
              <w:rPr>
                <w:sz w:val="16"/>
              </w:rPr>
              <w:t>Data volume</w:t>
            </w:r>
          </w:p>
        </w:tc>
        <w:tc>
          <w:tcPr>
            <w:tcW w:type="dxa" w:w="4680"/>
            <w:vAlign w:val="center"/>
            <w:shd w:fill="F6F8FA"/>
            <w:tcMar>
              <w:top w:w="90" w:type="dxa"/>
              <w:left w:w="90" w:type="dxa"/>
              <w:bottom w:w="90" w:type="dxa"/>
              <w:right w:w="90" w:type="dxa"/>
            </w:tcMar>
          </w:tcPr>
          <w:p>
            <w:pPr>
              <w:spacing w:after="0"/>
            </w:pPr>
            <w:r>
              <w:rPr>
                <w:sz w:val="16"/>
              </w:rPr>
              <w:t>5 GB/day experiment and housekeeping</w:t>
            </w:r>
          </w:p>
        </w:tc>
      </w:tr>
      <w:tr>
        <w:tc>
          <w:tcPr>
            <w:tcW w:type="dxa" w:w="4680"/>
            <w:vAlign w:val="center"/>
            <w:tcMar>
              <w:top w:w="90" w:type="dxa"/>
              <w:left w:w="90" w:type="dxa"/>
              <w:bottom w:w="90" w:type="dxa"/>
              <w:right w:w="90" w:type="dxa"/>
            </w:tcMar>
          </w:tcPr>
          <w:p>
            <w:pPr>
              <w:spacing w:after="0"/>
            </w:pPr>
            <w:r>
              <w:rPr>
                <w:sz w:val="16"/>
              </w:rPr>
              <w:t>Quality masks</w:t>
            </w:r>
          </w:p>
        </w:tc>
        <w:tc>
          <w:tcPr>
            <w:tcW w:type="dxa" w:w="4680"/>
            <w:vAlign w:val="center"/>
            <w:tcMar>
              <w:top w:w="90" w:type="dxa"/>
              <w:left w:w="90" w:type="dxa"/>
              <w:bottom w:w="90" w:type="dxa"/>
              <w:right w:w="90" w:type="dxa"/>
            </w:tcMar>
          </w:tcPr>
          <w:p>
            <w:pPr>
              <w:spacing w:after="0"/>
            </w:pPr>
            <w:r>
              <w:rPr>
                <w:sz w:val="16"/>
              </w:rPr>
              <w:t>Record saturation, missing packets and calibration excursions</w:t>
            </w:r>
          </w:p>
        </w:tc>
      </w:tr>
      <w:tr>
        <w:tc>
          <w:tcPr>
            <w:tcW w:type="dxa" w:w="4680"/>
            <w:vAlign w:val="center"/>
            <w:shd w:fill="F6F8FA"/>
            <w:tcMar>
              <w:top w:w="90" w:type="dxa"/>
              <w:left w:w="90" w:type="dxa"/>
              <w:bottom w:w="90" w:type="dxa"/>
              <w:right w:w="90" w:type="dxa"/>
            </w:tcMar>
          </w:tcPr>
          <w:p>
            <w:pPr>
              <w:spacing w:after="0"/>
            </w:pPr>
            <w:r>
              <w:rPr>
                <w:sz w:val="16"/>
              </w:rPr>
              <w:t>Qualification</w:t>
            </w:r>
          </w:p>
        </w:tc>
        <w:tc>
          <w:tcPr>
            <w:tcW w:type="dxa" w:w="4680"/>
            <w:vAlign w:val="center"/>
            <w:shd w:fill="F6F8FA"/>
            <w:tcMar>
              <w:top w:w="90" w:type="dxa"/>
              <w:left w:w="90" w:type="dxa"/>
              <w:bottom w:w="90" w:type="dxa"/>
              <w:right w:w="90" w:type="dxa"/>
            </w:tcMar>
          </w:tcPr>
          <w:p>
            <w:pPr>
              <w:spacing w:after="0"/>
            </w:pPr>
            <w:r>
              <w:rPr>
                <w:sz w:val="16"/>
              </w:rPr>
              <w:t>Relevant launch, host and operational environment</w:t>
            </w:r>
          </w:p>
        </w:tc>
      </w:tr>
    </w:tbl>
    <w:p>
      <w:pPr>
        <w:pStyle w:val="Heading3"/>
      </w:pPr>
      <w:r>
        <w:t>Payload Electronics</w:t>
      </w:r>
    </w:p>
    <w:p>
      <w:pPr/>
      <w:r>
        <w:t>The payload electronics supervise instrument power, timing, detector readout, process controls, data formatting and safe-mode interlocks. Interfaces are controlled by released drawings and telemetry dictionaries. Each unit supports configuration rollback after a failed upload.</w:t>
      </w:r>
    </w:p>
    <w:tbl>
      <w:tblPr>
        <w:tblStyle w:val="TableGrid"/>
        <w:tblW w:type="auto" w:w="0"/>
        <w:jc w:val="center"/>
        <w:tblLayout w:type="fixed"/>
        <w:tblLook w:firstColumn="1" w:firstRow="1" w:lastColumn="0" w:lastRow="0" w:noHBand="0" w:noVBand="1" w:val="04A0"/>
      </w:tblPr>
      <w:tblGrid>
        <w:gridCol w:w="3168"/>
        <w:gridCol w:w="5760"/>
      </w:tblGrid>
      <w:tr>
        <w:trPr>
          <w:tblHeader w:val="true"/>
        </w:trPr>
        <w:tc>
          <w:tcPr>
            <w:tcW w:type="dxa" w:w="4680"/>
            <w:vAlign w:val="center"/>
            <w:shd w:fill="DDE6EF"/>
            <w:tcMar>
              <w:top w:w="90" w:type="dxa"/>
              <w:left w:w="90" w:type="dxa"/>
              <w:bottom w:w="90" w:type="dxa"/>
              <w:right w:w="90" w:type="dxa"/>
            </w:tcMar>
          </w:tcPr>
          <w:p>
            <w:pPr>
              <w:spacing w:after="0"/>
            </w:pPr>
            <w:r>
              <w:rPr>
                <w:b/>
                <w:sz w:val="16"/>
              </w:rPr>
              <w:t>Parameter</w:t>
            </w:r>
          </w:p>
        </w:tc>
        <w:tc>
          <w:tcPr>
            <w:tcW w:type="dxa" w:w="4680"/>
            <w:vAlign w:val="center"/>
            <w:shd w:fill="DDE6EF"/>
            <w:tcMar>
              <w:top w:w="90" w:type="dxa"/>
              <w:left w:w="90" w:type="dxa"/>
              <w:bottom w:w="90" w:type="dxa"/>
              <w:right w:w="90" w:type="dxa"/>
            </w:tcMar>
          </w:tcPr>
          <w:p>
            <w:pPr>
              <w:spacing w:after="0"/>
            </w:pPr>
            <w:r>
              <w:rPr>
                <w:b/>
                <w:sz w:val="16"/>
              </w:rPr>
              <w:t>Preliminary requirement / target</w:t>
            </w:r>
          </w:p>
        </w:tc>
      </w:tr>
      <w:tr>
        <w:tc>
          <w:tcPr>
            <w:tcW w:type="dxa" w:w="4680"/>
            <w:vAlign w:val="center"/>
            <w:tcMar>
              <w:top w:w="90" w:type="dxa"/>
              <w:left w:w="90" w:type="dxa"/>
              <w:bottom w:w="90" w:type="dxa"/>
              <w:right w:w="90" w:type="dxa"/>
            </w:tcMar>
          </w:tcPr>
          <w:p>
            <w:pPr>
              <w:spacing w:after="0"/>
            </w:pPr>
            <w:r>
              <w:rPr>
                <w:sz w:val="16"/>
              </w:rPr>
              <w:t>Primary function</w:t>
            </w:r>
          </w:p>
        </w:tc>
        <w:tc>
          <w:tcPr>
            <w:tcW w:type="dxa" w:w="4680"/>
            <w:vAlign w:val="center"/>
            <w:tcMar>
              <w:top w:w="90" w:type="dxa"/>
              <w:left w:w="90" w:type="dxa"/>
              <w:bottom w:w="90" w:type="dxa"/>
              <w:right w:w="90" w:type="dxa"/>
            </w:tcMar>
          </w:tcPr>
          <w:p>
            <w:pPr>
              <w:spacing w:after="0"/>
            </w:pPr>
            <w:r>
              <w:rPr>
                <w:sz w:val="16"/>
              </w:rPr>
              <w:t>Instrument / process control and time-tagging</w:t>
            </w:r>
          </w:p>
        </w:tc>
      </w:tr>
      <w:tr>
        <w:tc>
          <w:tcPr>
            <w:tcW w:type="dxa" w:w="4680"/>
            <w:vAlign w:val="center"/>
            <w:shd w:fill="F6F8FA"/>
            <w:tcMar>
              <w:top w:w="90" w:type="dxa"/>
              <w:left w:w="90" w:type="dxa"/>
              <w:bottom w:w="90" w:type="dxa"/>
              <w:right w:w="90" w:type="dxa"/>
            </w:tcMar>
          </w:tcPr>
          <w:p>
            <w:pPr>
              <w:spacing w:after="0"/>
            </w:pPr>
            <w:r>
              <w:rPr>
                <w:sz w:val="16"/>
              </w:rPr>
              <w:t>Sensor interfaces</w:t>
            </w:r>
          </w:p>
        </w:tc>
        <w:tc>
          <w:tcPr>
            <w:tcW w:type="dxa" w:w="4680"/>
            <w:vAlign w:val="center"/>
            <w:shd w:fill="F6F8FA"/>
            <w:tcMar>
              <w:top w:w="90" w:type="dxa"/>
              <w:left w:w="90" w:type="dxa"/>
              <w:bottom w:w="90" w:type="dxa"/>
              <w:right w:w="90" w:type="dxa"/>
            </w:tcMar>
          </w:tcPr>
          <w:p>
            <w:pPr>
              <w:spacing w:after="0"/>
            </w:pPr>
            <w:r>
              <w:rPr>
                <w:sz w:val="16"/>
              </w:rPr>
              <w:t>Dual insulated tank assembly; Cryocooler and transfer loop; Fluid metrology suite</w:t>
            </w:r>
          </w:p>
        </w:tc>
      </w:tr>
      <w:tr>
        <w:tc>
          <w:tcPr>
            <w:tcW w:type="dxa" w:w="4680"/>
            <w:vAlign w:val="center"/>
            <w:tcMar>
              <w:top w:w="90" w:type="dxa"/>
              <w:left w:w="90" w:type="dxa"/>
              <w:bottom w:w="90" w:type="dxa"/>
              <w:right w:w="90" w:type="dxa"/>
            </w:tcMar>
          </w:tcPr>
          <w:p>
            <w:pPr>
              <w:spacing w:after="0"/>
            </w:pPr>
            <w:r>
              <w:rPr>
                <w:sz w:val="16"/>
              </w:rPr>
              <w:t>System interface</w:t>
            </w:r>
          </w:p>
        </w:tc>
        <w:tc>
          <w:tcPr>
            <w:tcW w:type="dxa" w:w="4680"/>
            <w:vAlign w:val="center"/>
            <w:tcMar>
              <w:top w:w="90" w:type="dxa"/>
              <w:left w:w="90" w:type="dxa"/>
              <w:bottom w:w="90" w:type="dxa"/>
              <w:right w:w="90" w:type="dxa"/>
            </w:tcMar>
          </w:tcPr>
          <w:p>
            <w:pPr>
              <w:spacing w:after="0"/>
            </w:pPr>
            <w:r>
              <w:rPr>
                <w:sz w:val="16"/>
              </w:rPr>
              <w:t>Protected command and local data bus</w:t>
            </w:r>
          </w:p>
        </w:tc>
      </w:tr>
      <w:tr>
        <w:tc>
          <w:tcPr>
            <w:tcW w:type="dxa" w:w="4680"/>
            <w:vAlign w:val="center"/>
            <w:shd w:fill="F6F8FA"/>
            <w:tcMar>
              <w:top w:w="90" w:type="dxa"/>
              <w:left w:w="90" w:type="dxa"/>
              <w:bottom w:w="90" w:type="dxa"/>
              <w:right w:w="90" w:type="dxa"/>
            </w:tcMar>
          </w:tcPr>
          <w:p>
            <w:pPr>
              <w:spacing w:after="0"/>
            </w:pPr>
            <w:r>
              <w:rPr>
                <w:sz w:val="16"/>
              </w:rPr>
              <w:t>Buffering</w:t>
            </w:r>
          </w:p>
        </w:tc>
        <w:tc>
          <w:tcPr>
            <w:tcW w:type="dxa" w:w="4680"/>
            <w:vAlign w:val="center"/>
            <w:shd w:fill="F6F8FA"/>
            <w:tcMar>
              <w:top w:w="90" w:type="dxa"/>
              <w:left w:w="90" w:type="dxa"/>
              <w:bottom w:w="90" w:type="dxa"/>
              <w:right w:w="90" w:type="dxa"/>
            </w:tcMar>
          </w:tcPr>
          <w:p>
            <w:pPr>
              <w:spacing w:after="0"/>
            </w:pPr>
            <w:r>
              <w:rPr>
                <w:sz w:val="16"/>
              </w:rPr>
              <w:t>256 GB usable system allocation</w:t>
            </w:r>
          </w:p>
        </w:tc>
      </w:tr>
      <w:tr>
        <w:tc>
          <w:tcPr>
            <w:tcW w:type="dxa" w:w="4680"/>
            <w:vAlign w:val="center"/>
            <w:tcMar>
              <w:top w:w="90" w:type="dxa"/>
              <w:left w:w="90" w:type="dxa"/>
              <w:bottom w:w="90" w:type="dxa"/>
              <w:right w:w="90" w:type="dxa"/>
            </w:tcMar>
          </w:tcPr>
          <w:p>
            <w:pPr>
              <w:spacing w:after="0"/>
            </w:pPr>
            <w:r>
              <w:rPr>
                <w:sz w:val="16"/>
              </w:rPr>
              <w:t>Processing</w:t>
            </w:r>
          </w:p>
        </w:tc>
        <w:tc>
          <w:tcPr>
            <w:tcW w:type="dxa" w:w="4680"/>
            <w:vAlign w:val="center"/>
            <w:tcMar>
              <w:top w:w="90" w:type="dxa"/>
              <w:left w:w="90" w:type="dxa"/>
              <w:bottom w:w="90" w:type="dxa"/>
              <w:right w:w="90" w:type="dxa"/>
            </w:tcMar>
          </w:tcPr>
          <w:p>
            <w:pPr>
              <w:spacing w:after="0"/>
            </w:pPr>
            <w:r>
              <w:rPr>
                <w:sz w:val="16"/>
              </w:rPr>
              <w:t>Lossless event flags and reversible screening where practical</w:t>
            </w:r>
          </w:p>
        </w:tc>
      </w:tr>
      <w:tr>
        <w:tc>
          <w:tcPr>
            <w:tcW w:type="dxa" w:w="4680"/>
            <w:vAlign w:val="center"/>
            <w:shd w:fill="F6F8FA"/>
            <w:tcMar>
              <w:top w:w="90" w:type="dxa"/>
              <w:left w:w="90" w:type="dxa"/>
              <w:bottom w:w="90" w:type="dxa"/>
              <w:right w:w="90" w:type="dxa"/>
            </w:tcMar>
          </w:tcPr>
          <w:p>
            <w:pPr>
              <w:spacing w:after="0"/>
            </w:pPr>
            <w:r>
              <w:rPr>
                <w:sz w:val="16"/>
              </w:rPr>
              <w:t>Timing</w:t>
            </w:r>
          </w:p>
        </w:tc>
        <w:tc>
          <w:tcPr>
            <w:tcW w:type="dxa" w:w="4680"/>
            <w:vAlign w:val="center"/>
            <w:shd w:fill="F6F8FA"/>
            <w:tcMar>
              <w:top w:w="90" w:type="dxa"/>
              <w:left w:w="90" w:type="dxa"/>
              <w:bottom w:w="90" w:type="dxa"/>
              <w:right w:w="90" w:type="dxa"/>
            </w:tcMar>
          </w:tcPr>
          <w:p>
            <w:pPr>
              <w:spacing w:after="0"/>
            </w:pPr>
            <w:r>
              <w:rPr>
                <w:sz w:val="16"/>
              </w:rPr>
              <w:t>Absolute reference and monotonically numbered records</w:t>
            </w:r>
          </w:p>
        </w:tc>
      </w:tr>
      <w:tr>
        <w:tc>
          <w:tcPr>
            <w:tcW w:type="dxa" w:w="4680"/>
            <w:vAlign w:val="center"/>
            <w:tcMar>
              <w:top w:w="90" w:type="dxa"/>
              <w:left w:w="90" w:type="dxa"/>
              <w:bottom w:w="90" w:type="dxa"/>
              <w:right w:w="90" w:type="dxa"/>
            </w:tcMar>
          </w:tcPr>
          <w:p>
            <w:pPr>
              <w:spacing w:after="0"/>
            </w:pPr>
            <w:r>
              <w:rPr>
                <w:sz w:val="16"/>
              </w:rPr>
              <w:t>Health monitoring</w:t>
            </w:r>
          </w:p>
        </w:tc>
        <w:tc>
          <w:tcPr>
            <w:tcW w:type="dxa" w:w="4680"/>
            <w:vAlign w:val="center"/>
            <w:tcMar>
              <w:top w:w="90" w:type="dxa"/>
              <w:left w:w="90" w:type="dxa"/>
              <w:bottom w:w="90" w:type="dxa"/>
              <w:right w:w="90" w:type="dxa"/>
            </w:tcMar>
          </w:tcPr>
          <w:p>
            <w:pPr>
              <w:spacing w:after="0"/>
            </w:pPr>
            <w:r>
              <w:rPr>
                <w:sz w:val="16"/>
              </w:rPr>
              <w:t>Voltage, temperature, current, reset count and status</w:t>
            </w:r>
          </w:p>
        </w:tc>
      </w:tr>
      <w:tr>
        <w:tc>
          <w:tcPr>
            <w:tcW w:type="dxa" w:w="4680"/>
            <w:vAlign w:val="center"/>
            <w:shd w:fill="F6F8FA"/>
            <w:tcMar>
              <w:top w:w="90" w:type="dxa"/>
              <w:left w:w="90" w:type="dxa"/>
              <w:bottom w:w="90" w:type="dxa"/>
              <w:right w:w="90" w:type="dxa"/>
            </w:tcMar>
          </w:tcPr>
          <w:p>
            <w:pPr>
              <w:spacing w:after="0"/>
            </w:pPr>
            <w:r>
              <w:rPr>
                <w:sz w:val="16"/>
              </w:rPr>
              <w:t>Mass</w:t>
            </w:r>
          </w:p>
        </w:tc>
        <w:tc>
          <w:tcPr>
            <w:tcW w:type="dxa" w:w="4680"/>
            <w:vAlign w:val="center"/>
            <w:shd w:fill="F6F8FA"/>
            <w:tcMar>
              <w:top w:w="90" w:type="dxa"/>
              <w:left w:w="90" w:type="dxa"/>
              <w:bottom w:w="90" w:type="dxa"/>
              <w:right w:w="90" w:type="dxa"/>
            </w:tcMar>
          </w:tcPr>
          <w:p>
            <w:pPr>
              <w:spacing w:after="0"/>
            </w:pPr>
            <w:r>
              <w:rPr>
                <w:sz w:val="16"/>
              </w:rPr>
              <w:t>Within 130 kg allocation</w:t>
            </w:r>
          </w:p>
        </w:tc>
      </w:tr>
      <w:tr>
        <w:tc>
          <w:tcPr>
            <w:tcW w:type="dxa" w:w="4680"/>
            <w:vAlign w:val="center"/>
            <w:tcMar>
              <w:top w:w="90" w:type="dxa"/>
              <w:left w:w="90" w:type="dxa"/>
              <w:bottom w:w="90" w:type="dxa"/>
              <w:right w:w="90" w:type="dxa"/>
            </w:tcMar>
          </w:tcPr>
          <w:p>
            <w:pPr>
              <w:spacing w:after="0"/>
            </w:pPr>
            <w:r>
              <w:rPr>
                <w:sz w:val="16"/>
              </w:rPr>
              <w:t>Peak electrical power</w:t>
            </w:r>
          </w:p>
        </w:tc>
        <w:tc>
          <w:tcPr>
            <w:tcW w:type="dxa" w:w="4680"/>
            <w:vAlign w:val="center"/>
            <w:tcMar>
              <w:top w:w="90" w:type="dxa"/>
              <w:left w:w="90" w:type="dxa"/>
              <w:bottom w:w="90" w:type="dxa"/>
              <w:right w:w="90" w:type="dxa"/>
            </w:tcMar>
          </w:tcPr>
          <w:p>
            <w:pPr>
              <w:spacing w:after="0"/>
            </w:pPr>
            <w:r>
              <w:rPr>
                <w:sz w:val="16"/>
              </w:rPr>
              <w:t>Included in 950 W integrated peak</w:t>
            </w:r>
          </w:p>
        </w:tc>
      </w:tr>
      <w:tr>
        <w:tc>
          <w:tcPr>
            <w:tcW w:type="dxa" w:w="4680"/>
            <w:vAlign w:val="center"/>
            <w:shd w:fill="F6F8FA"/>
            <w:tcMar>
              <w:top w:w="90" w:type="dxa"/>
              <w:left w:w="90" w:type="dxa"/>
              <w:bottom w:w="90" w:type="dxa"/>
              <w:right w:w="90" w:type="dxa"/>
            </w:tcMar>
          </w:tcPr>
          <w:p>
            <w:pPr>
              <w:spacing w:after="0"/>
            </w:pPr>
            <w:r>
              <w:rPr>
                <w:sz w:val="16"/>
              </w:rPr>
              <w:t>Radiation / environment</w:t>
            </w:r>
          </w:p>
        </w:tc>
        <w:tc>
          <w:tcPr>
            <w:tcW w:type="dxa" w:w="4680"/>
            <w:vAlign w:val="center"/>
            <w:shd w:fill="F6F8FA"/>
            <w:tcMar>
              <w:top w:w="90" w:type="dxa"/>
              <w:left w:w="90" w:type="dxa"/>
              <w:bottom w:w="90" w:type="dxa"/>
              <w:right w:w="90" w:type="dxa"/>
            </w:tcMar>
          </w:tcPr>
          <w:p>
            <w:pPr>
              <w:spacing w:after="0"/>
            </w:pPr>
            <w:r>
              <w:rPr>
                <w:sz w:val="16"/>
              </w:rPr>
              <w:t xml:space="preserve">Qualified for 700 ±20 km circular dawn–dusk Sun-synchronous reference orbit; inclination </w:t>
            </w:r>
          </w:p>
        </w:tc>
      </w:tr>
    </w:tbl>
    <w:p>
      <w:pPr>
        <w:pStyle w:val="Heading3"/>
      </w:pPr>
      <w:r>
        <w:t>Onboard Calibration</w:t>
      </w:r>
    </w:p>
    <w:p>
      <w:pPr/>
      <w:r>
        <w:t>Calibration is designed around traceable reference states rather than a generic check flag. A pre-deployment baseline, scheduled in-operation reference and post-anomaly verification distinguish genuine environment or biological changes from instrument drift.</w:t>
      </w:r>
    </w:p>
    <w:tbl>
      <w:tblPr>
        <w:tblStyle w:val="TableGrid"/>
        <w:tblW w:type="auto" w:w="0"/>
        <w:jc w:val="center"/>
        <w:tblLayout w:type="fixed"/>
        <w:tblLook w:firstColumn="1" w:firstRow="1" w:lastColumn="0" w:lastRow="0" w:noHBand="0" w:noVBand="1" w:val="04A0"/>
      </w:tblPr>
      <w:tblGrid>
        <w:gridCol w:w="3168"/>
        <w:gridCol w:w="5760"/>
      </w:tblGrid>
      <w:tr>
        <w:trPr>
          <w:tblHeader w:val="true"/>
        </w:trPr>
        <w:tc>
          <w:tcPr>
            <w:tcW w:type="dxa" w:w="4680"/>
            <w:vAlign w:val="center"/>
            <w:shd w:fill="DDE6EF"/>
            <w:tcMar>
              <w:top w:w="90" w:type="dxa"/>
              <w:left w:w="90" w:type="dxa"/>
              <w:bottom w:w="90" w:type="dxa"/>
              <w:right w:w="90" w:type="dxa"/>
            </w:tcMar>
          </w:tcPr>
          <w:p>
            <w:pPr>
              <w:spacing w:after="0"/>
            </w:pPr>
            <w:r>
              <w:rPr>
                <w:b/>
                <w:sz w:val="16"/>
              </w:rPr>
              <w:t>Parameter</w:t>
            </w:r>
          </w:p>
        </w:tc>
        <w:tc>
          <w:tcPr>
            <w:tcW w:type="dxa" w:w="4680"/>
            <w:vAlign w:val="center"/>
            <w:shd w:fill="DDE6EF"/>
            <w:tcMar>
              <w:top w:w="90" w:type="dxa"/>
              <w:left w:w="90" w:type="dxa"/>
              <w:bottom w:w="90" w:type="dxa"/>
              <w:right w:w="90" w:type="dxa"/>
            </w:tcMar>
          </w:tcPr>
          <w:p>
            <w:pPr>
              <w:spacing w:after="0"/>
            </w:pPr>
            <w:r>
              <w:rPr>
                <w:b/>
                <w:sz w:val="16"/>
              </w:rPr>
              <w:t>Preliminary requirement / target</w:t>
            </w:r>
          </w:p>
        </w:tc>
      </w:tr>
      <w:tr>
        <w:tc>
          <w:tcPr>
            <w:tcW w:type="dxa" w:w="4680"/>
            <w:vAlign w:val="center"/>
            <w:tcMar>
              <w:top w:w="90" w:type="dxa"/>
              <w:left w:w="90" w:type="dxa"/>
              <w:bottom w:w="90" w:type="dxa"/>
              <w:right w:w="90" w:type="dxa"/>
            </w:tcMar>
          </w:tcPr>
          <w:p>
            <w:pPr>
              <w:spacing w:after="0"/>
            </w:pPr>
            <w:r>
              <w:rPr>
                <w:sz w:val="16"/>
              </w:rPr>
              <w:t>Calibration type</w:t>
            </w:r>
          </w:p>
        </w:tc>
        <w:tc>
          <w:tcPr>
            <w:tcW w:type="dxa" w:w="4680"/>
            <w:vAlign w:val="center"/>
            <w:tcMar>
              <w:top w:w="90" w:type="dxa"/>
              <w:left w:w="90" w:type="dxa"/>
              <w:bottom w:w="90" w:type="dxa"/>
              <w:right w:w="90" w:type="dxa"/>
            </w:tcMar>
          </w:tcPr>
          <w:p>
            <w:pPr>
              <w:spacing w:after="0"/>
            </w:pPr>
            <w:r>
              <w:rPr>
                <w:sz w:val="16"/>
              </w:rPr>
              <w:t>Radiometric, geometric, biological, material or electrical as applicable</w:t>
            </w:r>
          </w:p>
        </w:tc>
      </w:tr>
      <w:tr>
        <w:tc>
          <w:tcPr>
            <w:tcW w:type="dxa" w:w="4680"/>
            <w:vAlign w:val="center"/>
            <w:shd w:fill="F6F8FA"/>
            <w:tcMar>
              <w:top w:w="90" w:type="dxa"/>
              <w:left w:w="90" w:type="dxa"/>
              <w:bottom w:w="90" w:type="dxa"/>
              <w:right w:w="90" w:type="dxa"/>
            </w:tcMar>
          </w:tcPr>
          <w:p>
            <w:pPr>
              <w:spacing w:after="0"/>
            </w:pPr>
            <w:r>
              <w:rPr>
                <w:sz w:val="16"/>
              </w:rPr>
              <w:t>Primary reference</w:t>
            </w:r>
          </w:p>
        </w:tc>
        <w:tc>
          <w:tcPr>
            <w:tcW w:type="dxa" w:w="4680"/>
            <w:vAlign w:val="center"/>
            <w:shd w:fill="F6F8FA"/>
            <w:tcMar>
              <w:top w:w="90" w:type="dxa"/>
              <w:left w:w="90" w:type="dxa"/>
              <w:bottom w:w="90" w:type="dxa"/>
              <w:right w:w="90" w:type="dxa"/>
            </w:tcMar>
          </w:tcPr>
          <w:p>
            <w:pPr>
              <w:spacing w:after="0"/>
            </w:pPr>
            <w:r>
              <w:rPr>
                <w:sz w:val="16"/>
              </w:rPr>
              <w:t>Fluid metrology suite</w:t>
            </w:r>
          </w:p>
        </w:tc>
      </w:tr>
      <w:tr>
        <w:tc>
          <w:tcPr>
            <w:tcW w:type="dxa" w:w="4680"/>
            <w:vAlign w:val="center"/>
            <w:tcMar>
              <w:top w:w="90" w:type="dxa"/>
              <w:left w:w="90" w:type="dxa"/>
              <w:bottom w:w="90" w:type="dxa"/>
              <w:right w:w="90" w:type="dxa"/>
            </w:tcMar>
          </w:tcPr>
          <w:p>
            <w:pPr>
              <w:spacing w:after="0"/>
            </w:pPr>
            <w:r>
              <w:rPr>
                <w:sz w:val="16"/>
              </w:rPr>
              <w:t>Frequency</w:t>
            </w:r>
          </w:p>
        </w:tc>
        <w:tc>
          <w:tcPr>
            <w:tcW w:type="dxa" w:w="4680"/>
            <w:vAlign w:val="center"/>
            <w:tcMar>
              <w:top w:w="90" w:type="dxa"/>
              <w:left w:w="90" w:type="dxa"/>
              <w:bottom w:w="90" w:type="dxa"/>
              <w:right w:w="90" w:type="dxa"/>
            </w:tcMar>
          </w:tcPr>
          <w:p>
            <w:pPr>
              <w:spacing w:after="0"/>
            </w:pPr>
            <w:r>
              <w:rPr>
                <w:sz w:val="16"/>
              </w:rPr>
              <w:t>At commissioning, after anomaly and on a scheduled monthly cadence</w:t>
            </w:r>
          </w:p>
        </w:tc>
      </w:tr>
      <w:tr>
        <w:tc>
          <w:tcPr>
            <w:tcW w:type="dxa" w:w="4680"/>
            <w:vAlign w:val="center"/>
            <w:shd w:fill="F6F8FA"/>
            <w:tcMar>
              <w:top w:w="90" w:type="dxa"/>
              <w:left w:w="90" w:type="dxa"/>
              <w:bottom w:w="90" w:type="dxa"/>
              <w:right w:w="90" w:type="dxa"/>
            </w:tcMar>
          </w:tcPr>
          <w:p>
            <w:pPr>
              <w:spacing w:after="0"/>
            </w:pPr>
            <w:r>
              <w:rPr>
                <w:sz w:val="16"/>
              </w:rPr>
              <w:t>Environmental dependency</w:t>
            </w:r>
          </w:p>
        </w:tc>
        <w:tc>
          <w:tcPr>
            <w:tcW w:type="dxa" w:w="4680"/>
            <w:vAlign w:val="center"/>
            <w:shd w:fill="F6F8FA"/>
            <w:tcMar>
              <w:top w:w="90" w:type="dxa"/>
              <w:left w:w="90" w:type="dxa"/>
              <w:bottom w:w="90" w:type="dxa"/>
              <w:right w:w="90" w:type="dxa"/>
            </w:tcMar>
          </w:tcPr>
          <w:p>
            <w:pPr>
              <w:spacing w:after="0"/>
            </w:pPr>
            <w:r>
              <w:rPr>
                <w:sz w:val="16"/>
              </w:rPr>
              <w:t>Two-stage multilayer insulation and 8 W heat lift at 90 K; stable segment requires ≤0.05 kg/day net loss from 100 kg fluid.</w:t>
            </w:r>
          </w:p>
        </w:tc>
      </w:tr>
      <w:tr>
        <w:tc>
          <w:tcPr>
            <w:tcW w:type="dxa" w:w="4680"/>
            <w:vAlign w:val="center"/>
            <w:tcMar>
              <w:top w:w="90" w:type="dxa"/>
              <w:left w:w="90" w:type="dxa"/>
              <w:bottom w:w="90" w:type="dxa"/>
              <w:right w:w="90" w:type="dxa"/>
            </w:tcMar>
          </w:tcPr>
          <w:p>
            <w:pPr>
              <w:spacing w:after="0"/>
            </w:pPr>
            <w:r>
              <w:rPr>
                <w:sz w:val="16"/>
              </w:rPr>
              <w:t>Long-term drift</w:t>
            </w:r>
          </w:p>
        </w:tc>
        <w:tc>
          <w:tcPr>
            <w:tcW w:type="dxa" w:w="4680"/>
            <w:vAlign w:val="center"/>
            <w:tcMar>
              <w:top w:w="90" w:type="dxa"/>
              <w:left w:w="90" w:type="dxa"/>
              <w:bottom w:w="90" w:type="dxa"/>
              <w:right w:w="90" w:type="dxa"/>
            </w:tcMar>
          </w:tcPr>
          <w:p>
            <w:pPr>
              <w:spacing w:after="0"/>
            </w:pPr>
            <w:r>
              <w:rPr>
                <w:sz w:val="16"/>
              </w:rPr>
              <w:t>Trend against accepted reference and flag &gt;2% unexplained change</w:t>
            </w:r>
          </w:p>
        </w:tc>
      </w:tr>
      <w:tr>
        <w:tc>
          <w:tcPr>
            <w:tcW w:type="dxa" w:w="4680"/>
            <w:vAlign w:val="center"/>
            <w:shd w:fill="F6F8FA"/>
            <w:tcMar>
              <w:top w:w="90" w:type="dxa"/>
              <w:left w:w="90" w:type="dxa"/>
              <w:bottom w:w="90" w:type="dxa"/>
              <w:right w:w="90" w:type="dxa"/>
            </w:tcMar>
          </w:tcPr>
          <w:p>
            <w:pPr>
              <w:spacing w:after="0"/>
            </w:pPr>
            <w:r>
              <w:rPr>
                <w:sz w:val="16"/>
              </w:rPr>
              <w:t>Data linkage</w:t>
            </w:r>
          </w:p>
        </w:tc>
        <w:tc>
          <w:tcPr>
            <w:tcW w:type="dxa" w:w="4680"/>
            <w:vAlign w:val="center"/>
            <w:shd w:fill="F6F8FA"/>
            <w:tcMar>
              <w:top w:w="90" w:type="dxa"/>
              <w:left w:w="90" w:type="dxa"/>
              <w:bottom w:w="90" w:type="dxa"/>
              <w:right w:w="90" w:type="dxa"/>
            </w:tcMar>
          </w:tcPr>
          <w:p>
            <w:pPr>
              <w:spacing w:after="0"/>
            </w:pPr>
            <w:r>
              <w:rPr>
                <w:sz w:val="16"/>
              </w:rPr>
              <w:t>100% released products identify applicable calibration version</w:t>
            </w:r>
          </w:p>
        </w:tc>
      </w:tr>
      <w:tr>
        <w:tc>
          <w:tcPr>
            <w:tcW w:type="dxa" w:w="4680"/>
            <w:vAlign w:val="center"/>
            <w:tcMar>
              <w:top w:w="90" w:type="dxa"/>
              <w:left w:w="90" w:type="dxa"/>
              <w:bottom w:w="90" w:type="dxa"/>
              <w:right w:w="90" w:type="dxa"/>
            </w:tcMar>
          </w:tcPr>
          <w:p>
            <w:pPr>
              <w:spacing w:after="0"/>
            </w:pPr>
            <w:r>
              <w:rPr>
                <w:sz w:val="16"/>
              </w:rPr>
              <w:t>Independent verification</w:t>
            </w:r>
          </w:p>
        </w:tc>
        <w:tc>
          <w:tcPr>
            <w:tcW w:type="dxa" w:w="4680"/>
            <w:vAlign w:val="center"/>
            <w:tcMar>
              <w:top w:w="90" w:type="dxa"/>
              <w:left w:w="90" w:type="dxa"/>
              <w:bottom w:w="90" w:type="dxa"/>
              <w:right w:w="90" w:type="dxa"/>
            </w:tcMar>
          </w:tcPr>
          <w:p>
            <w:pPr>
              <w:spacing w:after="0"/>
            </w:pPr>
            <w:r>
              <w:rPr>
                <w:sz w:val="16"/>
              </w:rPr>
              <w:t>Recheck with Cryocooler and transfer loop</w:t>
            </w:r>
          </w:p>
        </w:tc>
      </w:tr>
      <w:tr>
        <w:tc>
          <w:tcPr>
            <w:tcW w:type="dxa" w:w="4680"/>
            <w:vAlign w:val="center"/>
            <w:shd w:fill="F6F8FA"/>
            <w:tcMar>
              <w:top w:w="90" w:type="dxa"/>
              <w:left w:w="90" w:type="dxa"/>
              <w:bottom w:w="90" w:type="dxa"/>
              <w:right w:w="90" w:type="dxa"/>
            </w:tcMar>
          </w:tcPr>
          <w:p>
            <w:pPr>
              <w:spacing w:after="0"/>
            </w:pPr>
            <w:r>
              <w:rPr>
                <w:sz w:val="16"/>
              </w:rPr>
              <w:t>Instrument monitoring</w:t>
            </w:r>
          </w:p>
        </w:tc>
        <w:tc>
          <w:tcPr>
            <w:tcW w:type="dxa" w:w="4680"/>
            <w:vAlign w:val="center"/>
            <w:shd w:fill="F6F8FA"/>
            <w:tcMar>
              <w:top w:w="90" w:type="dxa"/>
              <w:left w:w="90" w:type="dxa"/>
              <w:bottom w:w="90" w:type="dxa"/>
              <w:right w:w="90" w:type="dxa"/>
            </w:tcMar>
          </w:tcPr>
          <w:p>
            <w:pPr>
              <w:spacing w:after="0"/>
            </w:pPr>
            <w:r>
              <w:rPr>
                <w:sz w:val="16"/>
              </w:rPr>
              <w:t>On each operating cycle</w:t>
            </w:r>
          </w:p>
        </w:tc>
      </w:tr>
      <w:tr>
        <w:tc>
          <w:tcPr>
            <w:tcW w:type="dxa" w:w="4680"/>
            <w:vAlign w:val="center"/>
            <w:tcMar>
              <w:top w:w="90" w:type="dxa"/>
              <w:left w:w="90" w:type="dxa"/>
              <w:bottom w:w="90" w:type="dxa"/>
              <w:right w:w="90" w:type="dxa"/>
            </w:tcMar>
          </w:tcPr>
          <w:p>
            <w:pPr>
              <w:spacing w:after="0"/>
            </w:pPr>
            <w:r>
              <w:rPr>
                <w:sz w:val="16"/>
              </w:rPr>
              <w:t>Mass / power</w:t>
            </w:r>
          </w:p>
        </w:tc>
        <w:tc>
          <w:tcPr>
            <w:tcW w:type="dxa" w:w="4680"/>
            <w:vAlign w:val="center"/>
            <w:tcMar>
              <w:top w:w="90" w:type="dxa"/>
              <w:left w:w="90" w:type="dxa"/>
              <w:bottom w:w="90" w:type="dxa"/>
              <w:right w:w="90" w:type="dxa"/>
            </w:tcMar>
          </w:tcPr>
          <w:p>
            <w:pPr>
              <w:spacing w:after="0"/>
            </w:pPr>
            <w:r>
              <w:rPr>
                <w:sz w:val="16"/>
              </w:rPr>
              <w:t>Within payload and system allocations</w:t>
            </w:r>
          </w:p>
        </w:tc>
      </w:tr>
    </w:tbl>
    <w:p>
      <w:pPr>
        <w:jc w:val="center"/>
      </w:pPr>
      <w:r>
        <w:drawing>
          <wp:inline xmlns:a="http://schemas.openxmlformats.org/drawingml/2006/main" xmlns:pic="http://schemas.openxmlformats.org/drawingml/2006/picture">
            <wp:extent cx="5852160" cy="1694329"/>
            <wp:docPr id="2" name="Picture 2"/>
            <wp:cNvGraphicFramePr>
              <a:graphicFrameLocks noChangeAspect="1"/>
            </wp:cNvGraphicFramePr>
            <a:graphic>
              <a:graphicData uri="http://schemas.openxmlformats.org/drawingml/2006/picture">
                <pic:pic>
                  <pic:nvPicPr>
                    <pic:cNvPr id="0" name="RCT_payload.png"/>
                    <pic:cNvPicPr/>
                  </pic:nvPicPr>
                  <pic:blipFill>
                    <a:blip r:embed="rId21"/>
                    <a:stretch>
                      <a:fillRect/>
                    </a:stretch>
                  </pic:blipFill>
                  <pic:spPr>
                    <a:xfrm>
                      <a:off x="0" y="0"/>
                      <a:ext cx="5852160" cy="1694329"/>
                    </a:xfrm>
                    <a:prstGeom prst="rect"/>
                  </pic:spPr>
                </pic:pic>
              </a:graphicData>
            </a:graphic>
          </wp:inline>
        </w:drawing>
      </w:r>
    </w:p>
    <w:p>
      <w:pPr>
        <w:pStyle w:val="Caption"/>
      </w:pPr>
      <w:r>
        <w:t>Figure 2 – Payload measurement and data path. Components and output interfaces are explicitly labeled.</w:t>
      </w:r>
    </w:p>
    <w:p>
      <w:pPr>
        <w:pStyle w:val="Heading1"/>
      </w:pPr>
      <w:r>
        <w:t>Launch Segment Description</w:t>
      </w:r>
    </w:p>
    <w:p>
      <w:pPr/>
      <w:r>
        <w:t>480 kg spacecraft + 80 kg adaptor = 560 kg; service capacity ≥700 kg to 700 km reference orbit</w:t>
      </w:r>
    </w:p>
    <w:p>
      <w:pPr/>
      <w:r>
        <w:t>Delivery pricing shall separately identify vehicle or carrier service, packaging and adaptor, loading and contamination controls, integration testing, range or landing support, insurance if applicable and post-delivery transition. Any mass carried by a host rather than the flight unit is shown as a separate line and is not double counted.</w:t>
      </w:r>
    </w:p>
    <w:p>
      <w:pPr/>
      <w:r>
        <w:t>The final delivery contractor verifies mechanical fit, safety, compatibility, deployment, insertion or landing dispersions and acceptance criteria. The mission team performs final health checks before the affected unit is declared operational.</w:t>
      </w:r>
    </w:p>
    <w:p>
      <w:pPr/>
      <w:r>
        <w:t>Delivery preparation includes controlled packing, shipment and receiving inspection, integrated electrical checkout, safety review, interface sign-off and a final readiness decision. The handover record separates damage observed before launch or cargo installation from anomalies in early operation.</w:t>
      </w:r>
    </w:p>
    <w:p>
      <w:pPr/>
      <w:r>
        <w:t>Any alternate provider must meet the same delivered mass, envelope, power-on sequence, schedule and injection or landing accuracy. A provider change triggers re-verification of coupled loads and mission-specific interfaces.</w:t>
      </w:r>
    </w:p>
    <w:p>
      <w:pPr>
        <w:pStyle w:val="Heading1"/>
      </w:pPr>
      <w:r>
        <w:t>Ground Segment and Mission Operations</w:t>
      </w:r>
    </w:p>
    <w:p>
      <w:pPr/>
      <w:r>
        <w:t>Three 7 m-class antenna sites; ≥15 GB/day ingest; 40 TB archive.</w:t>
      </w:r>
    </w:p>
    <w:p>
      <w:pPr/>
      <w:r>
        <w:t>At 60 Mb/s, 15 minutes yield 6.75 GB gross; 5 GB/day requires ≥74% effective payload throughput.</w:t>
      </w:r>
    </w:p>
    <w:tbl>
      <w:tblPr>
        <w:tblStyle w:val="TableGrid"/>
        <w:tblW w:type="auto" w:w="0"/>
        <w:jc w:val="center"/>
        <w:tblLayout w:type="fixed"/>
        <w:tblLook w:firstColumn="1" w:firstRow="1" w:lastColumn="0" w:lastRow="0" w:noHBand="0" w:noVBand="1" w:val="04A0"/>
      </w:tblPr>
      <w:tblGrid>
        <w:gridCol w:w="3168"/>
        <w:gridCol w:w="5760"/>
      </w:tblGrid>
      <w:tr>
        <w:trPr>
          <w:tblHeader w:val="true"/>
        </w:trPr>
        <w:tc>
          <w:tcPr>
            <w:tcW w:type="dxa" w:w="4680"/>
            <w:vAlign w:val="center"/>
            <w:shd w:fill="DDE6EF"/>
            <w:tcMar>
              <w:top w:w="90" w:type="dxa"/>
              <w:left w:w="90" w:type="dxa"/>
              <w:bottom w:w="90" w:type="dxa"/>
              <w:right w:w="90" w:type="dxa"/>
            </w:tcMar>
          </w:tcPr>
          <w:p>
            <w:pPr>
              <w:spacing w:after="0"/>
            </w:pPr>
            <w:r>
              <w:rPr>
                <w:b/>
                <w:sz w:val="16"/>
              </w:rPr>
              <w:t>Ground Segment Element</w:t>
            </w:r>
          </w:p>
        </w:tc>
        <w:tc>
          <w:tcPr>
            <w:tcW w:type="dxa" w:w="4680"/>
            <w:vAlign w:val="center"/>
            <w:shd w:fill="DDE6EF"/>
            <w:tcMar>
              <w:top w:w="90" w:type="dxa"/>
              <w:left w:w="90" w:type="dxa"/>
              <w:bottom w:w="90" w:type="dxa"/>
              <w:right w:w="90" w:type="dxa"/>
            </w:tcMar>
          </w:tcPr>
          <w:p>
            <w:pPr>
              <w:spacing w:after="0"/>
            </w:pPr>
            <w:r>
              <w:rPr>
                <w:b/>
                <w:sz w:val="16"/>
              </w:rPr>
              <w:t>Description</w:t>
            </w:r>
          </w:p>
        </w:tc>
      </w:tr>
      <w:tr>
        <w:tc>
          <w:tcPr>
            <w:tcW w:type="dxa" w:w="4680"/>
            <w:vAlign w:val="center"/>
            <w:tcMar>
              <w:top w:w="90" w:type="dxa"/>
              <w:left w:w="90" w:type="dxa"/>
              <w:bottom w:w="90" w:type="dxa"/>
              <w:right w:w="90" w:type="dxa"/>
            </w:tcMar>
          </w:tcPr>
          <w:p>
            <w:pPr>
              <w:spacing w:after="0"/>
            </w:pPr>
            <w:r>
              <w:rPr>
                <w:sz w:val="16"/>
              </w:rPr>
              <w:t>Mission Planning System</w:t>
            </w:r>
          </w:p>
        </w:tc>
        <w:tc>
          <w:tcPr>
            <w:tcW w:type="dxa" w:w="4680"/>
            <w:vAlign w:val="center"/>
            <w:tcMar>
              <w:top w:w="90" w:type="dxa"/>
              <w:left w:w="90" w:type="dxa"/>
              <w:bottom w:w="90" w:type="dxa"/>
              <w:right w:w="90" w:type="dxa"/>
            </w:tcMar>
          </w:tcPr>
          <w:p>
            <w:pPr>
              <w:spacing w:after="0"/>
            </w:pPr>
            <w:r>
              <w:rPr>
                <w:sz w:val="16"/>
              </w:rPr>
              <w:t>Schedules commanded measurement, service or observation periods and checks resource constraints.</w:t>
            </w:r>
          </w:p>
        </w:tc>
      </w:tr>
      <w:tr>
        <w:tc>
          <w:tcPr>
            <w:tcW w:type="dxa" w:w="4680"/>
            <w:vAlign w:val="center"/>
            <w:shd w:fill="F6F8FA"/>
            <w:tcMar>
              <w:top w:w="90" w:type="dxa"/>
              <w:left w:w="90" w:type="dxa"/>
              <w:bottom w:w="90" w:type="dxa"/>
              <w:right w:w="90" w:type="dxa"/>
            </w:tcMar>
          </w:tcPr>
          <w:p>
            <w:pPr>
              <w:spacing w:after="0"/>
            </w:pPr>
            <w:r>
              <w:rPr>
                <w:sz w:val="16"/>
              </w:rPr>
              <w:t>Control System</w:t>
            </w:r>
          </w:p>
        </w:tc>
        <w:tc>
          <w:tcPr>
            <w:tcW w:type="dxa" w:w="4680"/>
            <w:vAlign w:val="center"/>
            <w:shd w:fill="F6F8FA"/>
            <w:tcMar>
              <w:top w:w="90" w:type="dxa"/>
              <w:left w:w="90" w:type="dxa"/>
              <w:bottom w:w="90" w:type="dxa"/>
              <w:right w:w="90" w:type="dxa"/>
            </w:tcMar>
          </w:tcPr>
          <w:p>
            <w:pPr>
              <w:spacing w:after="0"/>
            </w:pPr>
            <w:r>
              <w:rPr>
                <w:sz w:val="16"/>
              </w:rPr>
              <w:t>Monitors status, authorizes command, handles anomaly response and keeps configuration history.</w:t>
            </w:r>
          </w:p>
        </w:tc>
      </w:tr>
      <w:tr>
        <w:tc>
          <w:tcPr>
            <w:tcW w:type="dxa" w:w="4680"/>
            <w:vAlign w:val="center"/>
            <w:tcMar>
              <w:top w:w="90" w:type="dxa"/>
              <w:left w:w="90" w:type="dxa"/>
              <w:bottom w:w="90" w:type="dxa"/>
              <w:right w:w="90" w:type="dxa"/>
            </w:tcMar>
          </w:tcPr>
          <w:p>
            <w:pPr>
              <w:spacing w:after="0"/>
            </w:pPr>
            <w:r>
              <w:rPr>
                <w:sz w:val="16"/>
              </w:rPr>
              <w:t>Receiving Stations / Host Link</w:t>
            </w:r>
          </w:p>
        </w:tc>
        <w:tc>
          <w:tcPr>
            <w:tcW w:type="dxa" w:w="4680"/>
            <w:vAlign w:val="center"/>
            <w:tcMar>
              <w:top w:w="90" w:type="dxa"/>
              <w:left w:w="90" w:type="dxa"/>
              <w:bottom w:w="90" w:type="dxa"/>
              <w:right w:w="90" w:type="dxa"/>
            </w:tcMar>
          </w:tcPr>
          <w:p>
            <w:pPr>
              <w:spacing w:after="0"/>
            </w:pPr>
            <w:r>
              <w:rPr>
                <w:sz w:val="16"/>
              </w:rPr>
              <w:t>Three 7 m-class antenna sites; ≥15 GB/day ingest; 40 TB archive.</w:t>
            </w:r>
          </w:p>
        </w:tc>
      </w:tr>
      <w:tr>
        <w:tc>
          <w:tcPr>
            <w:tcW w:type="dxa" w:w="4680"/>
            <w:vAlign w:val="center"/>
            <w:shd w:fill="F6F8FA"/>
            <w:tcMar>
              <w:top w:w="90" w:type="dxa"/>
              <w:left w:w="90" w:type="dxa"/>
              <w:bottom w:w="90" w:type="dxa"/>
              <w:right w:w="90" w:type="dxa"/>
            </w:tcMar>
          </w:tcPr>
          <w:p>
            <w:pPr>
              <w:spacing w:after="0"/>
            </w:pPr>
            <w:r>
              <w:rPr>
                <w:sz w:val="16"/>
              </w:rPr>
              <w:t>Operations Team</w:t>
            </w:r>
          </w:p>
        </w:tc>
        <w:tc>
          <w:tcPr>
            <w:tcW w:type="dxa" w:w="4680"/>
            <w:vAlign w:val="center"/>
            <w:shd w:fill="F6F8FA"/>
            <w:tcMar>
              <w:top w:w="90" w:type="dxa"/>
              <w:left w:w="90" w:type="dxa"/>
              <w:bottom w:w="90" w:type="dxa"/>
              <w:right w:w="90" w:type="dxa"/>
            </w:tcMar>
          </w:tcPr>
          <w:p>
            <w:pPr>
              <w:spacing w:after="0"/>
            </w:pPr>
            <w:r>
              <w:rPr>
                <w:sz w:val="16"/>
              </w:rPr>
              <w:t>Staffed planned operations with automated alarm and on-call response.</w:t>
            </w:r>
          </w:p>
        </w:tc>
      </w:tr>
      <w:tr>
        <w:tc>
          <w:tcPr>
            <w:tcW w:type="dxa" w:w="4680"/>
            <w:vAlign w:val="center"/>
            <w:tcMar>
              <w:top w:w="90" w:type="dxa"/>
              <w:left w:w="90" w:type="dxa"/>
              <w:bottom w:w="90" w:type="dxa"/>
              <w:right w:w="90" w:type="dxa"/>
            </w:tcMar>
          </w:tcPr>
          <w:p>
            <w:pPr>
              <w:spacing w:after="0"/>
            </w:pPr>
            <w:r>
              <w:rPr>
                <w:sz w:val="16"/>
              </w:rPr>
              <w:t>Processing and Archive</w:t>
            </w:r>
          </w:p>
        </w:tc>
        <w:tc>
          <w:tcPr>
            <w:tcW w:type="dxa" w:w="4680"/>
            <w:vAlign w:val="center"/>
            <w:tcMar>
              <w:top w:w="90" w:type="dxa"/>
              <w:left w:w="90" w:type="dxa"/>
              <w:bottom w:w="90" w:type="dxa"/>
              <w:right w:w="90" w:type="dxa"/>
            </w:tcMar>
          </w:tcPr>
          <w:p>
            <w:pPr>
              <w:spacing w:after="0"/>
            </w:pPr>
            <w:r>
              <w:rPr>
                <w:sz w:val="16"/>
              </w:rPr>
              <w:t>Level 0 packet retention; Level 1 calibration; Level 2 products with preserved lineage.</w:t>
            </w:r>
          </w:p>
        </w:tc>
      </w:tr>
      <w:tr>
        <w:tc>
          <w:tcPr>
            <w:tcW w:type="dxa" w:w="4680"/>
            <w:vAlign w:val="center"/>
            <w:shd w:fill="F6F8FA"/>
            <w:tcMar>
              <w:top w:w="90" w:type="dxa"/>
              <w:left w:w="90" w:type="dxa"/>
              <w:bottom w:w="90" w:type="dxa"/>
              <w:right w:w="90" w:type="dxa"/>
            </w:tcMar>
          </w:tcPr>
          <w:p>
            <w:pPr>
              <w:spacing w:after="0"/>
            </w:pPr>
            <w:r>
              <w:rPr>
                <w:sz w:val="16"/>
              </w:rPr>
              <w:t>Data Volume / Availability</w:t>
            </w:r>
          </w:p>
        </w:tc>
        <w:tc>
          <w:tcPr>
            <w:tcW w:type="dxa" w:w="4680"/>
            <w:vAlign w:val="center"/>
            <w:shd w:fill="F6F8FA"/>
            <w:tcMar>
              <w:top w:w="90" w:type="dxa"/>
              <w:left w:w="90" w:type="dxa"/>
              <w:bottom w:w="90" w:type="dxa"/>
              <w:right w:w="90" w:type="dxa"/>
            </w:tcMar>
          </w:tcPr>
          <w:p>
            <w:pPr>
              <w:spacing w:after="0"/>
            </w:pPr>
            <w:r>
              <w:rPr>
                <w:sz w:val="16"/>
              </w:rPr>
              <w:t>5 GB/day experiment and housekeeping; scheduled ground service availability ≥99%.</w:t>
            </w:r>
          </w:p>
        </w:tc>
      </w:tr>
    </w:tbl>
    <w:p>
      <w:pPr/>
      <w:r>
        <w:t>The daily return is 5 GB/day experiment and housekeeping. Downlink capacity and stored-data volume shall close under a minimum 48-hour missed-contact case, except where host operations impose a different approved case. Science release depends on validation, access permissions and a documented reprocessing path.</w:t>
      </w:r>
    </w:p>
    <w:p>
      <w:pPr/>
      <w:r>
        <w:t>Mission operations include daily planning, health trending, commands, flight dynamics or host status, calibrated processing, anomaly resolution and archive integrity. Nominal staffing is a planned shift with continuous alarm routing; time-critical encounters or crew procedures require separate surge coverage.</w:t>
      </w:r>
    </w:p>
    <w:p>
      <w:pPr/>
      <w:r>
        <w:t>The data archive retains source packets, released products, calibration files, algorithm version and exceptions. Capacity in Three 7 m-class antenna sites; ≥15 GB/day ingest; 40 TB archive. is a planning provision that shall be verified against years of operation, replication and reprocessing.</w:t>
      </w:r>
    </w:p>
    <w:p>
      <w:pPr>
        <w:pStyle w:val="Heading1"/>
      </w:pPr>
      <w:r>
        <w:t>Systems Engineering and Project Management Approach</w:t>
      </w:r>
    </w:p>
    <w:p>
      <w:pPr>
        <w:pStyle w:val="Heading2"/>
      </w:pPr>
      <w:r>
        <w:t>TRL Levels and Heritage</w:t>
      </w:r>
    </w:p>
    <w:p>
      <w:pPr/>
      <w:r>
        <w:t>A similar component class does not establish mission-specific qualification. Critical payload, software, biological, medical or manufacturing elements target TRL 6 at PDR and TRL 8 before acceptance. The evidence register identifies the exact hardware/software configuration, environment and remaining work for each claim.</w:t>
      </w:r>
    </w:p>
    <w:p>
      <w:pPr>
        <w:pStyle w:val="Heading2"/>
      </w:pPr>
      <w:r>
        <w:t>Phasing Logic and Naming Conventions</w:t>
      </w:r>
    </w:p>
    <w:p>
      <w:pPr>
        <w:pStyle w:val="BodyText"/>
      </w:pPr>
      <w:r>
        <w:t>The costing convention separates early concept work, definition, design, subsystem manufacture and test, system integration, delivery, commissioning, nominal operations and closeout. Phase labels are mapped to the project schedule in Part C.</w:t>
      </w:r>
    </w:p>
    <w:p>
      <w:pPr>
        <w:pStyle w:val="Caption"/>
      </w:pPr>
      <w:r>
        <w:t>Table 3 – Costing Phase Crosswalk</w:t>
      </w:r>
    </w:p>
    <w:tbl>
      <w:tblPr>
        <w:tblStyle w:val="TableGrid"/>
        <w:tblW w:type="auto" w:w="0"/>
        <w:jc w:val="center"/>
        <w:tblLayout w:type="fixed"/>
        <w:tblLook w:firstColumn="1" w:firstRow="1" w:lastColumn="0" w:lastRow="0" w:noHBand="0" w:noVBand="1" w:val="04A0"/>
      </w:tblPr>
      <w:tblGrid>
        <w:gridCol w:w="1872"/>
        <w:gridCol w:w="4032"/>
        <w:gridCol w:w="3168"/>
      </w:tblGrid>
      <w:tr>
        <w:trPr>
          <w:tblHeader w:val="true"/>
        </w:trPr>
        <w:tc>
          <w:tcPr>
            <w:tcW w:type="dxa" w:w="3120"/>
            <w:vAlign w:val="center"/>
            <w:shd w:fill="DDE6EF"/>
            <w:tcMar>
              <w:top w:w="90" w:type="dxa"/>
              <w:left w:w="90" w:type="dxa"/>
              <w:bottom w:w="90" w:type="dxa"/>
              <w:right w:w="90" w:type="dxa"/>
            </w:tcMar>
          </w:tcPr>
          <w:p>
            <w:pPr>
              <w:spacing w:after="0"/>
            </w:pPr>
            <w:r>
              <w:rPr>
                <w:b/>
                <w:sz w:val="16"/>
              </w:rPr>
              <w:t>Costing nomenclature</w:t>
            </w:r>
          </w:p>
        </w:tc>
        <w:tc>
          <w:tcPr>
            <w:tcW w:type="dxa" w:w="3120"/>
            <w:vAlign w:val="center"/>
            <w:shd w:fill="DDE6EF"/>
            <w:tcMar>
              <w:top w:w="90" w:type="dxa"/>
              <w:left w:w="90" w:type="dxa"/>
              <w:bottom w:w="90" w:type="dxa"/>
              <w:right w:w="90" w:type="dxa"/>
            </w:tcMar>
          </w:tcPr>
          <w:p>
            <w:pPr>
              <w:spacing w:after="0"/>
            </w:pPr>
            <w:r>
              <w:rPr>
                <w:b/>
                <w:sz w:val="16"/>
              </w:rPr>
              <w:t>Phase description</w:t>
            </w:r>
          </w:p>
        </w:tc>
        <w:tc>
          <w:tcPr>
            <w:tcW w:type="dxa" w:w="3120"/>
            <w:vAlign w:val="center"/>
            <w:shd w:fill="DDE6EF"/>
            <w:tcMar>
              <w:top w:w="90" w:type="dxa"/>
              <w:left w:w="90" w:type="dxa"/>
              <w:bottom w:w="90" w:type="dxa"/>
              <w:right w:w="90" w:type="dxa"/>
            </w:tcMar>
          </w:tcPr>
          <w:p>
            <w:pPr>
              <w:spacing w:after="0"/>
            </w:pPr>
            <w:r>
              <w:rPr>
                <w:b/>
                <w:sz w:val="16"/>
              </w:rPr>
              <w:t>Project name</w:t>
            </w:r>
          </w:p>
        </w:tc>
      </w:tr>
      <w:tr>
        <w:tc>
          <w:tcPr>
            <w:tcW w:type="dxa" w:w="3120"/>
            <w:vAlign w:val="center"/>
            <w:tcMar>
              <w:top w:w="90" w:type="dxa"/>
              <w:left w:w="90" w:type="dxa"/>
              <w:bottom w:w="90" w:type="dxa"/>
              <w:right w:w="90" w:type="dxa"/>
            </w:tcMar>
          </w:tcPr>
          <w:p>
            <w:pPr>
              <w:spacing w:after="0"/>
            </w:pPr>
            <w:r>
              <w:rPr>
                <w:sz w:val="16"/>
              </w:rPr>
              <w:t>PREP 1</w:t>
            </w:r>
          </w:p>
        </w:tc>
        <w:tc>
          <w:tcPr>
            <w:tcW w:type="dxa" w:w="3120"/>
            <w:vAlign w:val="center"/>
            <w:tcMar>
              <w:top w:w="90" w:type="dxa"/>
              <w:left w:w="90" w:type="dxa"/>
              <w:bottom w:w="90" w:type="dxa"/>
              <w:right w:w="90" w:type="dxa"/>
            </w:tcMar>
          </w:tcPr>
          <w:p>
            <w:pPr>
              <w:spacing w:after="0"/>
            </w:pPr>
            <w:r>
              <w:rPr>
                <w:sz w:val="16"/>
              </w:rPr>
              <w:t>Pre-gate prototyping</w:t>
            </w:r>
          </w:p>
        </w:tc>
        <w:tc>
          <w:tcPr>
            <w:tcW w:type="dxa" w:w="3120"/>
            <w:vAlign w:val="center"/>
            <w:tcMar>
              <w:top w:w="90" w:type="dxa"/>
              <w:left w:w="90" w:type="dxa"/>
              <w:bottom w:w="90" w:type="dxa"/>
              <w:right w:w="90" w:type="dxa"/>
            </w:tcMar>
          </w:tcPr>
          <w:p>
            <w:pPr>
              <w:spacing w:after="0"/>
            </w:pPr>
            <w:r>
              <w:rPr>
                <w:sz w:val="16"/>
              </w:rPr>
              <w:t>Technology maturation</w:t>
            </w:r>
          </w:p>
        </w:tc>
      </w:tr>
      <w:tr>
        <w:tc>
          <w:tcPr>
            <w:tcW w:type="dxa" w:w="3120"/>
            <w:vAlign w:val="center"/>
            <w:shd w:fill="F6F8FA"/>
            <w:tcMar>
              <w:top w:w="90" w:type="dxa"/>
              <w:left w:w="90" w:type="dxa"/>
              <w:bottom w:w="90" w:type="dxa"/>
              <w:right w:w="90" w:type="dxa"/>
            </w:tcMar>
          </w:tcPr>
          <w:p>
            <w:pPr>
              <w:spacing w:after="0"/>
            </w:pPr>
            <w:r>
              <w:rPr>
                <w:sz w:val="16"/>
              </w:rPr>
              <w:t>PREP 2</w:t>
            </w:r>
          </w:p>
        </w:tc>
        <w:tc>
          <w:tcPr>
            <w:tcW w:type="dxa" w:w="3120"/>
            <w:vAlign w:val="center"/>
            <w:shd w:fill="F6F8FA"/>
            <w:tcMar>
              <w:top w:w="90" w:type="dxa"/>
              <w:left w:w="90" w:type="dxa"/>
              <w:bottom w:w="90" w:type="dxa"/>
              <w:right w:w="90" w:type="dxa"/>
            </w:tcMar>
          </w:tcPr>
          <w:p>
            <w:pPr>
              <w:spacing w:after="0"/>
            </w:pPr>
            <w:r>
              <w:rPr>
                <w:sz w:val="16"/>
              </w:rPr>
              <w:t>Phase 0/A prototyping</w:t>
            </w:r>
          </w:p>
        </w:tc>
        <w:tc>
          <w:tcPr>
            <w:tcW w:type="dxa" w:w="3120"/>
            <w:vAlign w:val="center"/>
            <w:shd w:fill="F6F8FA"/>
            <w:tcMar>
              <w:top w:w="90" w:type="dxa"/>
              <w:left w:w="90" w:type="dxa"/>
              <w:bottom w:w="90" w:type="dxa"/>
              <w:right w:w="90" w:type="dxa"/>
            </w:tcMar>
          </w:tcPr>
          <w:p>
            <w:pPr>
              <w:spacing w:after="0"/>
            </w:pPr>
            <w:r>
              <w:rPr>
                <w:sz w:val="16"/>
              </w:rPr>
              <w:t>Concept demonstrations</w:t>
            </w:r>
          </w:p>
        </w:tc>
      </w:tr>
      <w:tr>
        <w:tc>
          <w:tcPr>
            <w:tcW w:type="dxa" w:w="3120"/>
            <w:vAlign w:val="center"/>
            <w:tcMar>
              <w:top w:w="90" w:type="dxa"/>
              <w:left w:w="90" w:type="dxa"/>
              <w:bottom w:w="90" w:type="dxa"/>
              <w:right w:w="90" w:type="dxa"/>
            </w:tcMar>
          </w:tcPr>
          <w:p>
            <w:pPr>
              <w:spacing w:after="0"/>
            </w:pPr>
            <w:r>
              <w:rPr>
                <w:sz w:val="16"/>
              </w:rPr>
              <w:t>Phase 0</w:t>
            </w:r>
          </w:p>
        </w:tc>
        <w:tc>
          <w:tcPr>
            <w:tcW w:type="dxa" w:w="3120"/>
            <w:vAlign w:val="center"/>
            <w:tcMar>
              <w:top w:w="90" w:type="dxa"/>
              <w:left w:w="90" w:type="dxa"/>
              <w:bottom w:w="90" w:type="dxa"/>
              <w:right w:w="90" w:type="dxa"/>
            </w:tcMar>
          </w:tcPr>
          <w:p>
            <w:pPr>
              <w:spacing w:after="0"/>
            </w:pPr>
            <w:r>
              <w:rPr>
                <w:sz w:val="16"/>
              </w:rPr>
              <w:t>Concept and feasibility</w:t>
            </w:r>
          </w:p>
        </w:tc>
        <w:tc>
          <w:tcPr>
            <w:tcW w:type="dxa" w:w="3120"/>
            <w:vAlign w:val="center"/>
            <w:tcMar>
              <w:top w:w="90" w:type="dxa"/>
              <w:left w:w="90" w:type="dxa"/>
              <w:bottom w:w="90" w:type="dxa"/>
              <w:right w:w="90" w:type="dxa"/>
            </w:tcMar>
          </w:tcPr>
          <w:p>
            <w:pPr>
              <w:spacing w:after="0"/>
            </w:pPr>
            <w:r>
              <w:rPr>
                <w:sz w:val="16"/>
              </w:rPr>
              <w:t>Concept</w:t>
            </w:r>
          </w:p>
        </w:tc>
      </w:tr>
      <w:tr>
        <w:tc>
          <w:tcPr>
            <w:tcW w:type="dxa" w:w="3120"/>
            <w:vAlign w:val="center"/>
            <w:shd w:fill="F6F8FA"/>
            <w:tcMar>
              <w:top w:w="90" w:type="dxa"/>
              <w:left w:w="90" w:type="dxa"/>
              <w:bottom w:w="90" w:type="dxa"/>
              <w:right w:w="90" w:type="dxa"/>
            </w:tcMar>
          </w:tcPr>
          <w:p>
            <w:pPr>
              <w:spacing w:after="0"/>
            </w:pPr>
            <w:r>
              <w:rPr>
                <w:sz w:val="16"/>
              </w:rPr>
              <w:t>Phase A</w:t>
            </w:r>
          </w:p>
        </w:tc>
        <w:tc>
          <w:tcPr>
            <w:tcW w:type="dxa" w:w="3120"/>
            <w:vAlign w:val="center"/>
            <w:shd w:fill="F6F8FA"/>
            <w:tcMar>
              <w:top w:w="90" w:type="dxa"/>
              <w:left w:w="90" w:type="dxa"/>
              <w:bottom w:w="90" w:type="dxa"/>
              <w:right w:w="90" w:type="dxa"/>
            </w:tcMar>
          </w:tcPr>
          <w:p>
            <w:pPr>
              <w:spacing w:after="0"/>
            </w:pPr>
            <w:r>
              <w:rPr>
                <w:sz w:val="16"/>
              </w:rPr>
              <w:t>System definition</w:t>
            </w:r>
          </w:p>
        </w:tc>
        <w:tc>
          <w:tcPr>
            <w:tcW w:type="dxa" w:w="3120"/>
            <w:vAlign w:val="center"/>
            <w:shd w:fill="F6F8FA"/>
            <w:tcMar>
              <w:top w:w="90" w:type="dxa"/>
              <w:left w:w="90" w:type="dxa"/>
              <w:bottom w:w="90" w:type="dxa"/>
              <w:right w:w="90" w:type="dxa"/>
            </w:tcMar>
          </w:tcPr>
          <w:p>
            <w:pPr>
              <w:spacing w:after="0"/>
            </w:pPr>
            <w:r>
              <w:rPr>
                <w:sz w:val="16"/>
              </w:rPr>
              <w:t>Definition</w:t>
            </w:r>
          </w:p>
        </w:tc>
      </w:tr>
      <w:tr>
        <w:tc>
          <w:tcPr>
            <w:tcW w:type="dxa" w:w="3120"/>
            <w:vAlign w:val="center"/>
            <w:tcMar>
              <w:top w:w="90" w:type="dxa"/>
              <w:left w:w="90" w:type="dxa"/>
              <w:bottom w:w="90" w:type="dxa"/>
              <w:right w:w="90" w:type="dxa"/>
            </w:tcMar>
          </w:tcPr>
          <w:p>
            <w:pPr>
              <w:spacing w:after="0"/>
            </w:pPr>
            <w:r>
              <w:rPr>
                <w:sz w:val="16"/>
              </w:rPr>
              <w:t>Phase B</w:t>
            </w:r>
          </w:p>
        </w:tc>
        <w:tc>
          <w:tcPr>
            <w:tcW w:type="dxa" w:w="3120"/>
            <w:vAlign w:val="center"/>
            <w:tcMar>
              <w:top w:w="90" w:type="dxa"/>
              <w:left w:w="90" w:type="dxa"/>
              <w:bottom w:w="90" w:type="dxa"/>
              <w:right w:w="90" w:type="dxa"/>
            </w:tcMar>
          </w:tcPr>
          <w:p>
            <w:pPr>
              <w:spacing w:after="0"/>
            </w:pPr>
            <w:r>
              <w:rPr>
                <w:sz w:val="16"/>
              </w:rPr>
              <w:t>Preliminary design</w:t>
            </w:r>
          </w:p>
        </w:tc>
        <w:tc>
          <w:tcPr>
            <w:tcW w:type="dxa" w:w="3120"/>
            <w:vAlign w:val="center"/>
            <w:tcMar>
              <w:top w:w="90" w:type="dxa"/>
              <w:left w:w="90" w:type="dxa"/>
              <w:bottom w:w="90" w:type="dxa"/>
              <w:right w:w="90" w:type="dxa"/>
            </w:tcMar>
          </w:tcPr>
          <w:p>
            <w:pPr>
              <w:spacing w:after="0"/>
            </w:pPr>
            <w:r>
              <w:rPr>
                <w:sz w:val="16"/>
              </w:rPr>
              <w:t>Preliminary design</w:t>
            </w:r>
          </w:p>
        </w:tc>
      </w:tr>
      <w:tr>
        <w:tc>
          <w:tcPr>
            <w:tcW w:type="dxa" w:w="3120"/>
            <w:vAlign w:val="center"/>
            <w:shd w:fill="F6F8FA"/>
            <w:tcMar>
              <w:top w:w="90" w:type="dxa"/>
              <w:left w:w="90" w:type="dxa"/>
              <w:bottom w:w="90" w:type="dxa"/>
              <w:right w:w="90" w:type="dxa"/>
            </w:tcMar>
          </w:tcPr>
          <w:p>
            <w:pPr>
              <w:spacing w:after="0"/>
            </w:pPr>
            <w:r>
              <w:rPr>
                <w:sz w:val="16"/>
              </w:rPr>
              <w:t>Phase C</w:t>
            </w:r>
          </w:p>
        </w:tc>
        <w:tc>
          <w:tcPr>
            <w:tcW w:type="dxa" w:w="3120"/>
            <w:vAlign w:val="center"/>
            <w:shd w:fill="F6F8FA"/>
            <w:tcMar>
              <w:top w:w="90" w:type="dxa"/>
              <w:left w:w="90" w:type="dxa"/>
              <w:bottom w:w="90" w:type="dxa"/>
              <w:right w:w="90" w:type="dxa"/>
            </w:tcMar>
          </w:tcPr>
          <w:p>
            <w:pPr>
              <w:spacing w:after="0"/>
            </w:pPr>
            <w:r>
              <w:rPr>
                <w:sz w:val="16"/>
              </w:rPr>
              <w:t>Detailed design</w:t>
            </w:r>
          </w:p>
        </w:tc>
        <w:tc>
          <w:tcPr>
            <w:tcW w:type="dxa" w:w="3120"/>
            <w:vAlign w:val="center"/>
            <w:shd w:fill="F6F8FA"/>
            <w:tcMar>
              <w:top w:w="90" w:type="dxa"/>
              <w:left w:w="90" w:type="dxa"/>
              <w:bottom w:w="90" w:type="dxa"/>
              <w:right w:w="90" w:type="dxa"/>
            </w:tcMar>
          </w:tcPr>
          <w:p>
            <w:pPr>
              <w:spacing w:after="0"/>
            </w:pPr>
            <w:r>
              <w:rPr>
                <w:sz w:val="16"/>
              </w:rPr>
              <w:t>Detailed design</w:t>
            </w:r>
          </w:p>
        </w:tc>
      </w:tr>
      <w:tr>
        <w:tc>
          <w:tcPr>
            <w:tcW w:type="dxa" w:w="3120"/>
            <w:vAlign w:val="center"/>
            <w:tcMar>
              <w:top w:w="90" w:type="dxa"/>
              <w:left w:w="90" w:type="dxa"/>
              <w:bottom w:w="90" w:type="dxa"/>
              <w:right w:w="90" w:type="dxa"/>
            </w:tcMar>
          </w:tcPr>
          <w:p>
            <w:pPr>
              <w:spacing w:after="0"/>
            </w:pPr>
            <w:r>
              <w:rPr>
                <w:sz w:val="16"/>
              </w:rPr>
              <w:t>Phase D1</w:t>
            </w:r>
          </w:p>
        </w:tc>
        <w:tc>
          <w:tcPr>
            <w:tcW w:type="dxa" w:w="3120"/>
            <w:vAlign w:val="center"/>
            <w:tcMar>
              <w:top w:w="90" w:type="dxa"/>
              <w:left w:w="90" w:type="dxa"/>
              <w:bottom w:w="90" w:type="dxa"/>
              <w:right w:w="90" w:type="dxa"/>
            </w:tcMar>
          </w:tcPr>
          <w:p>
            <w:pPr>
              <w:spacing w:after="0"/>
            </w:pPr>
            <w:r>
              <w:rPr>
                <w:sz w:val="16"/>
              </w:rPr>
              <w:t>Subsystem manufacture and test</w:t>
            </w:r>
          </w:p>
        </w:tc>
        <w:tc>
          <w:tcPr>
            <w:tcW w:type="dxa" w:w="3120"/>
            <w:vAlign w:val="center"/>
            <w:tcMar>
              <w:top w:w="90" w:type="dxa"/>
              <w:left w:w="90" w:type="dxa"/>
              <w:bottom w:w="90" w:type="dxa"/>
              <w:right w:w="90" w:type="dxa"/>
            </w:tcMar>
          </w:tcPr>
          <w:p>
            <w:pPr>
              <w:spacing w:after="0"/>
            </w:pPr>
            <w:r>
              <w:rPr>
                <w:sz w:val="16"/>
              </w:rPr>
              <w:t>Unit AIT</w:t>
            </w:r>
          </w:p>
        </w:tc>
      </w:tr>
      <w:tr>
        <w:tc>
          <w:tcPr>
            <w:tcW w:type="dxa" w:w="3120"/>
            <w:vAlign w:val="center"/>
            <w:shd w:fill="F6F8FA"/>
            <w:tcMar>
              <w:top w:w="90" w:type="dxa"/>
              <w:left w:w="90" w:type="dxa"/>
              <w:bottom w:w="90" w:type="dxa"/>
              <w:right w:w="90" w:type="dxa"/>
            </w:tcMar>
          </w:tcPr>
          <w:p>
            <w:pPr>
              <w:spacing w:after="0"/>
            </w:pPr>
            <w:r>
              <w:rPr>
                <w:sz w:val="16"/>
              </w:rPr>
              <w:t>Phase D2</w:t>
            </w:r>
          </w:p>
        </w:tc>
        <w:tc>
          <w:tcPr>
            <w:tcW w:type="dxa" w:w="3120"/>
            <w:vAlign w:val="center"/>
            <w:shd w:fill="F6F8FA"/>
            <w:tcMar>
              <w:top w:w="90" w:type="dxa"/>
              <w:left w:w="90" w:type="dxa"/>
              <w:bottom w:w="90" w:type="dxa"/>
              <w:right w:w="90" w:type="dxa"/>
            </w:tcMar>
          </w:tcPr>
          <w:p>
            <w:pPr>
              <w:spacing w:after="0"/>
            </w:pPr>
            <w:r>
              <w:rPr>
                <w:sz w:val="16"/>
              </w:rPr>
              <w:t>System assembly, integration and test</w:t>
            </w:r>
          </w:p>
        </w:tc>
        <w:tc>
          <w:tcPr>
            <w:tcW w:type="dxa" w:w="3120"/>
            <w:vAlign w:val="center"/>
            <w:shd w:fill="F6F8FA"/>
            <w:tcMar>
              <w:top w:w="90" w:type="dxa"/>
              <w:left w:w="90" w:type="dxa"/>
              <w:bottom w:w="90" w:type="dxa"/>
              <w:right w:w="90" w:type="dxa"/>
            </w:tcMar>
          </w:tcPr>
          <w:p>
            <w:pPr>
              <w:spacing w:after="0"/>
            </w:pPr>
            <w:r>
              <w:rPr>
                <w:sz w:val="16"/>
              </w:rPr>
              <w:t>System AIT</w:t>
            </w:r>
          </w:p>
        </w:tc>
      </w:tr>
      <w:tr>
        <w:tc>
          <w:tcPr>
            <w:tcW w:type="dxa" w:w="3120"/>
            <w:vAlign w:val="center"/>
            <w:tcMar>
              <w:top w:w="90" w:type="dxa"/>
              <w:left w:w="90" w:type="dxa"/>
              <w:bottom w:w="90" w:type="dxa"/>
              <w:right w:w="90" w:type="dxa"/>
            </w:tcMar>
          </w:tcPr>
          <w:p>
            <w:pPr>
              <w:spacing w:after="0"/>
            </w:pPr>
            <w:r>
              <w:rPr>
                <w:sz w:val="16"/>
              </w:rPr>
              <w:t>LEOP</w:t>
            </w:r>
          </w:p>
        </w:tc>
        <w:tc>
          <w:tcPr>
            <w:tcW w:type="dxa" w:w="3120"/>
            <w:vAlign w:val="center"/>
            <w:tcMar>
              <w:top w:w="90" w:type="dxa"/>
              <w:left w:w="90" w:type="dxa"/>
              <w:bottom w:w="90" w:type="dxa"/>
              <w:right w:w="90" w:type="dxa"/>
            </w:tcMar>
          </w:tcPr>
          <w:p>
            <w:pPr>
              <w:spacing w:after="0"/>
            </w:pPr>
            <w:r>
              <w:rPr>
                <w:sz w:val="16"/>
              </w:rPr>
              <w:t>Delivery and commissioning</w:t>
            </w:r>
          </w:p>
        </w:tc>
        <w:tc>
          <w:tcPr>
            <w:tcW w:type="dxa" w:w="3120"/>
            <w:vAlign w:val="center"/>
            <w:tcMar>
              <w:top w:w="90" w:type="dxa"/>
              <w:left w:w="90" w:type="dxa"/>
              <w:bottom w:w="90" w:type="dxa"/>
              <w:right w:w="90" w:type="dxa"/>
            </w:tcMar>
          </w:tcPr>
          <w:p>
            <w:pPr>
              <w:spacing w:after="0"/>
            </w:pPr>
            <w:r>
              <w:rPr>
                <w:sz w:val="16"/>
              </w:rPr>
              <w:t>Commissioning</w:t>
            </w:r>
          </w:p>
        </w:tc>
      </w:tr>
      <w:tr>
        <w:tc>
          <w:tcPr>
            <w:tcW w:type="dxa" w:w="3120"/>
            <w:vAlign w:val="center"/>
            <w:shd w:fill="F6F8FA"/>
            <w:tcMar>
              <w:top w:w="90" w:type="dxa"/>
              <w:left w:w="90" w:type="dxa"/>
              <w:bottom w:w="90" w:type="dxa"/>
              <w:right w:w="90" w:type="dxa"/>
            </w:tcMar>
          </w:tcPr>
          <w:p>
            <w:pPr>
              <w:spacing w:after="0"/>
            </w:pPr>
            <w:r>
              <w:rPr>
                <w:sz w:val="16"/>
              </w:rPr>
              <w:t>Phase E</w:t>
            </w:r>
          </w:p>
        </w:tc>
        <w:tc>
          <w:tcPr>
            <w:tcW w:type="dxa" w:w="3120"/>
            <w:vAlign w:val="center"/>
            <w:shd w:fill="F6F8FA"/>
            <w:tcMar>
              <w:top w:w="90" w:type="dxa"/>
              <w:left w:w="90" w:type="dxa"/>
              <w:bottom w:w="90" w:type="dxa"/>
              <w:right w:w="90" w:type="dxa"/>
            </w:tcMar>
          </w:tcPr>
          <w:p>
            <w:pPr>
              <w:spacing w:after="0"/>
            </w:pPr>
            <w:r>
              <w:rPr>
                <w:sz w:val="16"/>
              </w:rPr>
              <w:t>Nominal operations</w:t>
            </w:r>
          </w:p>
        </w:tc>
        <w:tc>
          <w:tcPr>
            <w:tcW w:type="dxa" w:w="3120"/>
            <w:vAlign w:val="center"/>
            <w:shd w:fill="F6F8FA"/>
            <w:tcMar>
              <w:top w:w="90" w:type="dxa"/>
              <w:left w:w="90" w:type="dxa"/>
              <w:bottom w:w="90" w:type="dxa"/>
              <w:right w:w="90" w:type="dxa"/>
            </w:tcMar>
          </w:tcPr>
          <w:p>
            <w:pPr>
              <w:spacing w:after="0"/>
            </w:pPr>
            <w:r>
              <w:rPr>
                <w:sz w:val="16"/>
              </w:rPr>
              <w:t>Operations</w:t>
            </w:r>
          </w:p>
        </w:tc>
      </w:tr>
      <w:tr>
        <w:tc>
          <w:tcPr>
            <w:tcW w:type="dxa" w:w="3120"/>
            <w:vAlign w:val="center"/>
            <w:tcMar>
              <w:top w:w="90" w:type="dxa"/>
              <w:left w:w="90" w:type="dxa"/>
              <w:bottom w:w="90" w:type="dxa"/>
              <w:right w:w="90" w:type="dxa"/>
            </w:tcMar>
          </w:tcPr>
          <w:p>
            <w:pPr>
              <w:spacing w:after="0"/>
            </w:pPr>
            <w:r>
              <w:rPr>
                <w:sz w:val="16"/>
              </w:rPr>
              <w:t>Phase E EXT</w:t>
            </w:r>
          </w:p>
        </w:tc>
        <w:tc>
          <w:tcPr>
            <w:tcW w:type="dxa" w:w="3120"/>
            <w:vAlign w:val="center"/>
            <w:tcMar>
              <w:top w:w="90" w:type="dxa"/>
              <w:left w:w="90" w:type="dxa"/>
              <w:bottom w:w="90" w:type="dxa"/>
              <w:right w:w="90" w:type="dxa"/>
            </w:tcMar>
          </w:tcPr>
          <w:p>
            <w:pPr>
              <w:spacing w:after="0"/>
            </w:pPr>
            <w:r>
              <w:rPr>
                <w:sz w:val="16"/>
              </w:rPr>
              <w:t>Extended operations</w:t>
            </w:r>
          </w:p>
        </w:tc>
        <w:tc>
          <w:tcPr>
            <w:tcW w:type="dxa" w:w="3120"/>
            <w:vAlign w:val="center"/>
            <w:tcMar>
              <w:top w:w="90" w:type="dxa"/>
              <w:left w:w="90" w:type="dxa"/>
              <w:bottom w:w="90" w:type="dxa"/>
              <w:right w:w="90" w:type="dxa"/>
            </w:tcMar>
          </w:tcPr>
          <w:p>
            <w:pPr>
              <w:spacing w:after="0"/>
            </w:pPr>
            <w:r>
              <w:rPr>
                <w:sz w:val="16"/>
              </w:rPr>
              <w:t>Extension</w:t>
            </w:r>
          </w:p>
        </w:tc>
      </w:tr>
      <w:tr>
        <w:tc>
          <w:tcPr>
            <w:tcW w:type="dxa" w:w="3120"/>
            <w:vAlign w:val="center"/>
            <w:shd w:fill="F6F8FA"/>
            <w:tcMar>
              <w:top w:w="90" w:type="dxa"/>
              <w:left w:w="90" w:type="dxa"/>
              <w:bottom w:w="90" w:type="dxa"/>
              <w:right w:w="90" w:type="dxa"/>
            </w:tcMar>
          </w:tcPr>
          <w:p>
            <w:pPr>
              <w:spacing w:after="0"/>
            </w:pPr>
            <w:r>
              <w:rPr>
                <w:sz w:val="16"/>
              </w:rPr>
              <w:t>Phase F</w:t>
            </w:r>
          </w:p>
        </w:tc>
        <w:tc>
          <w:tcPr>
            <w:tcW w:type="dxa" w:w="3120"/>
            <w:vAlign w:val="center"/>
            <w:shd w:fill="F6F8FA"/>
            <w:tcMar>
              <w:top w:w="90" w:type="dxa"/>
              <w:left w:w="90" w:type="dxa"/>
              <w:bottom w:w="90" w:type="dxa"/>
              <w:right w:w="90" w:type="dxa"/>
            </w:tcMar>
          </w:tcPr>
          <w:p>
            <w:pPr>
              <w:spacing w:after="0"/>
            </w:pPr>
            <w:r>
              <w:rPr>
                <w:sz w:val="16"/>
              </w:rPr>
              <w:t>Closeout and disposal</w:t>
            </w:r>
          </w:p>
        </w:tc>
        <w:tc>
          <w:tcPr>
            <w:tcW w:type="dxa" w:w="3120"/>
            <w:vAlign w:val="center"/>
            <w:shd w:fill="F6F8FA"/>
            <w:tcMar>
              <w:top w:w="90" w:type="dxa"/>
              <w:left w:w="90" w:type="dxa"/>
              <w:bottom w:w="90" w:type="dxa"/>
              <w:right w:w="90" w:type="dxa"/>
            </w:tcMar>
          </w:tcPr>
          <w:p>
            <w:pPr>
              <w:spacing w:after="0"/>
            </w:pPr>
            <w:r>
              <w:rPr>
                <w:sz w:val="16"/>
              </w:rPr>
              <w:t>Closeout</w:t>
            </w:r>
          </w:p>
        </w:tc>
      </w:tr>
      <w:tr>
        <w:tc>
          <w:tcPr>
            <w:tcW w:type="dxa" w:w="3120"/>
            <w:vAlign w:val="center"/>
            <w:tcMar>
              <w:top w:w="90" w:type="dxa"/>
              <w:left w:w="90" w:type="dxa"/>
              <w:bottom w:w="90" w:type="dxa"/>
              <w:right w:w="90" w:type="dxa"/>
            </w:tcMar>
          </w:tcPr>
          <w:p>
            <w:pPr>
              <w:spacing w:after="0"/>
            </w:pPr>
            <w:r>
              <w:rPr>
                <w:sz w:val="16"/>
              </w:rPr>
              <w:t>Phase G</w:t>
            </w:r>
          </w:p>
        </w:tc>
        <w:tc>
          <w:tcPr>
            <w:tcW w:type="dxa" w:w="3120"/>
            <w:vAlign w:val="center"/>
            <w:tcMar>
              <w:top w:w="90" w:type="dxa"/>
              <w:left w:w="90" w:type="dxa"/>
              <w:bottom w:w="90" w:type="dxa"/>
              <w:right w:w="90" w:type="dxa"/>
            </w:tcMar>
          </w:tcPr>
          <w:p>
            <w:pPr>
              <w:spacing w:after="0"/>
            </w:pPr>
            <w:r>
              <w:rPr>
                <w:sz w:val="16"/>
              </w:rPr>
              <w:t>Data exploitation</w:t>
            </w:r>
          </w:p>
        </w:tc>
        <w:tc>
          <w:tcPr>
            <w:tcW w:type="dxa" w:w="3120"/>
            <w:vAlign w:val="center"/>
            <w:tcMar>
              <w:top w:w="90" w:type="dxa"/>
              <w:left w:w="90" w:type="dxa"/>
              <w:bottom w:w="90" w:type="dxa"/>
              <w:right w:w="90" w:type="dxa"/>
            </w:tcMar>
          </w:tcPr>
          <w:p>
            <w:pPr>
              <w:spacing w:after="0"/>
            </w:pPr>
            <w:r>
              <w:rPr>
                <w:sz w:val="16"/>
              </w:rPr>
              <w:t>Science use</w:t>
            </w:r>
          </w:p>
        </w:tc>
      </w:tr>
    </w:tbl>
    <w:p>
      <w:pPr>
        <w:pStyle w:val="BodyText"/>
      </w:pPr>
      <w:r>
        <w:t>The schedule planning basis is B 16 months; C 12 months; D1 18 months; D2 9 months; commissioning 3 months; E 18 months. Activities with long-lead procurement and parallel unit builds overlap; durations should not be arithmetically summed to infer a delivery date.</w:t>
      </w:r>
    </w:p>
    <w:p>
      <w:pPr>
        <w:pStyle w:val="Caption"/>
      </w:pPr>
      <w:r>
        <w:t>Table 4 – Planning Phase Dates and Durations</w:t>
      </w:r>
    </w:p>
    <w:tbl>
      <w:tblPr>
        <w:tblStyle w:val="TableGrid"/>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rPr>
          <w:tblHeader w:val="true"/>
        </w:trPr>
        <w:tc>
          <w:tcPr>
            <w:tcW w:type="dxa" w:w="1170"/>
            <w:vAlign w:val="center"/>
            <w:shd w:fill="DDE6EF"/>
            <w:tcMar>
              <w:top w:w="90" w:type="dxa"/>
              <w:left w:w="90" w:type="dxa"/>
              <w:bottom w:w="90" w:type="dxa"/>
              <w:right w:w="90" w:type="dxa"/>
            </w:tcMar>
          </w:tcPr>
          <w:p>
            <w:pPr>
              <w:spacing w:after="0"/>
            </w:pPr>
            <w:r>
              <w:rPr>
                <w:b/>
                <w:sz w:val="16"/>
              </w:rPr>
              <w:t>Phase</w:t>
            </w:r>
          </w:p>
        </w:tc>
        <w:tc>
          <w:tcPr>
            <w:tcW w:type="dxa" w:w="1170"/>
            <w:vAlign w:val="center"/>
            <w:shd w:fill="DDE6EF"/>
            <w:tcMar>
              <w:top w:w="90" w:type="dxa"/>
              <w:left w:w="90" w:type="dxa"/>
              <w:bottom w:w="90" w:type="dxa"/>
              <w:right w:w="90" w:type="dxa"/>
            </w:tcMar>
          </w:tcPr>
          <w:p>
            <w:pPr>
              <w:spacing w:after="0"/>
            </w:pPr>
            <w:r>
              <w:rPr>
                <w:b/>
                <w:sz w:val="16"/>
              </w:rPr>
              <w:t>0</w:t>
            </w:r>
          </w:p>
        </w:tc>
        <w:tc>
          <w:tcPr>
            <w:tcW w:type="dxa" w:w="1170"/>
            <w:vAlign w:val="center"/>
            <w:shd w:fill="DDE6EF"/>
            <w:tcMar>
              <w:top w:w="90" w:type="dxa"/>
              <w:left w:w="90" w:type="dxa"/>
              <w:bottom w:w="90" w:type="dxa"/>
              <w:right w:w="90" w:type="dxa"/>
            </w:tcMar>
          </w:tcPr>
          <w:p>
            <w:pPr>
              <w:spacing w:after="0"/>
            </w:pPr>
            <w:r>
              <w:rPr>
                <w:b/>
                <w:sz w:val="16"/>
              </w:rPr>
              <w:t>A</w:t>
            </w:r>
          </w:p>
        </w:tc>
        <w:tc>
          <w:tcPr>
            <w:tcW w:type="dxa" w:w="1170"/>
            <w:vAlign w:val="center"/>
            <w:shd w:fill="DDE6EF"/>
            <w:tcMar>
              <w:top w:w="90" w:type="dxa"/>
              <w:left w:w="90" w:type="dxa"/>
              <w:bottom w:w="90" w:type="dxa"/>
              <w:right w:w="90" w:type="dxa"/>
            </w:tcMar>
          </w:tcPr>
          <w:p>
            <w:pPr>
              <w:spacing w:after="0"/>
            </w:pPr>
            <w:r>
              <w:rPr>
                <w:b/>
                <w:sz w:val="16"/>
              </w:rPr>
              <w:t>B</w:t>
            </w:r>
          </w:p>
        </w:tc>
        <w:tc>
          <w:tcPr>
            <w:tcW w:type="dxa" w:w="1170"/>
            <w:vAlign w:val="center"/>
            <w:shd w:fill="DDE6EF"/>
            <w:tcMar>
              <w:top w:w="90" w:type="dxa"/>
              <w:left w:w="90" w:type="dxa"/>
              <w:bottom w:w="90" w:type="dxa"/>
              <w:right w:w="90" w:type="dxa"/>
            </w:tcMar>
          </w:tcPr>
          <w:p>
            <w:pPr>
              <w:spacing w:after="0"/>
            </w:pPr>
            <w:r>
              <w:rPr>
                <w:b/>
                <w:sz w:val="16"/>
              </w:rPr>
              <w:t>C</w:t>
            </w:r>
          </w:p>
        </w:tc>
        <w:tc>
          <w:tcPr>
            <w:tcW w:type="dxa" w:w="1170"/>
            <w:vAlign w:val="center"/>
            <w:shd w:fill="DDE6EF"/>
            <w:tcMar>
              <w:top w:w="90" w:type="dxa"/>
              <w:left w:w="90" w:type="dxa"/>
              <w:bottom w:w="90" w:type="dxa"/>
              <w:right w:w="90" w:type="dxa"/>
            </w:tcMar>
          </w:tcPr>
          <w:p>
            <w:pPr>
              <w:spacing w:after="0"/>
            </w:pPr>
            <w:r>
              <w:rPr>
                <w:b/>
                <w:sz w:val="16"/>
              </w:rPr>
              <w:t>D1</w:t>
            </w:r>
          </w:p>
        </w:tc>
        <w:tc>
          <w:tcPr>
            <w:tcW w:type="dxa" w:w="1170"/>
            <w:vAlign w:val="center"/>
            <w:shd w:fill="DDE6EF"/>
            <w:tcMar>
              <w:top w:w="90" w:type="dxa"/>
              <w:left w:w="90" w:type="dxa"/>
              <w:bottom w:w="90" w:type="dxa"/>
              <w:right w:w="90" w:type="dxa"/>
            </w:tcMar>
          </w:tcPr>
          <w:p>
            <w:pPr>
              <w:spacing w:after="0"/>
            </w:pPr>
            <w:r>
              <w:rPr>
                <w:b/>
                <w:sz w:val="16"/>
              </w:rPr>
              <w:t>D2</w:t>
            </w:r>
          </w:p>
        </w:tc>
        <w:tc>
          <w:tcPr>
            <w:tcW w:type="dxa" w:w="1170"/>
            <w:vAlign w:val="center"/>
            <w:shd w:fill="DDE6EF"/>
            <w:tcMar>
              <w:top w:w="90" w:type="dxa"/>
              <w:left w:w="90" w:type="dxa"/>
              <w:bottom w:w="90" w:type="dxa"/>
              <w:right w:w="90" w:type="dxa"/>
            </w:tcMar>
          </w:tcPr>
          <w:p>
            <w:pPr>
              <w:spacing w:after="0"/>
            </w:pPr>
            <w:r>
              <w:rPr>
                <w:b/>
                <w:sz w:val="16"/>
              </w:rPr>
              <w:t>E</w:t>
            </w:r>
          </w:p>
        </w:tc>
      </w:tr>
      <w:tr>
        <w:tc>
          <w:tcPr>
            <w:tcW w:type="dxa" w:w="1170"/>
            <w:vAlign w:val="center"/>
            <w:tcMar>
              <w:top w:w="90" w:type="dxa"/>
              <w:left w:w="90" w:type="dxa"/>
              <w:bottom w:w="90" w:type="dxa"/>
              <w:right w:w="90" w:type="dxa"/>
            </w:tcMar>
          </w:tcPr>
          <w:p>
            <w:pPr>
              <w:spacing w:after="0"/>
            </w:pPr>
            <w:r>
              <w:rPr>
                <w:sz w:val="16"/>
              </w:rPr>
              <w:t>Duration, months</w:t>
            </w:r>
          </w:p>
        </w:tc>
        <w:tc>
          <w:tcPr>
            <w:tcW w:type="dxa" w:w="1170"/>
            <w:vAlign w:val="center"/>
            <w:tcMar>
              <w:top w:w="90" w:type="dxa"/>
              <w:left w:w="90" w:type="dxa"/>
              <w:bottom w:w="90" w:type="dxa"/>
              <w:right w:w="90" w:type="dxa"/>
            </w:tcMar>
          </w:tcPr>
          <w:p>
            <w:pPr>
              <w:spacing w:after="0"/>
            </w:pPr>
            <w:r>
              <w:rPr>
                <w:sz w:val="16"/>
              </w:rPr>
              <w:t>TBD</w:t>
            </w:r>
          </w:p>
        </w:tc>
        <w:tc>
          <w:tcPr>
            <w:tcW w:type="dxa" w:w="1170"/>
            <w:vAlign w:val="center"/>
            <w:tcMar>
              <w:top w:w="90" w:type="dxa"/>
              <w:left w:w="90" w:type="dxa"/>
              <w:bottom w:w="90" w:type="dxa"/>
              <w:right w:w="90" w:type="dxa"/>
            </w:tcMar>
          </w:tcPr>
          <w:p>
            <w:pPr>
              <w:spacing w:after="0"/>
            </w:pPr>
            <w:r>
              <w:rPr>
                <w:sz w:val="16"/>
              </w:rPr>
              <w:t>TBD</w:t>
            </w:r>
          </w:p>
        </w:tc>
        <w:tc>
          <w:tcPr>
            <w:tcW w:type="dxa" w:w="1170"/>
            <w:vAlign w:val="center"/>
            <w:tcMar>
              <w:top w:w="90" w:type="dxa"/>
              <w:left w:w="90" w:type="dxa"/>
              <w:bottom w:w="90" w:type="dxa"/>
              <w:right w:w="90" w:type="dxa"/>
            </w:tcMar>
          </w:tcPr>
          <w:p>
            <w:pPr>
              <w:spacing w:after="0"/>
            </w:pPr>
            <w:r>
              <w:rPr>
                <w:sz w:val="16"/>
              </w:rPr>
              <w:t>16</w:t>
            </w:r>
          </w:p>
        </w:tc>
        <w:tc>
          <w:tcPr>
            <w:tcW w:type="dxa" w:w="1170"/>
            <w:vAlign w:val="center"/>
            <w:tcMar>
              <w:top w:w="90" w:type="dxa"/>
              <w:left w:w="90" w:type="dxa"/>
              <w:bottom w:w="90" w:type="dxa"/>
              <w:right w:w="90" w:type="dxa"/>
            </w:tcMar>
          </w:tcPr>
          <w:p>
            <w:pPr>
              <w:spacing w:after="0"/>
            </w:pPr>
            <w:r>
              <w:rPr>
                <w:sz w:val="16"/>
              </w:rPr>
              <w:t>12</w:t>
            </w:r>
          </w:p>
        </w:tc>
        <w:tc>
          <w:tcPr>
            <w:tcW w:type="dxa" w:w="1170"/>
            <w:vAlign w:val="center"/>
            <w:tcMar>
              <w:top w:w="90" w:type="dxa"/>
              <w:left w:w="90" w:type="dxa"/>
              <w:bottom w:w="90" w:type="dxa"/>
              <w:right w:w="90" w:type="dxa"/>
            </w:tcMar>
          </w:tcPr>
          <w:p>
            <w:pPr>
              <w:spacing w:after="0"/>
            </w:pPr>
            <w:r>
              <w:rPr>
                <w:sz w:val="16"/>
              </w:rPr>
              <w:t>18</w:t>
            </w:r>
          </w:p>
        </w:tc>
        <w:tc>
          <w:tcPr>
            <w:tcW w:type="dxa" w:w="1170"/>
            <w:vAlign w:val="center"/>
            <w:tcMar>
              <w:top w:w="90" w:type="dxa"/>
              <w:left w:w="90" w:type="dxa"/>
              <w:bottom w:w="90" w:type="dxa"/>
              <w:right w:w="90" w:type="dxa"/>
            </w:tcMar>
          </w:tcPr>
          <w:p>
            <w:pPr>
              <w:spacing w:after="0"/>
            </w:pPr>
            <w:r>
              <w:rPr>
                <w:sz w:val="16"/>
              </w:rPr>
              <w:t>9</w:t>
            </w:r>
          </w:p>
        </w:tc>
        <w:tc>
          <w:tcPr>
            <w:tcW w:type="dxa" w:w="1170"/>
            <w:vAlign w:val="center"/>
            <w:tcMar>
              <w:top w:w="90" w:type="dxa"/>
              <w:left w:w="90" w:type="dxa"/>
              <w:bottom w:w="90" w:type="dxa"/>
              <w:right w:w="90" w:type="dxa"/>
            </w:tcMar>
          </w:tcPr>
          <w:p>
            <w:pPr>
              <w:spacing w:after="0"/>
            </w:pPr>
            <w:r>
              <w:rPr>
                <w:sz w:val="16"/>
              </w:rPr>
              <w:t>18</w:t>
            </w:r>
          </w:p>
        </w:tc>
      </w:tr>
      <w:tr>
        <w:tc>
          <w:tcPr>
            <w:tcW w:type="dxa" w:w="1170"/>
            <w:vAlign w:val="center"/>
            <w:shd w:fill="F6F8FA"/>
            <w:tcMar>
              <w:top w:w="90" w:type="dxa"/>
              <w:left w:w="90" w:type="dxa"/>
              <w:bottom w:w="90" w:type="dxa"/>
              <w:right w:w="90" w:type="dxa"/>
            </w:tcMar>
          </w:tcPr>
          <w:p>
            <w:pPr>
              <w:spacing w:after="0"/>
            </w:pPr>
            <w:r>
              <w:rPr>
                <w:sz w:val="16"/>
              </w:rPr>
              <w:t>Status</w:t>
            </w:r>
          </w:p>
        </w:tc>
        <w:tc>
          <w:tcPr>
            <w:tcW w:type="dxa" w:w="1170"/>
            <w:vAlign w:val="center"/>
            <w:shd w:fill="F6F8FA"/>
            <w:tcMar>
              <w:top w:w="90" w:type="dxa"/>
              <w:left w:w="90" w:type="dxa"/>
              <w:bottom w:w="90" w:type="dxa"/>
              <w:right w:w="90" w:type="dxa"/>
            </w:tcMar>
          </w:tcPr>
          <w:p>
            <w:pPr>
              <w:spacing w:after="0"/>
            </w:pPr>
            <w:r>
              <w:rPr>
                <w:sz w:val="16"/>
              </w:rPr>
              <w:t>planning</w:t>
            </w:r>
          </w:p>
        </w:tc>
        <w:tc>
          <w:tcPr>
            <w:tcW w:type="dxa" w:w="1170"/>
            <w:vAlign w:val="center"/>
            <w:shd w:fill="F6F8FA"/>
            <w:tcMar>
              <w:top w:w="90" w:type="dxa"/>
              <w:left w:w="90" w:type="dxa"/>
              <w:bottom w:w="90" w:type="dxa"/>
              <w:right w:w="90" w:type="dxa"/>
            </w:tcMar>
          </w:tcPr>
          <w:p>
            <w:pPr>
              <w:spacing w:after="0"/>
            </w:pPr>
            <w:r>
              <w:rPr>
                <w:sz w:val="16"/>
              </w:rPr>
              <w:t>planning</w:t>
            </w:r>
          </w:p>
        </w:tc>
        <w:tc>
          <w:tcPr>
            <w:tcW w:type="dxa" w:w="1170"/>
            <w:vAlign w:val="center"/>
            <w:shd w:fill="F6F8FA"/>
            <w:tcMar>
              <w:top w:w="90" w:type="dxa"/>
              <w:left w:w="90" w:type="dxa"/>
              <w:bottom w:w="90" w:type="dxa"/>
              <w:right w:w="90" w:type="dxa"/>
            </w:tcMar>
          </w:tcPr>
          <w:p>
            <w:pPr>
              <w:spacing w:after="0"/>
            </w:pPr>
            <w:r>
              <w:rPr>
                <w:sz w:val="16"/>
              </w:rPr>
              <w:t>planning</w:t>
            </w:r>
          </w:p>
        </w:tc>
        <w:tc>
          <w:tcPr>
            <w:tcW w:type="dxa" w:w="1170"/>
            <w:vAlign w:val="center"/>
            <w:shd w:fill="F6F8FA"/>
            <w:tcMar>
              <w:top w:w="90" w:type="dxa"/>
              <w:left w:w="90" w:type="dxa"/>
              <w:bottom w:w="90" w:type="dxa"/>
              <w:right w:w="90" w:type="dxa"/>
            </w:tcMar>
          </w:tcPr>
          <w:p>
            <w:pPr>
              <w:spacing w:after="0"/>
            </w:pPr>
            <w:r>
              <w:rPr>
                <w:sz w:val="16"/>
              </w:rPr>
              <w:t>planning</w:t>
            </w:r>
          </w:p>
        </w:tc>
        <w:tc>
          <w:tcPr>
            <w:tcW w:type="dxa" w:w="1170"/>
            <w:vAlign w:val="center"/>
            <w:shd w:fill="F6F8FA"/>
            <w:tcMar>
              <w:top w:w="90" w:type="dxa"/>
              <w:left w:w="90" w:type="dxa"/>
              <w:bottom w:w="90" w:type="dxa"/>
              <w:right w:w="90" w:type="dxa"/>
            </w:tcMar>
          </w:tcPr>
          <w:p>
            <w:pPr>
              <w:spacing w:after="0"/>
            </w:pPr>
            <w:r>
              <w:rPr>
                <w:sz w:val="16"/>
              </w:rPr>
              <w:t>planning</w:t>
            </w:r>
          </w:p>
        </w:tc>
        <w:tc>
          <w:tcPr>
            <w:tcW w:type="dxa" w:w="1170"/>
            <w:vAlign w:val="center"/>
            <w:shd w:fill="F6F8FA"/>
            <w:tcMar>
              <w:top w:w="90" w:type="dxa"/>
              <w:left w:w="90" w:type="dxa"/>
              <w:bottom w:w="90" w:type="dxa"/>
              <w:right w:w="90" w:type="dxa"/>
            </w:tcMar>
          </w:tcPr>
          <w:p>
            <w:pPr>
              <w:spacing w:after="0"/>
            </w:pPr>
            <w:r>
              <w:rPr>
                <w:sz w:val="16"/>
              </w:rPr>
              <w:t>planning</w:t>
            </w:r>
          </w:p>
        </w:tc>
        <w:tc>
          <w:tcPr>
            <w:tcW w:type="dxa" w:w="1170"/>
            <w:vAlign w:val="center"/>
            <w:shd w:fill="F6F8FA"/>
            <w:tcMar>
              <w:top w:w="90" w:type="dxa"/>
              <w:left w:w="90" w:type="dxa"/>
              <w:bottom w:w="90" w:type="dxa"/>
              <w:right w:w="90" w:type="dxa"/>
            </w:tcMar>
          </w:tcPr>
          <w:p>
            <w:pPr>
              <w:spacing w:after="0"/>
            </w:pPr>
            <w:r>
              <w:rPr>
                <w:sz w:val="16"/>
              </w:rPr>
              <w:t>planning</w:t>
            </w:r>
          </w:p>
        </w:tc>
      </w:tr>
    </w:tbl>
    <w:p>
      <w:pPr>
        <w:pStyle w:val="Heading2"/>
      </w:pPr>
      <w:r>
        <w:t>Project Milestones</w:t>
      </w:r>
    </w:p>
    <w:p>
      <w:pPr>
        <w:pStyle w:val="Caption"/>
      </w:pPr>
      <w:r>
        <w:t>Table 5 – Major Milestones</w:t>
      </w:r>
    </w:p>
    <w:tbl>
      <w:tblPr>
        <w:tblStyle w:val="TableGrid"/>
        <w:tblW w:type="auto" w:w="0"/>
        <w:jc w:val="center"/>
        <w:tblLayout w:type="fixed"/>
        <w:tblLook w:firstColumn="1" w:firstRow="1" w:lastColumn="0" w:lastRow="0" w:noHBand="0" w:noVBand="1" w:val="04A0"/>
      </w:tblPr>
      <w:tblGrid>
        <w:gridCol w:w="1656"/>
        <w:gridCol w:w="1584"/>
        <w:gridCol w:w="4176"/>
        <w:gridCol w:w="1800"/>
      </w:tblGrid>
      <w:tr>
        <w:trPr>
          <w:tblHeader w:val="true"/>
        </w:trPr>
        <w:tc>
          <w:tcPr>
            <w:tcW w:type="dxa" w:w="2340"/>
            <w:vAlign w:val="center"/>
            <w:shd w:fill="DDE6EF"/>
            <w:tcMar>
              <w:top w:w="90" w:type="dxa"/>
              <w:left w:w="90" w:type="dxa"/>
              <w:bottom w:w="90" w:type="dxa"/>
              <w:right w:w="90" w:type="dxa"/>
            </w:tcMar>
          </w:tcPr>
          <w:p>
            <w:pPr>
              <w:spacing w:after="0"/>
            </w:pPr>
            <w:r>
              <w:rPr>
                <w:b/>
                <w:sz w:val="16"/>
              </w:rPr>
              <w:t>Instrument / PM Phase</w:t>
            </w:r>
          </w:p>
        </w:tc>
        <w:tc>
          <w:tcPr>
            <w:tcW w:type="dxa" w:w="2340"/>
            <w:vAlign w:val="center"/>
            <w:shd w:fill="DDE6EF"/>
            <w:tcMar>
              <w:top w:w="90" w:type="dxa"/>
              <w:left w:w="90" w:type="dxa"/>
              <w:bottom w:w="90" w:type="dxa"/>
              <w:right w:w="90" w:type="dxa"/>
            </w:tcMar>
          </w:tcPr>
          <w:p>
            <w:pPr>
              <w:spacing w:after="0"/>
            </w:pPr>
            <w:r>
              <w:rPr>
                <w:b/>
                <w:sz w:val="16"/>
              </w:rPr>
              <w:t>Gate / Milestone</w:t>
            </w:r>
          </w:p>
        </w:tc>
        <w:tc>
          <w:tcPr>
            <w:tcW w:type="dxa" w:w="2340"/>
            <w:vAlign w:val="center"/>
            <w:shd w:fill="DDE6EF"/>
            <w:tcMar>
              <w:top w:w="90" w:type="dxa"/>
              <w:left w:w="90" w:type="dxa"/>
              <w:bottom w:w="90" w:type="dxa"/>
              <w:right w:w="90" w:type="dxa"/>
            </w:tcMar>
          </w:tcPr>
          <w:p>
            <w:pPr>
              <w:spacing w:after="0"/>
            </w:pPr>
            <w:r>
              <w:rPr>
                <w:b/>
                <w:sz w:val="16"/>
              </w:rPr>
              <w:t>Major Milestone</w:t>
            </w:r>
          </w:p>
        </w:tc>
        <w:tc>
          <w:tcPr>
            <w:tcW w:type="dxa" w:w="2340"/>
            <w:vAlign w:val="center"/>
            <w:shd w:fill="DDE6EF"/>
            <w:tcMar>
              <w:top w:w="90" w:type="dxa"/>
              <w:left w:w="90" w:type="dxa"/>
              <w:bottom w:w="90" w:type="dxa"/>
              <w:right w:w="90" w:type="dxa"/>
            </w:tcMar>
          </w:tcPr>
          <w:p>
            <w:pPr>
              <w:spacing w:after="0"/>
            </w:pPr>
            <w:r>
              <w:rPr>
                <w:b/>
                <w:sz w:val="16"/>
              </w:rPr>
              <w:t>Milestone Date</w:t>
            </w:r>
          </w:p>
        </w:tc>
      </w:tr>
      <w:tr>
        <w:tc>
          <w:tcPr>
            <w:tcW w:type="dxa" w:w="2340"/>
            <w:vAlign w:val="center"/>
            <w:tcMar>
              <w:top w:w="90" w:type="dxa"/>
              <w:left w:w="90" w:type="dxa"/>
              <w:bottom w:w="90" w:type="dxa"/>
              <w:right w:w="90" w:type="dxa"/>
            </w:tcMar>
          </w:tcPr>
          <w:p>
            <w:pPr>
              <w:spacing w:after="0"/>
            </w:pPr>
            <w:r>
              <w:rPr>
                <w:sz w:val="16"/>
              </w:rPr>
              <w:t>0</w:t>
            </w:r>
          </w:p>
        </w:tc>
        <w:tc>
          <w:tcPr>
            <w:tcW w:type="dxa" w:w="2340"/>
            <w:vAlign w:val="center"/>
            <w:tcMar>
              <w:top w:w="90" w:type="dxa"/>
              <w:left w:w="90" w:type="dxa"/>
              <w:bottom w:w="90" w:type="dxa"/>
              <w:right w:w="90" w:type="dxa"/>
            </w:tcMar>
          </w:tcPr>
          <w:p>
            <w:pPr>
              <w:spacing w:after="0"/>
            </w:pPr>
            <w:r>
              <w:rPr>
                <w:sz w:val="16"/>
              </w:rPr>
              <w:t>MCR</w:t>
            </w:r>
          </w:p>
        </w:tc>
        <w:tc>
          <w:tcPr>
            <w:tcW w:type="dxa" w:w="2340"/>
            <w:vAlign w:val="center"/>
            <w:tcMar>
              <w:top w:w="90" w:type="dxa"/>
              <w:left w:w="90" w:type="dxa"/>
              <w:bottom w:w="90" w:type="dxa"/>
              <w:right w:w="90" w:type="dxa"/>
            </w:tcMar>
          </w:tcPr>
          <w:p>
            <w:pPr>
              <w:spacing w:after="0"/>
            </w:pPr>
            <w:r>
              <w:rPr>
                <w:sz w:val="16"/>
              </w:rPr>
              <w:t>Mission Concept Review</w:t>
            </w:r>
          </w:p>
        </w:tc>
        <w:tc>
          <w:tcPr>
            <w:tcW w:type="dxa" w:w="2340"/>
            <w:vAlign w:val="center"/>
            <w:tcMar>
              <w:top w:w="90" w:type="dxa"/>
              <w:left w:w="90" w:type="dxa"/>
              <w:bottom w:w="90" w:type="dxa"/>
              <w:right w:w="90" w:type="dxa"/>
            </w:tcMar>
          </w:tcPr>
          <w:p>
            <w:pPr>
              <w:spacing w:after="0"/>
            </w:pPr>
            <w:r>
              <w:rPr>
                <w:sz w:val="16"/>
              </w:rPr>
              <w:t>Jul 2027</w:t>
            </w:r>
          </w:p>
        </w:tc>
      </w:tr>
      <w:tr>
        <w:tc>
          <w:tcPr>
            <w:tcW w:type="dxa" w:w="2340"/>
            <w:vAlign w:val="center"/>
            <w:shd w:fill="F6F8FA"/>
            <w:tcMar>
              <w:top w:w="90" w:type="dxa"/>
              <w:left w:w="90" w:type="dxa"/>
              <w:bottom w:w="90" w:type="dxa"/>
              <w:right w:w="90" w:type="dxa"/>
            </w:tcMar>
          </w:tcPr>
          <w:p>
            <w:pPr>
              <w:spacing w:after="0"/>
            </w:pPr>
            <w:r>
              <w:rPr>
                <w:sz w:val="16"/>
              </w:rPr>
              <w:t>A</w:t>
            </w:r>
          </w:p>
        </w:tc>
        <w:tc>
          <w:tcPr>
            <w:tcW w:type="dxa" w:w="2340"/>
            <w:vAlign w:val="center"/>
            <w:shd w:fill="F6F8FA"/>
            <w:tcMar>
              <w:top w:w="90" w:type="dxa"/>
              <w:left w:w="90" w:type="dxa"/>
              <w:bottom w:w="90" w:type="dxa"/>
              <w:right w:w="90" w:type="dxa"/>
            </w:tcMar>
          </w:tcPr>
          <w:p>
            <w:pPr>
              <w:spacing w:after="0"/>
            </w:pPr>
            <w:r>
              <w:rPr>
                <w:sz w:val="16"/>
              </w:rPr>
              <w:t>SRR</w:t>
            </w:r>
          </w:p>
        </w:tc>
        <w:tc>
          <w:tcPr>
            <w:tcW w:type="dxa" w:w="2340"/>
            <w:vAlign w:val="center"/>
            <w:shd w:fill="F6F8FA"/>
            <w:tcMar>
              <w:top w:w="90" w:type="dxa"/>
              <w:left w:w="90" w:type="dxa"/>
              <w:bottom w:w="90" w:type="dxa"/>
              <w:right w:w="90" w:type="dxa"/>
            </w:tcMar>
          </w:tcPr>
          <w:p>
            <w:pPr>
              <w:spacing w:after="0"/>
            </w:pPr>
            <w:r>
              <w:rPr>
                <w:sz w:val="16"/>
              </w:rPr>
              <w:t>System Requirements Review</w:t>
            </w:r>
          </w:p>
        </w:tc>
        <w:tc>
          <w:tcPr>
            <w:tcW w:type="dxa" w:w="2340"/>
            <w:vAlign w:val="center"/>
            <w:shd w:fill="F6F8FA"/>
            <w:tcMar>
              <w:top w:w="90" w:type="dxa"/>
              <w:left w:w="90" w:type="dxa"/>
              <w:bottom w:w="90" w:type="dxa"/>
              <w:right w:w="90" w:type="dxa"/>
            </w:tcMar>
          </w:tcPr>
          <w:p>
            <w:pPr>
              <w:spacing w:after="0"/>
            </w:pPr>
            <w:r>
              <w:rPr>
                <w:sz w:val="16"/>
              </w:rPr>
              <w:t>May 2028</w:t>
            </w:r>
          </w:p>
        </w:tc>
      </w:tr>
      <w:tr>
        <w:tc>
          <w:tcPr>
            <w:tcW w:type="dxa" w:w="2340"/>
            <w:vAlign w:val="center"/>
            <w:tcMar>
              <w:top w:w="90" w:type="dxa"/>
              <w:left w:w="90" w:type="dxa"/>
              <w:bottom w:w="90" w:type="dxa"/>
              <w:right w:w="90" w:type="dxa"/>
            </w:tcMar>
          </w:tcPr>
          <w:p>
            <w:pPr>
              <w:spacing w:after="0"/>
            </w:pPr>
            <w:r>
              <w:rPr>
                <w:sz w:val="16"/>
              </w:rPr>
              <w:t>B</w:t>
            </w:r>
          </w:p>
        </w:tc>
        <w:tc>
          <w:tcPr>
            <w:tcW w:type="dxa" w:w="2340"/>
            <w:vAlign w:val="center"/>
            <w:tcMar>
              <w:top w:w="90" w:type="dxa"/>
              <w:left w:w="90" w:type="dxa"/>
              <w:bottom w:w="90" w:type="dxa"/>
              <w:right w:w="90" w:type="dxa"/>
            </w:tcMar>
          </w:tcPr>
          <w:p>
            <w:pPr>
              <w:spacing w:after="0"/>
            </w:pPr>
            <w:r>
              <w:rPr>
                <w:sz w:val="16"/>
              </w:rPr>
              <w:t>PDR</w:t>
            </w:r>
          </w:p>
        </w:tc>
        <w:tc>
          <w:tcPr>
            <w:tcW w:type="dxa" w:w="2340"/>
            <w:vAlign w:val="center"/>
            <w:tcMar>
              <w:top w:w="90" w:type="dxa"/>
              <w:left w:w="90" w:type="dxa"/>
              <w:bottom w:w="90" w:type="dxa"/>
              <w:right w:w="90" w:type="dxa"/>
            </w:tcMar>
          </w:tcPr>
          <w:p>
            <w:pPr>
              <w:spacing w:after="0"/>
            </w:pPr>
            <w:r>
              <w:rPr>
                <w:sz w:val="16"/>
              </w:rPr>
              <w:t>Preliminary Design Review</w:t>
            </w:r>
          </w:p>
        </w:tc>
        <w:tc>
          <w:tcPr>
            <w:tcW w:type="dxa" w:w="2340"/>
            <w:vAlign w:val="center"/>
            <w:tcMar>
              <w:top w:w="90" w:type="dxa"/>
              <w:left w:w="90" w:type="dxa"/>
              <w:bottom w:w="90" w:type="dxa"/>
              <w:right w:w="90" w:type="dxa"/>
            </w:tcMar>
          </w:tcPr>
          <w:p>
            <w:pPr>
              <w:spacing w:after="0"/>
            </w:pPr>
            <w:r>
              <w:rPr>
                <w:sz w:val="16"/>
              </w:rPr>
              <w:t>Jul 2029</w:t>
            </w:r>
          </w:p>
        </w:tc>
      </w:tr>
      <w:tr>
        <w:tc>
          <w:tcPr>
            <w:tcW w:type="dxa" w:w="2340"/>
            <w:vAlign w:val="center"/>
            <w:shd w:fill="F6F8FA"/>
            <w:tcMar>
              <w:top w:w="90" w:type="dxa"/>
              <w:left w:w="90" w:type="dxa"/>
              <w:bottom w:w="90" w:type="dxa"/>
              <w:right w:w="90" w:type="dxa"/>
            </w:tcMar>
          </w:tcPr>
          <w:p>
            <w:pPr>
              <w:spacing w:after="0"/>
            </w:pPr>
            <w:r>
              <w:rPr>
                <w:sz w:val="16"/>
              </w:rPr>
              <w:t>C</w:t>
            </w:r>
          </w:p>
        </w:tc>
        <w:tc>
          <w:tcPr>
            <w:tcW w:type="dxa" w:w="2340"/>
            <w:vAlign w:val="center"/>
            <w:shd w:fill="F6F8FA"/>
            <w:tcMar>
              <w:top w:w="90" w:type="dxa"/>
              <w:left w:w="90" w:type="dxa"/>
              <w:bottom w:w="90" w:type="dxa"/>
              <w:right w:w="90" w:type="dxa"/>
            </w:tcMar>
          </w:tcPr>
          <w:p>
            <w:pPr>
              <w:spacing w:after="0"/>
            </w:pPr>
            <w:r>
              <w:rPr>
                <w:sz w:val="16"/>
              </w:rPr>
              <w:t>CDR</w:t>
            </w:r>
          </w:p>
        </w:tc>
        <w:tc>
          <w:tcPr>
            <w:tcW w:type="dxa" w:w="2340"/>
            <w:vAlign w:val="center"/>
            <w:shd w:fill="F6F8FA"/>
            <w:tcMar>
              <w:top w:w="90" w:type="dxa"/>
              <w:left w:w="90" w:type="dxa"/>
              <w:bottom w:w="90" w:type="dxa"/>
              <w:right w:w="90" w:type="dxa"/>
            </w:tcMar>
          </w:tcPr>
          <w:p>
            <w:pPr>
              <w:spacing w:after="0"/>
            </w:pPr>
            <w:r>
              <w:rPr>
                <w:sz w:val="16"/>
              </w:rPr>
              <w:t>Critical Design Review</w:t>
            </w:r>
          </w:p>
        </w:tc>
        <w:tc>
          <w:tcPr>
            <w:tcW w:type="dxa" w:w="2340"/>
            <w:vAlign w:val="center"/>
            <w:shd w:fill="F6F8FA"/>
            <w:tcMar>
              <w:top w:w="90" w:type="dxa"/>
              <w:left w:w="90" w:type="dxa"/>
              <w:bottom w:w="90" w:type="dxa"/>
              <w:right w:w="90" w:type="dxa"/>
            </w:tcMar>
          </w:tcPr>
          <w:p>
            <w:pPr>
              <w:spacing w:after="0"/>
            </w:pPr>
            <w:r>
              <w:rPr>
                <w:sz w:val="16"/>
              </w:rPr>
              <w:t>Jul 2030</w:t>
            </w:r>
          </w:p>
        </w:tc>
      </w:tr>
      <w:tr>
        <w:tc>
          <w:tcPr>
            <w:tcW w:type="dxa" w:w="2340"/>
            <w:vAlign w:val="center"/>
            <w:tcMar>
              <w:top w:w="90" w:type="dxa"/>
              <w:left w:w="90" w:type="dxa"/>
              <w:bottom w:w="90" w:type="dxa"/>
              <w:right w:w="90" w:type="dxa"/>
            </w:tcMar>
          </w:tcPr>
          <w:p>
            <w:pPr>
              <w:spacing w:after="0"/>
            </w:pPr>
            <w:r>
              <w:rPr>
                <w:sz w:val="16"/>
              </w:rPr>
              <w:t>D1</w:t>
            </w:r>
          </w:p>
        </w:tc>
        <w:tc>
          <w:tcPr>
            <w:tcW w:type="dxa" w:w="2340"/>
            <w:vAlign w:val="center"/>
            <w:tcMar>
              <w:top w:w="90" w:type="dxa"/>
              <w:left w:w="90" w:type="dxa"/>
              <w:bottom w:w="90" w:type="dxa"/>
              <w:right w:w="90" w:type="dxa"/>
            </w:tcMar>
          </w:tcPr>
          <w:p>
            <w:pPr>
              <w:spacing w:after="0"/>
            </w:pPr>
            <w:r>
              <w:rPr>
                <w:sz w:val="16"/>
              </w:rPr>
              <w:t>MRR</w:t>
            </w:r>
          </w:p>
        </w:tc>
        <w:tc>
          <w:tcPr>
            <w:tcW w:type="dxa" w:w="2340"/>
            <w:vAlign w:val="center"/>
            <w:tcMar>
              <w:top w:w="90" w:type="dxa"/>
              <w:left w:w="90" w:type="dxa"/>
              <w:bottom w:w="90" w:type="dxa"/>
              <w:right w:w="90" w:type="dxa"/>
            </w:tcMar>
          </w:tcPr>
          <w:p>
            <w:pPr>
              <w:spacing w:after="0"/>
            </w:pPr>
            <w:r>
              <w:rPr>
                <w:sz w:val="16"/>
              </w:rPr>
              <w:t>Manufacturing Readiness Review</w:t>
            </w:r>
          </w:p>
        </w:tc>
        <w:tc>
          <w:tcPr>
            <w:tcW w:type="dxa" w:w="2340"/>
            <w:vAlign w:val="center"/>
            <w:tcMar>
              <w:top w:w="90" w:type="dxa"/>
              <w:left w:w="90" w:type="dxa"/>
              <w:bottom w:w="90" w:type="dxa"/>
              <w:right w:w="90" w:type="dxa"/>
            </w:tcMar>
          </w:tcPr>
          <w:p>
            <w:pPr>
              <w:spacing w:after="0"/>
            </w:pPr>
            <w:r>
              <w:rPr>
                <w:sz w:val="16"/>
              </w:rPr>
              <w:t>Oct 2030</w:t>
            </w:r>
          </w:p>
        </w:tc>
      </w:tr>
      <w:tr>
        <w:tc>
          <w:tcPr>
            <w:tcW w:type="dxa" w:w="2340"/>
            <w:vAlign w:val="center"/>
            <w:shd w:fill="F6F8FA"/>
            <w:tcMar>
              <w:top w:w="90" w:type="dxa"/>
              <w:left w:w="90" w:type="dxa"/>
              <w:bottom w:w="90" w:type="dxa"/>
              <w:right w:w="90" w:type="dxa"/>
            </w:tcMar>
          </w:tcPr>
          <w:p>
            <w:pPr>
              <w:spacing w:after="0"/>
            </w:pPr>
            <w:r>
              <w:rPr>
                <w:sz w:val="16"/>
              </w:rPr>
              <w:t>D1</w:t>
            </w:r>
          </w:p>
        </w:tc>
        <w:tc>
          <w:tcPr>
            <w:tcW w:type="dxa" w:w="2340"/>
            <w:vAlign w:val="center"/>
            <w:shd w:fill="F6F8FA"/>
            <w:tcMar>
              <w:top w:w="90" w:type="dxa"/>
              <w:left w:w="90" w:type="dxa"/>
              <w:bottom w:w="90" w:type="dxa"/>
              <w:right w:w="90" w:type="dxa"/>
            </w:tcMar>
          </w:tcPr>
          <w:p>
            <w:pPr>
              <w:spacing w:after="0"/>
            </w:pPr>
            <w:r>
              <w:rPr>
                <w:sz w:val="16"/>
              </w:rPr>
              <w:t>EVT</w:t>
            </w:r>
          </w:p>
        </w:tc>
        <w:tc>
          <w:tcPr>
            <w:tcW w:type="dxa" w:w="2340"/>
            <w:vAlign w:val="center"/>
            <w:shd w:fill="F6F8FA"/>
            <w:tcMar>
              <w:top w:w="90" w:type="dxa"/>
              <w:left w:w="90" w:type="dxa"/>
              <w:bottom w:w="90" w:type="dxa"/>
              <w:right w:w="90" w:type="dxa"/>
            </w:tcMar>
          </w:tcPr>
          <w:p>
            <w:pPr>
              <w:spacing w:after="0"/>
            </w:pPr>
            <w:r>
              <w:rPr>
                <w:sz w:val="16"/>
              </w:rPr>
              <w:t>Cryogenic engineering model</w:t>
            </w:r>
          </w:p>
        </w:tc>
        <w:tc>
          <w:tcPr>
            <w:tcW w:type="dxa" w:w="2340"/>
            <w:vAlign w:val="center"/>
            <w:shd w:fill="F6F8FA"/>
            <w:tcMar>
              <w:top w:w="90" w:type="dxa"/>
              <w:left w:w="90" w:type="dxa"/>
              <w:bottom w:w="90" w:type="dxa"/>
              <w:right w:w="90" w:type="dxa"/>
            </w:tcMar>
          </w:tcPr>
          <w:p>
            <w:pPr>
              <w:spacing w:after="0"/>
            </w:pPr>
            <w:r>
              <w:rPr>
                <w:sz w:val="16"/>
              </w:rPr>
              <w:t>Feb 2031</w:t>
            </w:r>
          </w:p>
        </w:tc>
      </w:tr>
      <w:tr>
        <w:tc>
          <w:tcPr>
            <w:tcW w:type="dxa" w:w="2340"/>
            <w:vAlign w:val="center"/>
            <w:tcMar>
              <w:top w:w="90" w:type="dxa"/>
              <w:left w:w="90" w:type="dxa"/>
              <w:bottom w:w="90" w:type="dxa"/>
              <w:right w:w="90" w:type="dxa"/>
            </w:tcMar>
          </w:tcPr>
          <w:p>
            <w:pPr>
              <w:spacing w:after="0"/>
            </w:pPr>
            <w:r>
              <w:rPr>
                <w:sz w:val="16"/>
              </w:rPr>
              <w:t>D1</w:t>
            </w:r>
          </w:p>
        </w:tc>
        <w:tc>
          <w:tcPr>
            <w:tcW w:type="dxa" w:w="2340"/>
            <w:vAlign w:val="center"/>
            <w:tcMar>
              <w:top w:w="90" w:type="dxa"/>
              <w:left w:w="90" w:type="dxa"/>
              <w:bottom w:w="90" w:type="dxa"/>
              <w:right w:w="90" w:type="dxa"/>
            </w:tcMar>
          </w:tcPr>
          <w:p>
            <w:pPr>
              <w:spacing w:after="0"/>
            </w:pPr>
            <w:r>
              <w:rPr>
                <w:sz w:val="16"/>
              </w:rPr>
              <w:t>EVT</w:t>
            </w:r>
          </w:p>
        </w:tc>
        <w:tc>
          <w:tcPr>
            <w:tcW w:type="dxa" w:w="2340"/>
            <w:vAlign w:val="center"/>
            <w:tcMar>
              <w:top w:w="90" w:type="dxa"/>
              <w:left w:w="90" w:type="dxa"/>
              <w:bottom w:w="90" w:type="dxa"/>
              <w:right w:w="90" w:type="dxa"/>
            </w:tcMar>
          </w:tcPr>
          <w:p>
            <w:pPr>
              <w:spacing w:after="0"/>
            </w:pPr>
            <w:r>
              <w:rPr>
                <w:sz w:val="16"/>
              </w:rPr>
              <w:t>Tank qualification</w:t>
            </w:r>
          </w:p>
        </w:tc>
        <w:tc>
          <w:tcPr>
            <w:tcW w:type="dxa" w:w="2340"/>
            <w:vAlign w:val="center"/>
            <w:tcMar>
              <w:top w:w="90" w:type="dxa"/>
              <w:left w:w="90" w:type="dxa"/>
              <w:bottom w:w="90" w:type="dxa"/>
              <w:right w:w="90" w:type="dxa"/>
            </w:tcMar>
          </w:tcPr>
          <w:p>
            <w:pPr>
              <w:spacing w:after="0"/>
            </w:pPr>
            <w:r>
              <w:rPr>
                <w:sz w:val="16"/>
              </w:rPr>
              <w:t>Sep 2031</w:t>
            </w:r>
          </w:p>
        </w:tc>
      </w:tr>
      <w:tr>
        <w:tc>
          <w:tcPr>
            <w:tcW w:type="dxa" w:w="2340"/>
            <w:vAlign w:val="center"/>
            <w:shd w:fill="F6F8FA"/>
            <w:tcMar>
              <w:top w:w="90" w:type="dxa"/>
              <w:left w:w="90" w:type="dxa"/>
              <w:bottom w:w="90" w:type="dxa"/>
              <w:right w:w="90" w:type="dxa"/>
            </w:tcMar>
          </w:tcPr>
          <w:p>
            <w:pPr>
              <w:spacing w:after="0"/>
            </w:pPr>
            <w:r>
              <w:rPr>
                <w:sz w:val="16"/>
              </w:rPr>
              <w:t>D2</w:t>
            </w:r>
          </w:p>
        </w:tc>
        <w:tc>
          <w:tcPr>
            <w:tcW w:type="dxa" w:w="2340"/>
            <w:vAlign w:val="center"/>
            <w:shd w:fill="F6F8FA"/>
            <w:tcMar>
              <w:top w:w="90" w:type="dxa"/>
              <w:left w:w="90" w:type="dxa"/>
              <w:bottom w:w="90" w:type="dxa"/>
              <w:right w:w="90" w:type="dxa"/>
            </w:tcMar>
          </w:tcPr>
          <w:p>
            <w:pPr>
              <w:spacing w:after="0"/>
            </w:pPr>
            <w:r>
              <w:rPr>
                <w:sz w:val="16"/>
              </w:rPr>
              <w:t>EVT</w:t>
            </w:r>
          </w:p>
        </w:tc>
        <w:tc>
          <w:tcPr>
            <w:tcW w:type="dxa" w:w="2340"/>
            <w:vAlign w:val="center"/>
            <w:shd w:fill="F6F8FA"/>
            <w:tcMar>
              <w:top w:w="90" w:type="dxa"/>
              <w:left w:w="90" w:type="dxa"/>
              <w:bottom w:w="90" w:type="dxa"/>
              <w:right w:w="90" w:type="dxa"/>
            </w:tcMar>
          </w:tcPr>
          <w:p>
            <w:pPr>
              <w:spacing w:after="0"/>
            </w:pPr>
            <w:r>
              <w:rPr>
                <w:sz w:val="16"/>
              </w:rPr>
              <w:t>FM complete</w:t>
            </w:r>
          </w:p>
        </w:tc>
        <w:tc>
          <w:tcPr>
            <w:tcW w:type="dxa" w:w="2340"/>
            <w:vAlign w:val="center"/>
            <w:shd w:fill="F6F8FA"/>
            <w:tcMar>
              <w:top w:w="90" w:type="dxa"/>
              <w:left w:w="90" w:type="dxa"/>
              <w:bottom w:w="90" w:type="dxa"/>
              <w:right w:w="90" w:type="dxa"/>
            </w:tcMar>
          </w:tcPr>
          <w:p>
            <w:pPr>
              <w:spacing w:after="0"/>
            </w:pPr>
            <w:r>
              <w:rPr>
                <w:sz w:val="16"/>
              </w:rPr>
              <w:t>May 2032</w:t>
            </w:r>
          </w:p>
        </w:tc>
      </w:tr>
      <w:tr>
        <w:tc>
          <w:tcPr>
            <w:tcW w:type="dxa" w:w="2340"/>
            <w:vAlign w:val="center"/>
            <w:tcMar>
              <w:top w:w="90" w:type="dxa"/>
              <w:left w:w="90" w:type="dxa"/>
              <w:bottom w:w="90" w:type="dxa"/>
              <w:right w:w="90" w:type="dxa"/>
            </w:tcMar>
          </w:tcPr>
          <w:p>
            <w:pPr>
              <w:spacing w:after="0"/>
            </w:pPr>
            <w:r>
              <w:rPr>
                <w:sz w:val="16"/>
              </w:rPr>
              <w:t>D2</w:t>
            </w:r>
          </w:p>
        </w:tc>
        <w:tc>
          <w:tcPr>
            <w:tcW w:type="dxa" w:w="2340"/>
            <w:vAlign w:val="center"/>
            <w:tcMar>
              <w:top w:w="90" w:type="dxa"/>
              <w:left w:w="90" w:type="dxa"/>
              <w:bottom w:w="90" w:type="dxa"/>
              <w:right w:w="90" w:type="dxa"/>
            </w:tcMar>
          </w:tcPr>
          <w:p>
            <w:pPr>
              <w:spacing w:after="0"/>
            </w:pPr>
            <w:r>
              <w:rPr>
                <w:sz w:val="16"/>
              </w:rPr>
              <w:t>SIR</w:t>
            </w:r>
          </w:p>
        </w:tc>
        <w:tc>
          <w:tcPr>
            <w:tcW w:type="dxa" w:w="2340"/>
            <w:vAlign w:val="center"/>
            <w:tcMar>
              <w:top w:w="90" w:type="dxa"/>
              <w:left w:w="90" w:type="dxa"/>
              <w:bottom w:w="90" w:type="dxa"/>
              <w:right w:w="90" w:type="dxa"/>
            </w:tcMar>
          </w:tcPr>
          <w:p>
            <w:pPr>
              <w:spacing w:after="0"/>
            </w:pPr>
            <w:r>
              <w:rPr>
                <w:sz w:val="16"/>
              </w:rPr>
              <w:t>System Integration Review</w:t>
            </w:r>
          </w:p>
        </w:tc>
        <w:tc>
          <w:tcPr>
            <w:tcW w:type="dxa" w:w="2340"/>
            <w:vAlign w:val="center"/>
            <w:tcMar>
              <w:top w:w="90" w:type="dxa"/>
              <w:left w:w="90" w:type="dxa"/>
              <w:bottom w:w="90" w:type="dxa"/>
              <w:right w:w="90" w:type="dxa"/>
            </w:tcMar>
          </w:tcPr>
          <w:p>
            <w:pPr>
              <w:spacing w:after="0"/>
            </w:pPr>
            <w:r>
              <w:rPr>
                <w:sz w:val="16"/>
              </w:rPr>
              <w:t>Jul 2032</w:t>
            </w:r>
          </w:p>
        </w:tc>
      </w:tr>
      <w:tr>
        <w:tc>
          <w:tcPr>
            <w:tcW w:type="dxa" w:w="2340"/>
            <w:vAlign w:val="center"/>
            <w:shd w:fill="F6F8FA"/>
            <w:tcMar>
              <w:top w:w="90" w:type="dxa"/>
              <w:left w:w="90" w:type="dxa"/>
              <w:bottom w:w="90" w:type="dxa"/>
              <w:right w:w="90" w:type="dxa"/>
            </w:tcMar>
          </w:tcPr>
          <w:p>
            <w:pPr>
              <w:spacing w:after="0"/>
            </w:pPr>
            <w:r>
              <w:rPr>
                <w:sz w:val="16"/>
              </w:rPr>
              <w:t>D2</w:t>
            </w:r>
          </w:p>
        </w:tc>
        <w:tc>
          <w:tcPr>
            <w:tcW w:type="dxa" w:w="2340"/>
            <w:vAlign w:val="center"/>
            <w:shd w:fill="F6F8FA"/>
            <w:tcMar>
              <w:top w:w="90" w:type="dxa"/>
              <w:left w:w="90" w:type="dxa"/>
              <w:bottom w:w="90" w:type="dxa"/>
              <w:right w:w="90" w:type="dxa"/>
            </w:tcMar>
          </w:tcPr>
          <w:p>
            <w:pPr>
              <w:spacing w:after="0"/>
            </w:pPr>
            <w:r>
              <w:rPr>
                <w:sz w:val="16"/>
              </w:rPr>
              <w:t>AR</w:t>
            </w:r>
          </w:p>
        </w:tc>
        <w:tc>
          <w:tcPr>
            <w:tcW w:type="dxa" w:w="2340"/>
            <w:vAlign w:val="center"/>
            <w:shd w:fill="F6F8FA"/>
            <w:tcMar>
              <w:top w:w="90" w:type="dxa"/>
              <w:left w:w="90" w:type="dxa"/>
              <w:bottom w:w="90" w:type="dxa"/>
              <w:right w:w="90" w:type="dxa"/>
            </w:tcMar>
          </w:tcPr>
          <w:p>
            <w:pPr>
              <w:spacing w:after="0"/>
            </w:pPr>
            <w:r>
              <w:rPr>
                <w:sz w:val="16"/>
              </w:rPr>
              <w:t>Acceptance</w:t>
            </w:r>
          </w:p>
        </w:tc>
        <w:tc>
          <w:tcPr>
            <w:tcW w:type="dxa" w:w="2340"/>
            <w:vAlign w:val="center"/>
            <w:shd w:fill="F6F8FA"/>
            <w:tcMar>
              <w:top w:w="90" w:type="dxa"/>
              <w:left w:w="90" w:type="dxa"/>
              <w:bottom w:w="90" w:type="dxa"/>
              <w:right w:w="90" w:type="dxa"/>
            </w:tcMar>
          </w:tcPr>
          <w:p>
            <w:pPr>
              <w:spacing w:after="0"/>
            </w:pPr>
            <w:r>
              <w:rPr>
                <w:sz w:val="16"/>
              </w:rPr>
              <w:t>Dec 2032</w:t>
            </w:r>
          </w:p>
        </w:tc>
      </w:tr>
      <w:tr>
        <w:tc>
          <w:tcPr>
            <w:tcW w:type="dxa" w:w="2340"/>
            <w:vAlign w:val="center"/>
            <w:tcMar>
              <w:top w:w="90" w:type="dxa"/>
              <w:left w:w="90" w:type="dxa"/>
              <w:bottom w:w="90" w:type="dxa"/>
              <w:right w:w="90" w:type="dxa"/>
            </w:tcMar>
          </w:tcPr>
          <w:p>
            <w:pPr>
              <w:spacing w:after="0"/>
            </w:pPr>
            <w:r>
              <w:rPr>
                <w:sz w:val="16"/>
              </w:rPr>
              <w:t>D2</w:t>
            </w:r>
          </w:p>
        </w:tc>
        <w:tc>
          <w:tcPr>
            <w:tcW w:type="dxa" w:w="2340"/>
            <w:vAlign w:val="center"/>
            <w:tcMar>
              <w:top w:w="90" w:type="dxa"/>
              <w:left w:w="90" w:type="dxa"/>
              <w:bottom w:w="90" w:type="dxa"/>
              <w:right w:w="90" w:type="dxa"/>
            </w:tcMar>
          </w:tcPr>
          <w:p>
            <w:pPr>
              <w:spacing w:after="0"/>
            </w:pPr>
            <w:r>
              <w:rPr>
                <w:sz w:val="16"/>
              </w:rPr>
              <w:t>LRR</w:t>
            </w:r>
          </w:p>
        </w:tc>
        <w:tc>
          <w:tcPr>
            <w:tcW w:type="dxa" w:w="2340"/>
            <w:vAlign w:val="center"/>
            <w:tcMar>
              <w:top w:w="90" w:type="dxa"/>
              <w:left w:w="90" w:type="dxa"/>
              <w:bottom w:w="90" w:type="dxa"/>
              <w:right w:w="90" w:type="dxa"/>
            </w:tcMar>
          </w:tcPr>
          <w:p>
            <w:pPr>
              <w:spacing w:after="0"/>
            </w:pPr>
            <w:r>
              <w:rPr>
                <w:sz w:val="16"/>
              </w:rPr>
              <w:t>Launch / Delivery Readiness Review</w:t>
            </w:r>
          </w:p>
        </w:tc>
        <w:tc>
          <w:tcPr>
            <w:tcW w:type="dxa" w:w="2340"/>
            <w:vAlign w:val="center"/>
            <w:tcMar>
              <w:top w:w="90" w:type="dxa"/>
              <w:left w:w="90" w:type="dxa"/>
              <w:bottom w:w="90" w:type="dxa"/>
              <w:right w:w="90" w:type="dxa"/>
            </w:tcMar>
          </w:tcPr>
          <w:p>
            <w:pPr>
              <w:spacing w:after="0"/>
            </w:pPr>
            <w:r>
              <w:rPr>
                <w:sz w:val="16"/>
              </w:rPr>
              <w:t>Mar 2033</w:t>
            </w:r>
          </w:p>
        </w:tc>
      </w:tr>
      <w:tr>
        <w:tc>
          <w:tcPr>
            <w:tcW w:type="dxa" w:w="2340"/>
            <w:vAlign w:val="center"/>
            <w:shd w:fill="F6F8FA"/>
            <w:tcMar>
              <w:top w:w="90" w:type="dxa"/>
              <w:left w:w="90" w:type="dxa"/>
              <w:bottom w:w="90" w:type="dxa"/>
              <w:right w:w="90" w:type="dxa"/>
            </w:tcMar>
          </w:tcPr>
          <w:p>
            <w:pPr>
              <w:spacing w:after="0"/>
            </w:pPr>
            <w:r>
              <w:rPr>
                <w:sz w:val="16"/>
              </w:rPr>
              <w:t>D2</w:t>
            </w:r>
          </w:p>
        </w:tc>
        <w:tc>
          <w:tcPr>
            <w:tcW w:type="dxa" w:w="2340"/>
            <w:vAlign w:val="center"/>
            <w:shd w:fill="F6F8FA"/>
            <w:tcMar>
              <w:top w:w="90" w:type="dxa"/>
              <w:left w:w="90" w:type="dxa"/>
              <w:bottom w:w="90" w:type="dxa"/>
              <w:right w:w="90" w:type="dxa"/>
            </w:tcMar>
          </w:tcPr>
          <w:p>
            <w:pPr>
              <w:spacing w:after="0"/>
            </w:pPr>
            <w:r>
              <w:rPr>
                <w:sz w:val="16"/>
              </w:rPr>
              <w:t>L</w:t>
            </w:r>
          </w:p>
        </w:tc>
        <w:tc>
          <w:tcPr>
            <w:tcW w:type="dxa" w:w="2340"/>
            <w:vAlign w:val="center"/>
            <w:shd w:fill="F6F8FA"/>
            <w:tcMar>
              <w:top w:w="90" w:type="dxa"/>
              <w:left w:w="90" w:type="dxa"/>
              <w:bottom w:w="90" w:type="dxa"/>
              <w:right w:w="90" w:type="dxa"/>
            </w:tcMar>
          </w:tcPr>
          <w:p>
            <w:pPr>
              <w:spacing w:after="0"/>
            </w:pPr>
            <w:r>
              <w:rPr>
                <w:sz w:val="16"/>
              </w:rPr>
              <w:t>Launch</w:t>
            </w:r>
          </w:p>
        </w:tc>
        <w:tc>
          <w:tcPr>
            <w:tcW w:type="dxa" w:w="2340"/>
            <w:vAlign w:val="center"/>
            <w:shd w:fill="F6F8FA"/>
            <w:tcMar>
              <w:top w:w="90" w:type="dxa"/>
              <w:left w:w="90" w:type="dxa"/>
              <w:bottom w:w="90" w:type="dxa"/>
              <w:right w:w="90" w:type="dxa"/>
            </w:tcMar>
          </w:tcPr>
          <w:p>
            <w:pPr>
              <w:spacing w:after="0"/>
            </w:pPr>
            <w:r>
              <w:rPr>
                <w:sz w:val="16"/>
              </w:rPr>
              <w:t>May 2033</w:t>
            </w:r>
          </w:p>
        </w:tc>
      </w:tr>
      <w:tr>
        <w:tc>
          <w:tcPr>
            <w:tcW w:type="dxa" w:w="2340"/>
            <w:vAlign w:val="center"/>
            <w:tcMar>
              <w:top w:w="90" w:type="dxa"/>
              <w:left w:w="90" w:type="dxa"/>
              <w:bottom w:w="90" w:type="dxa"/>
              <w:right w:w="90" w:type="dxa"/>
            </w:tcMar>
          </w:tcPr>
          <w:p>
            <w:pPr>
              <w:spacing w:after="0"/>
            </w:pPr>
            <w:r>
              <w:rPr>
                <w:sz w:val="16"/>
              </w:rPr>
              <w:t>E</w:t>
            </w:r>
          </w:p>
        </w:tc>
        <w:tc>
          <w:tcPr>
            <w:tcW w:type="dxa" w:w="2340"/>
            <w:vAlign w:val="center"/>
            <w:tcMar>
              <w:top w:w="90" w:type="dxa"/>
              <w:left w:w="90" w:type="dxa"/>
              <w:bottom w:w="90" w:type="dxa"/>
              <w:right w:w="90" w:type="dxa"/>
            </w:tcMar>
          </w:tcPr>
          <w:p>
            <w:pPr>
              <w:spacing w:after="0"/>
            </w:pPr>
            <w:r>
              <w:rPr>
                <w:sz w:val="16"/>
              </w:rPr>
              <w:t>EVT</w:t>
            </w:r>
          </w:p>
        </w:tc>
        <w:tc>
          <w:tcPr>
            <w:tcW w:type="dxa" w:w="2340"/>
            <w:vAlign w:val="center"/>
            <w:tcMar>
              <w:top w:w="90" w:type="dxa"/>
              <w:left w:w="90" w:type="dxa"/>
              <w:bottom w:w="90" w:type="dxa"/>
              <w:right w:w="90" w:type="dxa"/>
            </w:tcMar>
          </w:tcPr>
          <w:p>
            <w:pPr>
              <w:spacing w:after="0"/>
            </w:pPr>
            <w:r>
              <w:rPr>
                <w:sz w:val="16"/>
              </w:rPr>
              <w:t>Commissioning</w:t>
            </w:r>
          </w:p>
        </w:tc>
        <w:tc>
          <w:tcPr>
            <w:tcW w:type="dxa" w:w="2340"/>
            <w:vAlign w:val="center"/>
            <w:tcMar>
              <w:top w:w="90" w:type="dxa"/>
              <w:left w:w="90" w:type="dxa"/>
              <w:bottom w:w="90" w:type="dxa"/>
              <w:right w:w="90" w:type="dxa"/>
            </w:tcMar>
          </w:tcPr>
          <w:p>
            <w:pPr>
              <w:spacing w:after="0"/>
            </w:pPr>
            <w:r>
              <w:rPr>
                <w:sz w:val="16"/>
              </w:rPr>
              <w:t>Aug 2033</w:t>
            </w:r>
          </w:p>
        </w:tc>
      </w:tr>
      <w:tr>
        <w:tc>
          <w:tcPr>
            <w:tcW w:type="dxa" w:w="2340"/>
            <w:vAlign w:val="center"/>
            <w:shd w:fill="F6F8FA"/>
            <w:tcMar>
              <w:top w:w="90" w:type="dxa"/>
              <w:left w:w="90" w:type="dxa"/>
              <w:bottom w:w="90" w:type="dxa"/>
              <w:right w:w="90" w:type="dxa"/>
            </w:tcMar>
          </w:tcPr>
          <w:p>
            <w:pPr>
              <w:spacing w:after="0"/>
            </w:pPr>
            <w:r>
              <w:rPr>
                <w:sz w:val="16"/>
              </w:rPr>
              <w:t>E</w:t>
            </w:r>
          </w:p>
        </w:tc>
        <w:tc>
          <w:tcPr>
            <w:tcW w:type="dxa" w:w="2340"/>
            <w:vAlign w:val="center"/>
            <w:shd w:fill="F6F8FA"/>
            <w:tcMar>
              <w:top w:w="90" w:type="dxa"/>
              <w:left w:w="90" w:type="dxa"/>
              <w:bottom w:w="90" w:type="dxa"/>
              <w:right w:w="90" w:type="dxa"/>
            </w:tcMar>
          </w:tcPr>
          <w:p>
            <w:pPr>
              <w:spacing w:after="0"/>
            </w:pPr>
            <w:r>
              <w:rPr>
                <w:sz w:val="16"/>
              </w:rPr>
              <w:t>EVT</w:t>
            </w:r>
          </w:p>
        </w:tc>
        <w:tc>
          <w:tcPr>
            <w:tcW w:type="dxa" w:w="2340"/>
            <w:vAlign w:val="center"/>
            <w:shd w:fill="F6F8FA"/>
            <w:tcMar>
              <w:top w:w="90" w:type="dxa"/>
              <w:left w:w="90" w:type="dxa"/>
              <w:bottom w:w="90" w:type="dxa"/>
              <w:right w:w="90" w:type="dxa"/>
            </w:tcMar>
          </w:tcPr>
          <w:p>
            <w:pPr>
              <w:spacing w:after="0"/>
            </w:pPr>
            <w:r>
              <w:rPr>
                <w:sz w:val="16"/>
              </w:rPr>
              <w:t>Nominal end</w:t>
            </w:r>
          </w:p>
        </w:tc>
        <w:tc>
          <w:tcPr>
            <w:tcW w:type="dxa" w:w="2340"/>
            <w:vAlign w:val="center"/>
            <w:shd w:fill="F6F8FA"/>
            <w:tcMar>
              <w:top w:w="90" w:type="dxa"/>
              <w:left w:w="90" w:type="dxa"/>
              <w:bottom w:w="90" w:type="dxa"/>
              <w:right w:w="90" w:type="dxa"/>
            </w:tcMar>
          </w:tcPr>
          <w:p>
            <w:pPr>
              <w:spacing w:after="0"/>
            </w:pPr>
            <w:r>
              <w:rPr>
                <w:sz w:val="16"/>
              </w:rPr>
              <w:t>Feb 2035</w:t>
            </w:r>
          </w:p>
        </w:tc>
      </w:tr>
    </w:tbl>
    <w:p>
      <w:pPr>
        <w:pStyle w:val="Heading2"/>
      </w:pPr>
      <w:r>
        <w:t>Safety and Mission Assurance</w:t>
      </w:r>
    </w:p>
    <w:p>
      <w:pPr/>
      <w:r>
        <w:t>The project applies controlled requirements, hazard analysis, independent quality oversight, parts and materials screening, nonconformance disposition, serialized configuration and documented readiness reviews. Hazards include stored energy, fluid containment, high voltage, radiation, moving mechanisms, thermal surfaces and potential loss of user service as applicable.</w:t>
      </w:r>
    </w:p>
    <w:p>
      <w:pPr/>
      <w:r>
        <w:t>For Rovenna Cryogenic Transit Demonstrator, the initial risk concentration is Cryocooler reliability, transfer-valve leakage, microgravity level bias, contamination, thermal parasitics and propulsion-system integration. Safety-related controls receive independent verification; mission success and medical or food-use claims require separate acceptance evidence.</w:t>
      </w:r>
    </w:p>
    <w:p>
      <w:pPr>
        <w:pStyle w:val="Heading2"/>
      </w:pPr>
      <w:r>
        <w:t>Prototyping Model Philosophy Qualification and Verification Strategy</w:t>
      </w:r>
    </w:p>
    <w:p>
      <w:pPr/>
      <w:r>
        <w:t>The reference model philosophy comprises an electrical integration article, engineering or breadboard articles for novel functions, a structural/thermal qualification article and 1 flight or delivered unit(s). Every unit receives end-to-end functional, environmental workmanship, communications, safety and calibration testing. Qualification of a representative article does not waive acceptance of later units.</w:t>
      </w:r>
    </w:p>
    <w:p>
      <w:pPr/>
      <w:r>
        <w:t>Verification records state the exact serial number, software version, procedures, environmental settings, anomalies and concessions. The commissioning review compares as-delivered performance to the reference allocation before operations begin.</w:t>
      </w:r>
    </w:p>
    <w:p>
      <w:pPr>
        <w:pStyle w:val="Heading2"/>
      </w:pPr>
      <w:r>
        <w:t>Sparing Strategy</w:t>
      </w:r>
    </w:p>
    <w:p>
      <w:pPr>
        <w:pStyle w:val="BodyText"/>
      </w:pPr>
      <w:r>
        <w:t>Flight spares are allocated for critical, long lead and failure-prone units. A maintained engineering article and ground support equipment support anomaly reproduction and software validation. The final spare quantities and holding costs belong in Part B.</w:t>
      </w:r>
    </w:p>
    <w:p>
      <w:pPr>
        <w:pStyle w:val="Heading2"/>
      </w:pPr>
      <w:r>
        <w:t>Risk Assessment</w:t>
      </w:r>
    </w:p>
    <w:p>
      <w:pPr/>
      <w:r>
        <w:t>The Part C risk register controls risk probability, cost and schedule exposure. Principal threats: Cryocooler reliability, transfer-valve leakage, microgravity level bias, contamination, thermal parasitics and propulsion-system integration. Each has an owner, trigger, planned mitigation and residual exposure. Design reserves on mass, power, data and propellant or consumables are reported separately from financial contingency.</w:t>
      </w:r>
    </w:p>
    <w:p>
      <w:pPr>
        <w:pStyle w:val="Heading2"/>
      </w:pPr>
      <w:r>
        <w:t>Organizational Breakdown Structure</w:t>
      </w:r>
    </w:p>
    <w:p>
      <w:pPr>
        <w:pStyle w:val="Heading3"/>
      </w:pPr>
      <w:r>
        <w:t>Space Agencies and Government Organizations</w:t>
      </w:r>
    </w:p>
    <w:p>
      <w:pPr>
        <w:pStyle w:val="Caption"/>
      </w:pPr>
      <w:r>
        <w:t>Table 6 – Mission Organizations</w:t>
      </w:r>
    </w:p>
    <w:tbl>
      <w:tblPr>
        <w:tblStyle w:val="TableGrid"/>
        <w:tblW w:type="auto" w:w="0"/>
        <w:jc w:val="center"/>
        <w:tblLayout w:type="fixed"/>
        <w:tblLook w:firstColumn="1" w:firstRow="1" w:lastColumn="0" w:lastRow="0" w:noHBand="0" w:noVBand="1" w:val="04A0"/>
      </w:tblPr>
      <w:tblGrid>
        <w:gridCol w:w="2880"/>
        <w:gridCol w:w="1728"/>
        <w:gridCol w:w="4608"/>
      </w:tblGrid>
      <w:tr>
        <w:trPr>
          <w:tblHeader w:val="true"/>
        </w:trPr>
        <w:tc>
          <w:tcPr>
            <w:tcW w:type="dxa" w:w="3120"/>
            <w:vAlign w:val="center"/>
            <w:shd w:fill="DDE6EF"/>
            <w:tcMar>
              <w:top w:w="90" w:type="dxa"/>
              <w:left w:w="90" w:type="dxa"/>
              <w:bottom w:w="90" w:type="dxa"/>
              <w:right w:w="90" w:type="dxa"/>
            </w:tcMar>
          </w:tcPr>
          <w:p>
            <w:pPr>
              <w:spacing w:after="0"/>
            </w:pPr>
            <w:r>
              <w:rPr>
                <w:b/>
                <w:sz w:val="16"/>
              </w:rPr>
              <w:t>Partner</w:t>
            </w:r>
          </w:p>
        </w:tc>
        <w:tc>
          <w:tcPr>
            <w:tcW w:type="dxa" w:w="3120"/>
            <w:vAlign w:val="center"/>
            <w:shd w:fill="DDE6EF"/>
            <w:tcMar>
              <w:top w:w="90" w:type="dxa"/>
              <w:left w:w="90" w:type="dxa"/>
              <w:bottom w:w="90" w:type="dxa"/>
              <w:right w:w="90" w:type="dxa"/>
            </w:tcMar>
          </w:tcPr>
          <w:p>
            <w:pPr>
              <w:spacing w:after="0"/>
            </w:pPr>
            <w:r>
              <w:rPr>
                <w:b/>
                <w:sz w:val="16"/>
              </w:rPr>
              <w:t>Jurisdiction</w:t>
            </w:r>
          </w:p>
        </w:tc>
        <w:tc>
          <w:tcPr>
            <w:tcW w:type="dxa" w:w="3120"/>
            <w:vAlign w:val="center"/>
            <w:shd w:fill="DDE6EF"/>
            <w:tcMar>
              <w:top w:w="90" w:type="dxa"/>
              <w:left w:w="90" w:type="dxa"/>
              <w:bottom w:w="90" w:type="dxa"/>
              <w:right w:w="90" w:type="dxa"/>
            </w:tcMar>
          </w:tcPr>
          <w:p>
            <w:pPr>
              <w:spacing w:after="0"/>
            </w:pPr>
            <w:r>
              <w:rPr>
                <w:b/>
                <w:sz w:val="16"/>
              </w:rPr>
              <w:t>Proposed role</w:t>
            </w:r>
          </w:p>
        </w:tc>
      </w:tr>
      <w:tr>
        <w:tc>
          <w:tcPr>
            <w:tcW w:type="dxa" w:w="3120"/>
            <w:vAlign w:val="center"/>
            <w:tcMar>
              <w:top w:w="90" w:type="dxa"/>
              <w:left w:w="90" w:type="dxa"/>
              <w:bottom w:w="90" w:type="dxa"/>
              <w:right w:w="90" w:type="dxa"/>
            </w:tcMar>
          </w:tcPr>
          <w:p>
            <w:pPr>
              <w:spacing w:after="0"/>
            </w:pPr>
            <w:r>
              <w:rPr>
                <w:sz w:val="16"/>
              </w:rPr>
              <w:t>Elarven Flight Technology Directorate</w:t>
            </w:r>
          </w:p>
        </w:tc>
        <w:tc>
          <w:tcPr>
            <w:tcW w:type="dxa" w:w="3120"/>
            <w:vAlign w:val="center"/>
            <w:tcMar>
              <w:top w:w="90" w:type="dxa"/>
              <w:left w:w="90" w:type="dxa"/>
              <w:bottom w:w="90" w:type="dxa"/>
              <w:right w:w="90" w:type="dxa"/>
            </w:tcMar>
          </w:tcPr>
          <w:p>
            <w:pPr>
              <w:spacing w:after="0"/>
            </w:pPr>
            <w:r>
              <w:rPr>
                <w:sz w:val="16"/>
              </w:rPr>
              <w:t>Mission jurisdiction</w:t>
            </w:r>
          </w:p>
        </w:tc>
        <w:tc>
          <w:tcPr>
            <w:tcW w:type="dxa" w:w="3120"/>
            <w:vAlign w:val="center"/>
            <w:tcMar>
              <w:top w:w="90" w:type="dxa"/>
              <w:left w:w="90" w:type="dxa"/>
              <w:bottom w:w="90" w:type="dxa"/>
              <w:right w:w="90" w:type="dxa"/>
            </w:tcMar>
          </w:tcPr>
          <w:p>
            <w:pPr>
              <w:spacing w:after="0"/>
            </w:pPr>
            <w:r>
              <w:rPr>
                <w:sz w:val="16"/>
              </w:rPr>
              <w:t>mission authority, procurement, project assurance and acceptance.</w:t>
            </w:r>
          </w:p>
        </w:tc>
      </w:tr>
    </w:tbl>
    <w:p>
      <w:pPr>
        <w:pStyle w:val="Heading3"/>
      </w:pPr>
      <w:r>
        <w:t>Industrial Partners</w:t>
      </w:r>
    </w:p>
    <w:p>
      <w:pPr>
        <w:pStyle w:val="Caption"/>
      </w:pPr>
      <w:r>
        <w:t>Table 7 – Industrial Partners</w:t>
      </w:r>
    </w:p>
    <w:tbl>
      <w:tblPr>
        <w:tblStyle w:val="TableGrid"/>
        <w:tblW w:type="auto" w:w="0"/>
        <w:jc w:val="center"/>
        <w:tblLayout w:type="fixed"/>
        <w:tblLook w:firstColumn="1" w:firstRow="1" w:lastColumn="0" w:lastRow="0" w:noHBand="0" w:noVBand="1" w:val="04A0"/>
      </w:tblPr>
      <w:tblGrid>
        <w:gridCol w:w="2880"/>
        <w:gridCol w:w="1728"/>
        <w:gridCol w:w="4608"/>
      </w:tblGrid>
      <w:tr>
        <w:trPr>
          <w:tblHeader w:val="true"/>
        </w:trPr>
        <w:tc>
          <w:tcPr>
            <w:tcW w:type="dxa" w:w="3120"/>
            <w:vAlign w:val="center"/>
            <w:shd w:fill="DDE6EF"/>
            <w:tcMar>
              <w:top w:w="90" w:type="dxa"/>
              <w:left w:w="90" w:type="dxa"/>
              <w:bottom w:w="90" w:type="dxa"/>
              <w:right w:w="90" w:type="dxa"/>
            </w:tcMar>
          </w:tcPr>
          <w:p>
            <w:pPr>
              <w:spacing w:after="0"/>
            </w:pPr>
            <w:r>
              <w:rPr>
                <w:b/>
                <w:sz w:val="16"/>
              </w:rPr>
              <w:t>Partner</w:t>
            </w:r>
          </w:p>
        </w:tc>
        <w:tc>
          <w:tcPr>
            <w:tcW w:type="dxa" w:w="3120"/>
            <w:vAlign w:val="center"/>
            <w:shd w:fill="DDE6EF"/>
            <w:tcMar>
              <w:top w:w="90" w:type="dxa"/>
              <w:left w:w="90" w:type="dxa"/>
              <w:bottom w:w="90" w:type="dxa"/>
              <w:right w:w="90" w:type="dxa"/>
            </w:tcMar>
          </w:tcPr>
          <w:p>
            <w:pPr>
              <w:spacing w:after="0"/>
            </w:pPr>
            <w:r>
              <w:rPr>
                <w:b/>
                <w:sz w:val="16"/>
              </w:rPr>
              <w:t>Domain</w:t>
            </w:r>
          </w:p>
        </w:tc>
        <w:tc>
          <w:tcPr>
            <w:tcW w:type="dxa" w:w="3120"/>
            <w:vAlign w:val="center"/>
            <w:shd w:fill="DDE6EF"/>
            <w:tcMar>
              <w:top w:w="90" w:type="dxa"/>
              <w:left w:w="90" w:type="dxa"/>
              <w:bottom w:w="90" w:type="dxa"/>
              <w:right w:w="90" w:type="dxa"/>
            </w:tcMar>
          </w:tcPr>
          <w:p>
            <w:pPr>
              <w:spacing w:after="0"/>
            </w:pPr>
            <w:r>
              <w:rPr>
                <w:b/>
                <w:sz w:val="16"/>
              </w:rPr>
              <w:t>Proposed role</w:t>
            </w:r>
          </w:p>
        </w:tc>
      </w:tr>
      <w:tr>
        <w:tc>
          <w:tcPr>
            <w:tcW w:type="dxa" w:w="3120"/>
            <w:vAlign w:val="center"/>
            <w:tcMar>
              <w:top w:w="90" w:type="dxa"/>
              <w:left w:w="90" w:type="dxa"/>
              <w:bottom w:w="90" w:type="dxa"/>
              <w:right w:w="90" w:type="dxa"/>
            </w:tcMar>
          </w:tcPr>
          <w:p>
            <w:pPr>
              <w:spacing w:after="0"/>
            </w:pPr>
            <w:r>
              <w:rPr>
                <w:sz w:val="16"/>
              </w:rPr>
              <w:t>Valtrix Orbital Engineering</w:t>
            </w:r>
          </w:p>
        </w:tc>
        <w:tc>
          <w:tcPr>
            <w:tcW w:type="dxa" w:w="3120"/>
            <w:vAlign w:val="center"/>
            <w:tcMar>
              <w:top w:w="90" w:type="dxa"/>
              <w:left w:w="90" w:type="dxa"/>
              <w:bottom w:w="90" w:type="dxa"/>
              <w:right w:w="90" w:type="dxa"/>
            </w:tcMar>
          </w:tcPr>
          <w:p>
            <w:pPr>
              <w:spacing w:after="0"/>
            </w:pPr>
            <w:r>
              <w:rPr>
                <w:sz w:val="16"/>
              </w:rPr>
              <w:t>Mission supply chain</w:t>
            </w:r>
          </w:p>
        </w:tc>
        <w:tc>
          <w:tcPr>
            <w:tcW w:type="dxa" w:w="3120"/>
            <w:vAlign w:val="center"/>
            <w:tcMar>
              <w:top w:w="90" w:type="dxa"/>
              <w:left w:w="90" w:type="dxa"/>
              <w:bottom w:w="90" w:type="dxa"/>
              <w:right w:w="90" w:type="dxa"/>
            </w:tcMar>
          </w:tcPr>
          <w:p>
            <w:pPr>
              <w:spacing w:after="0"/>
            </w:pPr>
            <w:r>
              <w:rPr>
                <w:sz w:val="16"/>
              </w:rPr>
              <w:t>integrated unit design, manufacture and system verification.</w:t>
            </w:r>
          </w:p>
        </w:tc>
      </w:tr>
      <w:tr>
        <w:tc>
          <w:tcPr>
            <w:tcW w:type="dxa" w:w="3120"/>
            <w:vAlign w:val="center"/>
            <w:shd w:fill="F6F8FA"/>
            <w:tcMar>
              <w:top w:w="90" w:type="dxa"/>
              <w:left w:w="90" w:type="dxa"/>
              <w:bottom w:w="90" w:type="dxa"/>
              <w:right w:w="90" w:type="dxa"/>
            </w:tcMar>
          </w:tcPr>
          <w:p>
            <w:pPr>
              <w:spacing w:after="0"/>
            </w:pPr>
            <w:r>
              <w:rPr>
                <w:sz w:val="16"/>
              </w:rPr>
              <w:t>Qeruvon Cryogenic Works</w:t>
            </w:r>
          </w:p>
        </w:tc>
        <w:tc>
          <w:tcPr>
            <w:tcW w:type="dxa" w:w="3120"/>
            <w:vAlign w:val="center"/>
            <w:shd w:fill="F6F8FA"/>
            <w:tcMar>
              <w:top w:w="90" w:type="dxa"/>
              <w:left w:w="90" w:type="dxa"/>
              <w:bottom w:w="90" w:type="dxa"/>
              <w:right w:w="90" w:type="dxa"/>
            </w:tcMar>
          </w:tcPr>
          <w:p>
            <w:pPr>
              <w:spacing w:after="0"/>
            </w:pPr>
            <w:r>
              <w:rPr>
                <w:sz w:val="16"/>
              </w:rPr>
              <w:t>Mission supply chain</w:t>
            </w:r>
          </w:p>
        </w:tc>
        <w:tc>
          <w:tcPr>
            <w:tcW w:type="dxa" w:w="3120"/>
            <w:vAlign w:val="center"/>
            <w:shd w:fill="F6F8FA"/>
            <w:tcMar>
              <w:top w:w="90" w:type="dxa"/>
              <w:left w:w="90" w:type="dxa"/>
              <w:bottom w:w="90" w:type="dxa"/>
              <w:right w:w="90" w:type="dxa"/>
            </w:tcMar>
          </w:tcPr>
          <w:p>
            <w:pPr>
              <w:spacing w:after="0"/>
            </w:pPr>
            <w:r>
              <w:rPr>
                <w:sz w:val="16"/>
              </w:rPr>
              <w:t>payload/process equipment and acceptance calibration.</w:t>
            </w:r>
          </w:p>
        </w:tc>
      </w:tr>
      <w:tr>
        <w:tc>
          <w:tcPr>
            <w:tcW w:type="dxa" w:w="3120"/>
            <w:vAlign w:val="center"/>
            <w:tcMar>
              <w:top w:w="90" w:type="dxa"/>
              <w:left w:w="90" w:type="dxa"/>
              <w:bottom w:w="90" w:type="dxa"/>
              <w:right w:w="90" w:type="dxa"/>
            </w:tcMar>
          </w:tcPr>
          <w:p>
            <w:pPr>
              <w:spacing w:after="0"/>
            </w:pPr>
            <w:r>
              <w:rPr>
                <w:sz w:val="16"/>
              </w:rPr>
              <w:t>Fervalis Launch Partnership</w:t>
            </w:r>
          </w:p>
        </w:tc>
        <w:tc>
          <w:tcPr>
            <w:tcW w:type="dxa" w:w="3120"/>
            <w:vAlign w:val="center"/>
            <w:tcMar>
              <w:top w:w="90" w:type="dxa"/>
              <w:left w:w="90" w:type="dxa"/>
              <w:bottom w:w="90" w:type="dxa"/>
              <w:right w:w="90" w:type="dxa"/>
            </w:tcMar>
          </w:tcPr>
          <w:p>
            <w:pPr>
              <w:spacing w:after="0"/>
            </w:pPr>
            <w:r>
              <w:rPr>
                <w:sz w:val="16"/>
              </w:rPr>
              <w:t>Mission supply chain</w:t>
            </w:r>
          </w:p>
        </w:tc>
        <w:tc>
          <w:tcPr>
            <w:tcW w:type="dxa" w:w="3120"/>
            <w:vAlign w:val="center"/>
            <w:tcMar>
              <w:top w:w="90" w:type="dxa"/>
              <w:left w:w="90" w:type="dxa"/>
              <w:bottom w:w="90" w:type="dxa"/>
              <w:right w:w="90" w:type="dxa"/>
            </w:tcMar>
          </w:tcPr>
          <w:p>
            <w:pPr>
              <w:spacing w:after="0"/>
            </w:pPr>
            <w:r>
              <w:rPr>
                <w:sz w:val="16"/>
              </w:rPr>
              <w:t>delivery, campaign operations and associated interfaces.</w:t>
            </w:r>
          </w:p>
        </w:tc>
      </w:tr>
      <w:tr>
        <w:tc>
          <w:tcPr>
            <w:tcW w:type="dxa" w:w="3120"/>
            <w:vAlign w:val="center"/>
            <w:shd w:fill="F6F8FA"/>
            <w:tcMar>
              <w:top w:w="90" w:type="dxa"/>
              <w:left w:w="90" w:type="dxa"/>
              <w:bottom w:w="90" w:type="dxa"/>
              <w:right w:w="90" w:type="dxa"/>
            </w:tcMar>
          </w:tcPr>
          <w:p>
            <w:pPr>
              <w:spacing w:after="0"/>
            </w:pPr>
            <w:r>
              <w:rPr>
                <w:sz w:val="16"/>
              </w:rPr>
              <w:t>Seleran Ground Operations</w:t>
            </w:r>
          </w:p>
        </w:tc>
        <w:tc>
          <w:tcPr>
            <w:tcW w:type="dxa" w:w="3120"/>
            <w:vAlign w:val="center"/>
            <w:shd w:fill="F6F8FA"/>
            <w:tcMar>
              <w:top w:w="90" w:type="dxa"/>
              <w:left w:w="90" w:type="dxa"/>
              <w:bottom w:w="90" w:type="dxa"/>
              <w:right w:w="90" w:type="dxa"/>
            </w:tcMar>
          </w:tcPr>
          <w:p>
            <w:pPr>
              <w:spacing w:after="0"/>
            </w:pPr>
            <w:r>
              <w:rPr>
                <w:sz w:val="16"/>
              </w:rPr>
              <w:t>Mission supply chain</w:t>
            </w:r>
          </w:p>
        </w:tc>
        <w:tc>
          <w:tcPr>
            <w:tcW w:type="dxa" w:w="3120"/>
            <w:vAlign w:val="center"/>
            <w:shd w:fill="F6F8FA"/>
            <w:tcMar>
              <w:top w:w="90" w:type="dxa"/>
              <w:left w:w="90" w:type="dxa"/>
              <w:bottom w:w="90" w:type="dxa"/>
              <w:right w:w="90" w:type="dxa"/>
            </w:tcMar>
          </w:tcPr>
          <w:p>
            <w:pPr>
              <w:spacing w:after="0"/>
            </w:pPr>
            <w:r>
              <w:rPr>
                <w:sz w:val="16"/>
              </w:rPr>
              <w:t>ground network, receiving interfaces and operations support.</w:t>
            </w:r>
          </w:p>
        </w:tc>
      </w:tr>
    </w:tbl>
    <w:p>
      <w:pPr>
        <w:pStyle w:val="Heading3"/>
      </w:pPr>
      <w:r>
        <w:t>Participating Academic Institutions</w:t>
      </w:r>
    </w:p>
    <w:p>
      <w:pPr>
        <w:pStyle w:val="Caption"/>
      </w:pPr>
      <w:r>
        <w:t>Table 8 – Research Institutions</w:t>
      </w:r>
    </w:p>
    <w:tbl>
      <w:tblPr>
        <w:tblStyle w:val="TableGrid"/>
        <w:tblW w:type="auto" w:w="0"/>
        <w:jc w:val="center"/>
        <w:tblLayout w:type="fixed"/>
        <w:tblLook w:firstColumn="1" w:firstRow="1" w:lastColumn="0" w:lastRow="0" w:noHBand="0" w:noVBand="1" w:val="04A0"/>
      </w:tblPr>
      <w:tblGrid>
        <w:gridCol w:w="2880"/>
        <w:gridCol w:w="1728"/>
        <w:gridCol w:w="4608"/>
      </w:tblGrid>
      <w:tr>
        <w:trPr>
          <w:tblHeader w:val="true"/>
        </w:trPr>
        <w:tc>
          <w:tcPr>
            <w:tcW w:type="dxa" w:w="3120"/>
            <w:vAlign w:val="center"/>
            <w:shd w:fill="DDE6EF"/>
            <w:tcMar>
              <w:top w:w="90" w:type="dxa"/>
              <w:left w:w="90" w:type="dxa"/>
              <w:bottom w:w="90" w:type="dxa"/>
              <w:right w:w="90" w:type="dxa"/>
            </w:tcMar>
          </w:tcPr>
          <w:p>
            <w:pPr>
              <w:spacing w:after="0"/>
            </w:pPr>
            <w:r>
              <w:rPr>
                <w:b/>
                <w:sz w:val="16"/>
              </w:rPr>
              <w:t>Institution</w:t>
            </w:r>
          </w:p>
        </w:tc>
        <w:tc>
          <w:tcPr>
            <w:tcW w:type="dxa" w:w="3120"/>
            <w:vAlign w:val="center"/>
            <w:shd w:fill="DDE6EF"/>
            <w:tcMar>
              <w:top w:w="90" w:type="dxa"/>
              <w:left w:w="90" w:type="dxa"/>
              <w:bottom w:w="90" w:type="dxa"/>
              <w:right w:w="90" w:type="dxa"/>
            </w:tcMar>
          </w:tcPr>
          <w:p>
            <w:pPr>
              <w:spacing w:after="0"/>
            </w:pPr>
            <w:r>
              <w:rPr>
                <w:b/>
                <w:sz w:val="16"/>
              </w:rPr>
              <w:t>Domain</w:t>
            </w:r>
          </w:p>
        </w:tc>
        <w:tc>
          <w:tcPr>
            <w:tcW w:type="dxa" w:w="3120"/>
            <w:vAlign w:val="center"/>
            <w:shd w:fill="DDE6EF"/>
            <w:tcMar>
              <w:top w:w="90" w:type="dxa"/>
              <w:left w:w="90" w:type="dxa"/>
              <w:bottom w:w="90" w:type="dxa"/>
              <w:right w:w="90" w:type="dxa"/>
            </w:tcMar>
          </w:tcPr>
          <w:p>
            <w:pPr>
              <w:spacing w:after="0"/>
            </w:pPr>
            <w:r>
              <w:rPr>
                <w:b/>
                <w:sz w:val="16"/>
              </w:rPr>
              <w:t>Proposed contribution</w:t>
            </w:r>
          </w:p>
        </w:tc>
      </w:tr>
      <w:tr>
        <w:tc>
          <w:tcPr>
            <w:tcW w:type="dxa" w:w="3120"/>
            <w:vAlign w:val="center"/>
            <w:tcMar>
              <w:top w:w="90" w:type="dxa"/>
              <w:left w:w="90" w:type="dxa"/>
              <w:bottom w:w="90" w:type="dxa"/>
              <w:right w:w="90" w:type="dxa"/>
            </w:tcMar>
          </w:tcPr>
          <w:p>
            <w:pPr>
              <w:spacing w:after="0"/>
            </w:pPr>
            <w:r>
              <w:rPr>
                <w:sz w:val="16"/>
              </w:rPr>
              <w:t>Mirellis Thermal Institute</w:t>
            </w:r>
          </w:p>
        </w:tc>
        <w:tc>
          <w:tcPr>
            <w:tcW w:type="dxa" w:w="3120"/>
            <w:vAlign w:val="center"/>
            <w:tcMar>
              <w:top w:w="90" w:type="dxa"/>
              <w:left w:w="90" w:type="dxa"/>
              <w:bottom w:w="90" w:type="dxa"/>
              <w:right w:w="90" w:type="dxa"/>
            </w:tcMar>
          </w:tcPr>
          <w:p>
            <w:pPr>
              <w:spacing w:after="0"/>
            </w:pPr>
            <w:r>
              <w:rPr>
                <w:sz w:val="16"/>
              </w:rPr>
              <w:t>Science consortium</w:t>
            </w:r>
          </w:p>
        </w:tc>
        <w:tc>
          <w:tcPr>
            <w:tcW w:type="dxa" w:w="3120"/>
            <w:vAlign w:val="center"/>
            <w:tcMar>
              <w:top w:w="90" w:type="dxa"/>
              <w:left w:w="90" w:type="dxa"/>
              <w:bottom w:w="90" w:type="dxa"/>
              <w:right w:w="90" w:type="dxa"/>
            </w:tcMar>
          </w:tcPr>
          <w:p>
            <w:pPr>
              <w:spacing w:after="0"/>
            </w:pPr>
            <w:r>
              <w:rPr>
                <w:sz w:val="16"/>
              </w:rPr>
              <w:t>science or user requirements, calibration, data validation and exploitation.</w:t>
            </w:r>
          </w:p>
        </w:tc>
      </w:tr>
    </w:tbl>
    <w:p>
      <w:pPr>
        <w:pStyle w:val="Heading3"/>
      </w:pPr>
      <w:r>
        <w:t>Scientific Leadership (Principal Investigator)</w:t>
      </w:r>
    </w:p>
    <w:p>
      <w:pPr>
        <w:pStyle w:val="Caption"/>
      </w:pPr>
      <w:r>
        <w:t>Table 9 – Scientific Leadership</w:t>
      </w:r>
    </w:p>
    <w:tbl>
      <w:tblPr>
        <w:tblStyle w:val="TableGrid"/>
        <w:tblW w:type="auto" w:w="0"/>
        <w:jc w:val="center"/>
        <w:tblLayout w:type="fixed"/>
        <w:tblLook w:firstColumn="1" w:firstRow="1" w:lastColumn="0" w:lastRow="0" w:noHBand="0" w:noVBand="1" w:val="04A0"/>
      </w:tblPr>
      <w:tblGrid>
        <w:gridCol w:w="2880"/>
        <w:gridCol w:w="2016"/>
        <w:gridCol w:w="4320"/>
      </w:tblGrid>
      <w:tr>
        <w:trPr>
          <w:tblHeader w:val="true"/>
        </w:trPr>
        <w:tc>
          <w:tcPr>
            <w:tcW w:type="dxa" w:w="3120"/>
            <w:vAlign w:val="center"/>
            <w:shd w:fill="DDE6EF"/>
            <w:tcMar>
              <w:top w:w="90" w:type="dxa"/>
              <w:left w:w="90" w:type="dxa"/>
              <w:bottom w:w="90" w:type="dxa"/>
              <w:right w:w="90" w:type="dxa"/>
            </w:tcMar>
          </w:tcPr>
          <w:p>
            <w:pPr>
              <w:spacing w:after="0"/>
            </w:pPr>
            <w:r>
              <w:rPr>
                <w:b/>
                <w:sz w:val="16"/>
              </w:rPr>
              <w:t>Position</w:t>
            </w:r>
          </w:p>
        </w:tc>
        <w:tc>
          <w:tcPr>
            <w:tcW w:type="dxa" w:w="3120"/>
            <w:vAlign w:val="center"/>
            <w:shd w:fill="DDE6EF"/>
            <w:tcMar>
              <w:top w:w="90" w:type="dxa"/>
              <w:left w:w="90" w:type="dxa"/>
              <w:bottom w:w="90" w:type="dxa"/>
              <w:right w:w="90" w:type="dxa"/>
            </w:tcMar>
          </w:tcPr>
          <w:p>
            <w:pPr>
              <w:spacing w:after="0"/>
            </w:pPr>
            <w:r>
              <w:rPr>
                <w:b/>
                <w:sz w:val="16"/>
              </w:rPr>
              <w:t>Assigned individual</w:t>
            </w:r>
          </w:p>
        </w:tc>
        <w:tc>
          <w:tcPr>
            <w:tcW w:type="dxa" w:w="3120"/>
            <w:vAlign w:val="center"/>
            <w:shd w:fill="DDE6EF"/>
            <w:tcMar>
              <w:top w:w="90" w:type="dxa"/>
              <w:left w:w="90" w:type="dxa"/>
              <w:bottom w:w="90" w:type="dxa"/>
              <w:right w:w="90" w:type="dxa"/>
            </w:tcMar>
          </w:tcPr>
          <w:p>
            <w:pPr>
              <w:spacing w:after="0"/>
            </w:pPr>
            <w:r>
              <w:rPr>
                <w:b/>
                <w:sz w:val="16"/>
              </w:rPr>
              <w:t>Affiliation</w:t>
            </w:r>
          </w:p>
        </w:tc>
      </w:tr>
      <w:tr>
        <w:tc>
          <w:tcPr>
            <w:tcW w:type="dxa" w:w="3120"/>
            <w:vAlign w:val="center"/>
            <w:tcMar>
              <w:top w:w="90" w:type="dxa"/>
              <w:left w:w="90" w:type="dxa"/>
              <w:bottom w:w="90" w:type="dxa"/>
              <w:right w:w="90" w:type="dxa"/>
            </w:tcMar>
          </w:tcPr>
          <w:p>
            <w:pPr>
              <w:spacing w:after="0"/>
            </w:pPr>
            <w:r>
              <w:rPr>
                <w:sz w:val="16"/>
              </w:rPr>
              <w:t>Principal investigator</w:t>
            </w:r>
          </w:p>
        </w:tc>
        <w:tc>
          <w:tcPr>
            <w:tcW w:type="dxa" w:w="3120"/>
            <w:vAlign w:val="center"/>
            <w:tcMar>
              <w:top w:w="90" w:type="dxa"/>
              <w:left w:w="90" w:type="dxa"/>
              <w:bottom w:w="90" w:type="dxa"/>
              <w:right w:w="90" w:type="dxa"/>
            </w:tcMar>
          </w:tcPr>
          <w:p>
            <w:pPr>
              <w:spacing w:after="0"/>
            </w:pPr>
            <w:r>
              <w:rPr>
                <w:sz w:val="16"/>
              </w:rPr>
              <w:t>Tavren Elovar</w:t>
            </w:r>
          </w:p>
        </w:tc>
        <w:tc>
          <w:tcPr>
            <w:tcW w:type="dxa" w:w="3120"/>
            <w:vAlign w:val="center"/>
            <w:tcMar>
              <w:top w:w="90" w:type="dxa"/>
              <w:left w:w="90" w:type="dxa"/>
              <w:bottom w:w="90" w:type="dxa"/>
              <w:right w:w="90" w:type="dxa"/>
            </w:tcMar>
          </w:tcPr>
          <w:p>
            <w:pPr>
              <w:spacing w:after="0"/>
            </w:pPr>
            <w:r>
              <w:rPr>
                <w:sz w:val="16"/>
              </w:rPr>
              <w:t>Mirellis Thermal Institute</w:t>
            </w:r>
          </w:p>
        </w:tc>
      </w:tr>
      <w:tr>
        <w:tc>
          <w:tcPr>
            <w:tcW w:type="dxa" w:w="3120"/>
            <w:vAlign w:val="center"/>
            <w:shd w:fill="F6F8FA"/>
            <w:tcMar>
              <w:top w:w="90" w:type="dxa"/>
              <w:left w:w="90" w:type="dxa"/>
              <w:bottom w:w="90" w:type="dxa"/>
              <w:right w:w="90" w:type="dxa"/>
            </w:tcMar>
          </w:tcPr>
          <w:p>
            <w:pPr>
              <w:spacing w:after="0"/>
            </w:pPr>
            <w:r>
              <w:rPr>
                <w:sz w:val="16"/>
              </w:rPr>
              <w:t>Instrument scientist</w:t>
            </w:r>
          </w:p>
        </w:tc>
        <w:tc>
          <w:tcPr>
            <w:tcW w:type="dxa" w:w="3120"/>
            <w:vAlign w:val="center"/>
            <w:shd w:fill="F6F8FA"/>
            <w:tcMar>
              <w:top w:w="90" w:type="dxa"/>
              <w:left w:w="90" w:type="dxa"/>
              <w:bottom w:w="90" w:type="dxa"/>
              <w:right w:w="90" w:type="dxa"/>
            </w:tcMar>
          </w:tcPr>
          <w:p>
            <w:pPr>
              <w:spacing w:after="0"/>
            </w:pPr>
            <w:r>
              <w:rPr>
                <w:sz w:val="16"/>
              </w:rPr>
              <w:t>Mirev Solanar</w:t>
            </w:r>
          </w:p>
        </w:tc>
        <w:tc>
          <w:tcPr>
            <w:tcW w:type="dxa" w:w="3120"/>
            <w:vAlign w:val="center"/>
            <w:shd w:fill="F6F8FA"/>
            <w:tcMar>
              <w:top w:w="90" w:type="dxa"/>
              <w:left w:w="90" w:type="dxa"/>
              <w:bottom w:w="90" w:type="dxa"/>
              <w:right w:w="90" w:type="dxa"/>
            </w:tcMar>
          </w:tcPr>
          <w:p>
            <w:pPr>
              <w:spacing w:after="0"/>
            </w:pPr>
            <w:r>
              <w:rPr>
                <w:sz w:val="16"/>
              </w:rPr>
              <w:t>Qeruvon Cryogenic Works</w:t>
            </w:r>
          </w:p>
        </w:tc>
      </w:tr>
    </w:tbl>
    <w:sectPr w:rsidR="007E7DA8" w:rsidRPr="00D26B54" w:rsidSect="00E81DCD">
      <w:footerReference w:type="default" r:id="rId16"/>
      <w:headerReference w:type="default" r:id="rId19"/>
      <w:footnotePr>
        <w:numRestart w:val="eachPage"/>
      </w:footnotePr>
      <w:pgSz w:w="12240" w:h="15840" w:code="1"/>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D83DAF" w14:textId="77777777" w:rsidR="00AD7A76" w:rsidRDefault="00AD7A76">
      <w:r>
        <w:separator/>
      </w:r>
    </w:p>
  </w:endnote>
  <w:endnote w:type="continuationSeparator" w:id="0">
    <w:p w14:paraId="58087F25" w14:textId="77777777" w:rsidR="00AD7A76" w:rsidRDefault="00AD7A76">
      <w:r>
        <w:continuationSeparator/>
      </w:r>
    </w:p>
  </w:endnote>
  <w:endnote w:type="continuationNotice" w:id="1">
    <w:p w14:paraId="51F0BB4B" w14:textId="77777777" w:rsidR="00AD7A76" w:rsidRDefault="00AD7A7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4FD09" w14:textId="1B2F9087" w:rsidR="008F5539" w:rsidRDefault="008F553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956D6A">
      <w:rPr>
        <w:rStyle w:val="PageNumber"/>
        <w:noProof/>
      </w:rPr>
      <w:t>i</w:t>
    </w:r>
    <w:r>
      <w:rPr>
        <w:rStyle w:val="PageNumber"/>
      </w:rPr>
      <w:fldChar w:fldCharType="end"/>
    </w:r>
  </w:p>
  <w:p w14:paraId="3B3C0974" w14:textId="77777777" w:rsidR="008F5539" w:rsidRDefault="008F553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E4C14" w14:textId="36C34B1D" w:rsidR="008F5539" w:rsidRDefault="000D1E1E">
    <w:pPr>
      <w:pStyle w:val="Footer"/>
      <w:ind w:right="360"/>
    </w:pPr>
    <w:r>
      <w:rPr>
        <w:noProof/>
        <w:sz w:val="20"/>
        <w:lang w:val="en-CA" w:eastAsia="en-CA"/>
      </w:rPr>
      <mc:AlternateContent>
        <mc:Choice Requires="wps">
          <w:drawing>
            <wp:anchor distT="0" distB="0" distL="114300" distR="114300" simplePos="0" relativeHeight="251658240" behindDoc="0" locked="0" layoutInCell="1" allowOverlap="1" wp14:anchorId="75570BF8" wp14:editId="378FEF8A">
              <wp:simplePos x="0" y="0"/>
              <wp:positionH relativeFrom="margin">
                <wp:posOffset>15903</wp:posOffset>
              </wp:positionH>
              <wp:positionV relativeFrom="paragraph">
                <wp:posOffset>-1784405</wp:posOffset>
              </wp:positionV>
              <wp:extent cx="5915771" cy="1562210"/>
              <wp:effectExtent l="0" t="0" r="889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771" cy="1562210"/>
                      </a:xfrm>
                      <a:prstGeom prst="rect">
                        <a:avLst/>
                      </a:prstGeom>
                      <a:solidFill>
                        <a:srgbClr val="FFFFFF"/>
                      </a:solidFill>
                      <a:ln>
                        <a:noFill/>
                      </a:ln>
                      <a:extLst>
                        <a:ext uri="{91240B29-F687-4F45-9708-019B960494DF}">
                          <a14:hiddenLine xmlns:a14="http://schemas.microsoft.com/office/drawing/2010/main" w="9525">
                            <a:solidFill>
                              <a:srgbClr val="FF0000"/>
                            </a:solidFill>
                            <a:miter lim="800000"/>
                            <a:headEnd/>
                            <a:tailEnd/>
                          </a14:hiddenLine>
                        </a:ext>
                      </a:extLst>
                    </wps:spPr>
                    <wps:txbx>
                      <w:txbxContent>
                        <w:p w14:paraId="69D30343" w14:textId="39EC4694" w:rsidR="008F5539" w:rsidRDefault="000D1E1E" w:rsidP="00124B1A">
                          <w:pPr>
                            <w:pBdr>
                              <w:top w:val="single" w:sz="4" w:space="1" w:color="FF0000"/>
                              <w:left w:val="single" w:sz="4" w:space="4" w:color="FF0000"/>
                              <w:bottom w:val="single" w:sz="4" w:space="1" w:color="FF0000"/>
                              <w:right w:val="single" w:sz="4" w:space="4" w:color="FF0000"/>
                            </w:pBdr>
                            <w:jc w:val="center"/>
                            <w:rPr>
                              <w:rFonts w:ascii="Arial" w:hAnsi="Arial" w:cs="Arial"/>
                              <w:b/>
                              <w:color w:val="FF0000"/>
                              <w:sz w:val="16"/>
                            </w:rPr>
                          </w:pPr>
                          <w:r>
                            <w:rPr>
                              <w:rFonts w:ascii="Arial" w:hAnsi="Arial" w:cs="Arial"/>
                              <w:b/>
                              <w:color w:val="FF0000"/>
                              <w:sz w:val="16"/>
                            </w:rPr>
                            <w:t>ATTENTION</w:t>
                          </w:r>
                        </w:p>
                        <w:p w14:paraId="385C6F50" w14:textId="77777777" w:rsidR="000D1E1E" w:rsidRDefault="000D1E1E" w:rsidP="00124B1A">
                          <w:pPr>
                            <w:pBdr>
                              <w:top w:val="single" w:sz="4" w:space="1" w:color="FF0000"/>
                              <w:left w:val="single" w:sz="4" w:space="4" w:color="FF0000"/>
                              <w:bottom w:val="single" w:sz="4" w:space="1" w:color="FF0000"/>
                              <w:right w:val="single" w:sz="4" w:space="4" w:color="FF0000"/>
                            </w:pBdr>
                            <w:jc w:val="center"/>
                            <w:rPr>
                              <w:rFonts w:ascii="Arial" w:hAnsi="Arial" w:cs="Arial"/>
                              <w:b/>
                              <w:color w:val="FF0000"/>
                              <w:sz w:val="16"/>
                            </w:rPr>
                          </w:pPr>
                        </w:p>
                        <w:p w14:paraId="4B56D981" w14:textId="77777777" w:rsidR="000D1E1E" w:rsidRPr="000D1E1E" w:rsidRDefault="000D1E1E" w:rsidP="000D1E1E">
                          <w:pPr>
                            <w:pBdr>
                              <w:top w:val="single" w:sz="4" w:space="1" w:color="FF0000"/>
                              <w:left w:val="single" w:sz="4" w:space="4" w:color="FF0000"/>
                              <w:bottom w:val="single" w:sz="4" w:space="1" w:color="FF0000"/>
                              <w:right w:val="single" w:sz="4" w:space="4" w:color="FF0000"/>
                            </w:pBdr>
                            <w:spacing w:after="60"/>
                            <w:jc w:val="center"/>
                            <w:rPr>
                              <w:rFonts w:ascii="Arial" w:hAnsi="Arial" w:cs="Arial"/>
                              <w:bCs/>
                              <w:color w:val="FF0000"/>
                              <w:sz w:val="16"/>
                            </w:rPr>
                          </w:pPr>
                          <w:r w:rsidRPr="000D1E1E">
                            <w:rPr>
                              <w:rFonts w:ascii="Arial" w:hAnsi="Arial" w:cs="Arial"/>
                              <w:bCs/>
                              <w:color w:val="FF0000"/>
                              <w:sz w:val="16"/>
                            </w:rPr>
                            <w:t>All individuals handling this information are required to protect it from unauthorized disclosure.</w:t>
                          </w:r>
                        </w:p>
                        <w:p w14:paraId="672EF7CA" w14:textId="77777777" w:rsidR="000D1E1E" w:rsidRPr="000D1E1E" w:rsidRDefault="000D1E1E" w:rsidP="000D1E1E">
                          <w:pPr>
                            <w:pBdr>
                              <w:top w:val="single" w:sz="4" w:space="1" w:color="FF0000"/>
                              <w:left w:val="single" w:sz="4" w:space="4" w:color="FF0000"/>
                              <w:bottom w:val="single" w:sz="4" w:space="1" w:color="FF0000"/>
                              <w:right w:val="single" w:sz="4" w:space="4" w:color="FF0000"/>
                            </w:pBdr>
                            <w:spacing w:after="60"/>
                            <w:jc w:val="center"/>
                            <w:rPr>
                              <w:rFonts w:ascii="Arial" w:hAnsi="Arial" w:cs="Arial"/>
                              <w:bCs/>
                              <w:color w:val="FF0000"/>
                              <w:sz w:val="16"/>
                            </w:rPr>
                          </w:pPr>
                          <w:r w:rsidRPr="000D1E1E">
                            <w:rPr>
                              <w:rFonts w:ascii="Arial" w:hAnsi="Arial" w:cs="Arial"/>
                              <w:bCs/>
                              <w:color w:val="FF0000"/>
                              <w:sz w:val="16"/>
                            </w:rPr>
                            <w:t>Handling, storage, reproduction and disposition of the attached document(s) must be in accordance with applicable agency policy from Protected B documents.</w:t>
                          </w:r>
                        </w:p>
                        <w:p w14:paraId="7CFA9196" w14:textId="5CAB8DB6" w:rsidR="000D1E1E" w:rsidRPr="000D1E1E" w:rsidRDefault="000D1E1E" w:rsidP="000D1E1E">
                          <w:pPr>
                            <w:pBdr>
                              <w:top w:val="single" w:sz="4" w:space="1" w:color="FF0000"/>
                              <w:left w:val="single" w:sz="4" w:space="4" w:color="FF0000"/>
                              <w:bottom w:val="single" w:sz="4" w:space="1" w:color="FF0000"/>
                              <w:right w:val="single" w:sz="4" w:space="4" w:color="FF0000"/>
                            </w:pBdr>
                            <w:spacing w:after="60"/>
                            <w:jc w:val="center"/>
                            <w:rPr>
                              <w:rFonts w:ascii="Arial" w:hAnsi="Arial" w:cs="Arial"/>
                              <w:bCs/>
                              <w:color w:val="FF0000"/>
                              <w:sz w:val="16"/>
                            </w:rPr>
                          </w:pPr>
                          <w:r w:rsidRPr="000D1E1E">
                            <w:rPr>
                              <w:rFonts w:ascii="Arial" w:hAnsi="Arial" w:cs="Arial"/>
                              <w:bCs/>
                              <w:color w:val="FF0000"/>
                              <w:sz w:val="16"/>
                            </w:rPr>
                            <w:t>Access and dissemination of Protect B information shall be allowed as necessary and permissible to any individua(s), organizations(s), or grouping(s) of users, provided such access of dissemination is consistent with or in furtherance of Lawful Govt purpose and in a manner consistent with applicable law, regulation and Government-wide policies.</w:t>
                          </w:r>
                        </w:p>
                        <w:p w14:paraId="626144DF" w14:textId="7B6DD1EC" w:rsidR="00E733B2" w:rsidRDefault="008F5539" w:rsidP="000D1E1E">
                          <w:pPr>
                            <w:spacing w:before="120"/>
                            <w:jc w:val="center"/>
                          </w:pPr>
                          <w:r>
                            <w:rPr>
                              <w:rFonts w:ascii="Arial" w:hAnsi="Arial" w:cs="Arial"/>
                              <w:sz w:val="20"/>
                            </w:rPr>
                            <w:t>© H</w:t>
                          </w:r>
                          <w:r w:rsidR="00956D6A">
                            <w:rPr>
                              <w:rFonts w:ascii="Arial" w:hAnsi="Arial" w:cs="Arial"/>
                              <w:sz w:val="20"/>
                            </w:rPr>
                            <w:t>IS</w:t>
                          </w:r>
                          <w:r>
                            <w:rPr>
                              <w:rFonts w:ascii="Arial" w:hAnsi="Arial" w:cs="Arial"/>
                              <w:sz w:val="20"/>
                            </w:rPr>
                            <w:t xml:space="preserve"> MAJESTY THE </w:t>
                          </w:r>
                          <w:r w:rsidR="00956D6A">
                            <w:rPr>
                              <w:rFonts w:ascii="Arial" w:hAnsi="Arial" w:cs="Arial"/>
                              <w:sz w:val="20"/>
                            </w:rPr>
                            <w:t xml:space="preserve">KING </w:t>
                          </w:r>
                          <w:r>
                            <w:rPr>
                              <w:rFonts w:ascii="Arial" w:hAnsi="Arial" w:cs="Arial"/>
                              <w:sz w:val="20"/>
                            </w:rPr>
                            <w:t xml:space="preserve">IN RIGHT OF </w:t>
                          </w:r>
                          <w:smartTag w:uri="urn:schemas-microsoft-com:office:smarttags" w:element="country-region">
                            <w:smartTag w:uri="urn:schemas-microsoft-com:office:smarttags" w:element="place">
                              <w:r>
                                <w:rPr>
                                  <w:rFonts w:ascii="Arial" w:hAnsi="Arial" w:cs="Arial"/>
                                  <w:sz w:val="20"/>
                                </w:rPr>
                                <w:t>CANADA</w:t>
                              </w:r>
                            </w:smartTag>
                          </w:smartTag>
                          <w:r>
                            <w:rPr>
                              <w:rFonts w:ascii="Arial" w:hAnsi="Arial" w:cs="Arial"/>
                              <w:sz w:val="20"/>
                            </w:rPr>
                            <w:t xml:space="preserve"> 20</w:t>
                          </w:r>
                          <w:r w:rsidR="00956D6A">
                            <w:rPr>
                              <w:rFonts w:ascii="Arial" w:hAnsi="Arial" w:cs="Arial"/>
                              <w:sz w:val="20"/>
                            </w:rPr>
                            <w:t>2</w:t>
                          </w:r>
                          <w:r w:rsidR="00440BCD">
                            <w:rPr>
                              <w:rFonts w:ascii="Arial" w:hAnsi="Arial" w:cs="Arial"/>
                              <w:sz w:val="20"/>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5570BF8" id="_x0000_t202" coordsize="21600,21600" o:spt="202" path="m,l,21600r21600,l21600,xe">
              <v:stroke joinstyle="miter"/>
              <v:path gradientshapeok="t" o:connecttype="rect"/>
            </v:shapetype>
            <v:shape id="Text Box 4" o:spid="_x0000_s1029" type="#_x0000_t202" style="position:absolute;margin-left:1.25pt;margin-top:-140.5pt;width:465.8pt;height:123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" stroked="f" strokecolor="red">
              <v:textbox>
                <w:txbxContent>
                  <w:p w14:paraId="69D30343" w14:textId="39EC4694" w:rsidR="008F5539" w:rsidRDefault="000D1E1E" w:rsidP="00124B1A">
                    <w:pPr>
                      <w:pBdr>
                        <w:top w:val="single" w:sz="4" w:space="1" w:color="FF0000"/>
                        <w:left w:val="single" w:sz="4" w:space="4" w:color="FF0000"/>
                        <w:bottom w:val="single" w:sz="4" w:space="1" w:color="FF0000"/>
                        <w:right w:val="single" w:sz="4" w:space="4" w:color="FF0000"/>
                      </w:pBdr>
                      <w:jc w:val="center"/>
                      <w:rPr>
                        <w:rFonts w:ascii="Arial" w:hAnsi="Arial" w:cs="Arial"/>
                        <w:b/>
                        <w:color w:val="FF0000"/>
                        <w:sz w:val="16"/>
                      </w:rPr>
                    </w:pPr>
                    <w:r>
                      <w:rPr>
                        <w:rFonts w:ascii="Arial" w:hAnsi="Arial" w:cs="Arial"/>
                        <w:b/>
                        <w:color w:val="FF0000"/>
                        <w:sz w:val="16"/>
                      </w:rPr>
                      <w:t>ATTENTION</w:t>
                    </w:r>
                  </w:p>
                  <w:p w14:paraId="385C6F50" w14:textId="77777777" w:rsidR="000D1E1E" w:rsidRDefault="000D1E1E" w:rsidP="00124B1A">
                    <w:pPr>
                      <w:pBdr>
                        <w:top w:val="single" w:sz="4" w:space="1" w:color="FF0000"/>
                        <w:left w:val="single" w:sz="4" w:space="4" w:color="FF0000"/>
                        <w:bottom w:val="single" w:sz="4" w:space="1" w:color="FF0000"/>
                        <w:right w:val="single" w:sz="4" w:space="4" w:color="FF0000"/>
                      </w:pBdr>
                      <w:jc w:val="center"/>
                      <w:rPr>
                        <w:rFonts w:ascii="Arial" w:hAnsi="Arial" w:cs="Arial"/>
                        <w:b/>
                        <w:color w:val="FF0000"/>
                        <w:sz w:val="16"/>
                      </w:rPr>
                    </w:pPr>
                  </w:p>
                  <w:p w14:paraId="4B56D981" w14:textId="77777777" w:rsidR="000D1E1E" w:rsidRPr="000D1E1E" w:rsidRDefault="000D1E1E" w:rsidP="000D1E1E">
                    <w:pPr>
                      <w:pBdr>
                        <w:top w:val="single" w:sz="4" w:space="1" w:color="FF0000"/>
                        <w:left w:val="single" w:sz="4" w:space="4" w:color="FF0000"/>
                        <w:bottom w:val="single" w:sz="4" w:space="1" w:color="FF0000"/>
                        <w:right w:val="single" w:sz="4" w:space="4" w:color="FF0000"/>
                      </w:pBdr>
                      <w:spacing w:after="60"/>
                      <w:jc w:val="center"/>
                      <w:rPr>
                        <w:rFonts w:ascii="Arial" w:hAnsi="Arial" w:cs="Arial"/>
                        <w:bCs/>
                        <w:color w:val="FF0000"/>
                        <w:sz w:val="16"/>
                      </w:rPr>
                    </w:pPr>
                    <w:r w:rsidRPr="000D1E1E">
                      <w:rPr>
                        <w:rFonts w:ascii="Arial" w:hAnsi="Arial" w:cs="Arial"/>
                        <w:bCs/>
                        <w:color w:val="FF0000"/>
                        <w:sz w:val="16"/>
                      </w:rPr>
                      <w:t>All individuals handling this information are required to protect it from unauthorized disclosure.</w:t>
                    </w:r>
                  </w:p>
                  <w:p w14:paraId="672EF7CA" w14:textId="77777777" w:rsidR="000D1E1E" w:rsidRPr="000D1E1E" w:rsidRDefault="000D1E1E" w:rsidP="000D1E1E">
                    <w:pPr>
                      <w:pBdr>
                        <w:top w:val="single" w:sz="4" w:space="1" w:color="FF0000"/>
                        <w:left w:val="single" w:sz="4" w:space="4" w:color="FF0000"/>
                        <w:bottom w:val="single" w:sz="4" w:space="1" w:color="FF0000"/>
                        <w:right w:val="single" w:sz="4" w:space="4" w:color="FF0000"/>
                      </w:pBdr>
                      <w:spacing w:after="60"/>
                      <w:jc w:val="center"/>
                      <w:rPr>
                        <w:rFonts w:ascii="Arial" w:hAnsi="Arial" w:cs="Arial"/>
                        <w:bCs/>
                        <w:color w:val="FF0000"/>
                        <w:sz w:val="16"/>
                      </w:rPr>
                    </w:pPr>
                    <w:r w:rsidRPr="000D1E1E">
                      <w:rPr>
                        <w:rFonts w:ascii="Arial" w:hAnsi="Arial" w:cs="Arial"/>
                        <w:bCs/>
                        <w:color w:val="FF0000"/>
                        <w:sz w:val="16"/>
                      </w:rPr>
                      <w:t>Handling, storage, reproduction and disposition of the attached document(s) must be in accordance with applicable agency policy from Protected B documents.</w:t>
                    </w:r>
                  </w:p>
                  <w:p w14:paraId="7CFA9196" w14:textId="5CAB8DB6" w:rsidR="000D1E1E" w:rsidRPr="000D1E1E" w:rsidRDefault="000D1E1E" w:rsidP="000D1E1E">
                    <w:pPr>
                      <w:pBdr>
                        <w:top w:val="single" w:sz="4" w:space="1" w:color="FF0000"/>
                        <w:left w:val="single" w:sz="4" w:space="4" w:color="FF0000"/>
                        <w:bottom w:val="single" w:sz="4" w:space="1" w:color="FF0000"/>
                        <w:right w:val="single" w:sz="4" w:space="4" w:color="FF0000"/>
                      </w:pBdr>
                      <w:spacing w:after="60"/>
                      <w:jc w:val="center"/>
                      <w:rPr>
                        <w:rFonts w:ascii="Arial" w:hAnsi="Arial" w:cs="Arial"/>
                        <w:bCs/>
                        <w:color w:val="FF0000"/>
                        <w:sz w:val="16"/>
                      </w:rPr>
                    </w:pPr>
                    <w:r w:rsidRPr="000D1E1E">
                      <w:rPr>
                        <w:rFonts w:ascii="Arial" w:hAnsi="Arial" w:cs="Arial"/>
                        <w:bCs/>
                        <w:color w:val="FF0000"/>
                        <w:sz w:val="16"/>
                      </w:rPr>
                      <w:t>Access and dissemination of Protect B information shall be allowed as necessary and permissible to any individua(s), organizations(s), or grouping(s) of users, provided such access of dissemination is consistent with or in furtherance of Lawful Govt purpose and in a manner consistent with applicable law, regulation and Government-wide policies.</w:t>
                    </w:r>
                  </w:p>
                  <w:p w14:paraId="626144DF" w14:textId="7B6DD1EC" w:rsidR="00E733B2" w:rsidRDefault="008F5539" w:rsidP="000D1E1E">
                    <w:pPr>
                      <w:spacing w:before="120"/>
                      <w:jc w:val="center"/>
                    </w:pPr>
                    <w:r>
                      <w:rPr>
                        <w:rFonts w:ascii="Arial" w:hAnsi="Arial" w:cs="Arial"/>
                        <w:sz w:val="20"/>
                      </w:rPr>
                      <w:t>© H</w:t>
                    </w:r>
                    <w:r w:rsidR="00956D6A">
                      <w:rPr>
                        <w:rFonts w:ascii="Arial" w:hAnsi="Arial" w:cs="Arial"/>
                        <w:sz w:val="20"/>
                      </w:rPr>
                      <w:t>IS</w:t>
                    </w:r>
                    <w:r>
                      <w:rPr>
                        <w:rFonts w:ascii="Arial" w:hAnsi="Arial" w:cs="Arial"/>
                        <w:sz w:val="20"/>
                      </w:rPr>
                      <w:t xml:space="preserve"> MAJESTY THE </w:t>
                    </w:r>
                    <w:r w:rsidR="00956D6A">
                      <w:rPr>
                        <w:rFonts w:ascii="Arial" w:hAnsi="Arial" w:cs="Arial"/>
                        <w:sz w:val="20"/>
                      </w:rPr>
                      <w:t xml:space="preserve">KING </w:t>
                    </w:r>
                    <w:r>
                      <w:rPr>
                        <w:rFonts w:ascii="Arial" w:hAnsi="Arial" w:cs="Arial"/>
                        <w:sz w:val="20"/>
                      </w:rPr>
                      <w:t xml:space="preserve">IN RIGHT OF </w:t>
                    </w:r>
                    <w:smartTag w:uri="urn:schemas-microsoft-com:office:smarttags" w:element="country-region">
                      <w:smartTag w:uri="urn:schemas-microsoft-com:office:smarttags" w:element="place">
                        <w:r>
                          <w:rPr>
                            <w:rFonts w:ascii="Arial" w:hAnsi="Arial" w:cs="Arial"/>
                            <w:sz w:val="20"/>
                          </w:rPr>
                          <w:t>CANADA</w:t>
                        </w:r>
                      </w:smartTag>
                    </w:smartTag>
                    <w:r>
                      <w:rPr>
                        <w:rFonts w:ascii="Arial" w:hAnsi="Arial" w:cs="Arial"/>
                        <w:sz w:val="20"/>
                      </w:rPr>
                      <w:t xml:space="preserve"> 20</w:t>
                    </w:r>
                    <w:r w:rsidR="00956D6A">
                      <w:rPr>
                        <w:rFonts w:ascii="Arial" w:hAnsi="Arial" w:cs="Arial"/>
                        <w:sz w:val="20"/>
                      </w:rPr>
                      <w:t>2</w:t>
                    </w:r>
                    <w:r w:rsidR="00440BCD">
                      <w:rPr>
                        <w:rFonts w:ascii="Arial" w:hAnsi="Arial" w:cs="Arial"/>
                        <w:sz w:val="20"/>
                      </w:rPr>
                      <w:t>6</w:t>
                    </w:r>
                  </w:p>
                </w:txbxContent>
              </v:textbox>
              <w10:wrap anchorx="margin"/>
            </v:shape>
          </w:pict>
        </mc:Fallback>
      </mc:AlternateContent>
    </w:r>
    <w:r w:rsidR="00956D6A">
      <w:rPr>
        <w:noProof/>
        <w:lang w:val="fr-CA" w:eastAsia="fr-CA"/>
      </w:rPr>
      <w:drawing>
        <wp:anchor distT="0" distB="0" distL="114300" distR="114300" simplePos="0" relativeHeight="251658242" behindDoc="1" locked="0" layoutInCell="1" allowOverlap="1" wp14:anchorId="7BC1509E" wp14:editId="5802B767">
          <wp:simplePos x="0" y="0"/>
          <wp:positionH relativeFrom="margin">
            <wp:posOffset>-113212</wp:posOffset>
          </wp:positionH>
          <wp:positionV relativeFrom="paragraph">
            <wp:posOffset>-108857</wp:posOffset>
          </wp:positionV>
          <wp:extent cx="6309360" cy="949960"/>
          <wp:effectExtent l="0" t="0" r="0" b="2540"/>
          <wp:wrapNone/>
          <wp:docPr id="1128877965" name="Picture 1128877965"/>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 cstate="print">
                    <a:extLst>
                      <a:ext uri="{28A0092B-C50C-407E-A947-70E740481C1C}">
                        <a14:useLocalDpi xmlns:a14="http://schemas.microsoft.com/office/drawing/2010/main" val="0"/>
                      </a:ext>
                    </a:extLst>
                  </a:blip>
                  <a:stretch>
                    <a:fillRect/>
                  </a:stretch>
                </pic:blipFill>
                <pic:spPr>
                  <a:xfrm>
                    <a:off x="0" y="0"/>
                    <a:ext cx="6309360" cy="949960"/>
                  </a:xfrm>
                  <a:prstGeom prst="rect">
                    <a:avLst/>
                  </a:prstGeom>
                </pic:spPr>
              </pic:pic>
            </a:graphicData>
          </a:graphic>
          <wp14:sizeRelH relativeFrom="page">
            <wp14:pctWidth>0</wp14:pctWidth>
          </wp14:sizeRelH>
          <wp14:sizeRelV relativeFrom="page">
            <wp14:pctHeight>0</wp14:pctHeight>
          </wp14:sizeRelV>
        </wp:anchor>
      </w:drawing>
    </w:r>
  </w:p>
  <w:p w14:paraId="2F8B1677" w14:textId="77777777" w:rsidR="008F5539" w:rsidRPr="00184471" w:rsidRDefault="008F5539">
    <w:pPr>
      <w:pStyle w:val="Footer"/>
      <w:ind w:right="360"/>
      <w:rPr>
        <w:lang w:val="fr-C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C8BE7" w14:textId="1CAA83D0" w:rsidR="008F5539" w:rsidRDefault="00956D6A" w:rsidP="00956D6A">
    <w:pPr>
      <w:pStyle w:val="Footer"/>
      <w:tabs>
        <w:tab w:val="clear" w:pos="4320"/>
        <w:tab w:val="clear" w:pos="8640"/>
        <w:tab w:val="center" w:pos="4680"/>
        <w:tab w:val="right" w:pos="9360"/>
      </w:tabs>
      <w:jc w:val="center"/>
      <w:rPr>
        <w:sz w:val="16"/>
      </w:rPr>
    </w:pPr>
    <w:r>
      <w:rPr>
        <w:noProof/>
        <w:lang w:val="fr-CA" w:eastAsia="fr-CA"/>
      </w:rPr>
      <w:drawing>
        <wp:anchor distT="0" distB="0" distL="114300" distR="114300" simplePos="0" relativeHeight="251658241" behindDoc="1" locked="0" layoutInCell="1" allowOverlap="1" wp14:anchorId="548F90F0" wp14:editId="7404AE40">
          <wp:simplePos x="0" y="0"/>
          <wp:positionH relativeFrom="margin">
            <wp:posOffset>-265611</wp:posOffset>
          </wp:positionH>
          <wp:positionV relativeFrom="paragraph">
            <wp:posOffset>-291737</wp:posOffset>
          </wp:positionV>
          <wp:extent cx="6309360" cy="949960"/>
          <wp:effectExtent l="0" t="0" r="0" b="2540"/>
          <wp:wrapNone/>
          <wp:docPr id="19" name="Picture 1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 cstate="print">
                    <a:extLst>
                      <a:ext uri="{28A0092B-C50C-407E-A947-70E740481C1C}">
                        <a14:useLocalDpi xmlns:a14="http://schemas.microsoft.com/office/drawing/2010/main" val="0"/>
                      </a:ext>
                    </a:extLst>
                  </a:blip>
                  <a:stretch>
                    <a:fillRect/>
                  </a:stretch>
                </pic:blipFill>
                <pic:spPr>
                  <a:xfrm>
                    <a:off x="0" y="0"/>
                    <a:ext cx="6309360" cy="949960"/>
                  </a:xfrm>
                  <a:prstGeom prst="rect">
                    <a:avLst/>
                  </a:prstGeom>
                </pic:spPr>
              </pic:pic>
            </a:graphicData>
          </a:graphic>
          <wp14:sizeRelH relativeFrom="page">
            <wp14:pctWidth>0</wp14:pctWidth>
          </wp14:sizeRelH>
          <wp14:sizeRelV relativeFrom="page">
            <wp14:pctHeight>0</wp14:pctHeight>
          </wp14:sizeRelV>
        </wp:anchor>
      </w:drawing>
    </w:r>
    <w:r w:rsidR="008F5539">
      <w:rPr>
        <w:rStyle w:val="PageNumber"/>
      </w:rPr>
      <w:fldChar w:fldCharType="begin"/>
    </w:r>
    <w:r w:rsidR="008F5539">
      <w:rPr>
        <w:rStyle w:val="PageNumber"/>
      </w:rPr>
      <w:instrText xml:space="preserve"> PAGE </w:instrText>
    </w:r>
    <w:r w:rsidR="008F5539">
      <w:rPr>
        <w:rStyle w:val="PageNumber"/>
      </w:rPr>
      <w:fldChar w:fldCharType="separate"/>
    </w:r>
    <w:r w:rsidR="00A34DD4">
      <w:rPr>
        <w:rStyle w:val="PageNumber"/>
        <w:noProof/>
      </w:rPr>
      <w:t>vi</w:t>
    </w:r>
    <w:r w:rsidR="008F5539">
      <w:rPr>
        <w:rStyle w:val="PageNumber"/>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4E078" w14:textId="514E8B72" w:rsidR="00B02A74" w:rsidRDefault="00B02A74">
    <w:pPr>
      <w:pStyle w:val="Footer"/>
      <w:pBdr>
        <w:top w:val="single" w:sz="6" w:space="1" w:color="auto"/>
      </w:pBdr>
      <w:tabs>
        <w:tab w:val="clear" w:pos="4320"/>
        <w:tab w:val="clear" w:pos="8640"/>
        <w:tab w:val="center" w:pos="4680"/>
        <w:tab w:val="right" w:pos="9360"/>
      </w:tabs>
      <w:jc w:val="right"/>
    </w:pPr>
    <w:r>
      <w:t>CADRe Part A  •  RCT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FB7A3" w14:textId="77777777" w:rsidR="00AD7A76" w:rsidRDefault="00AD7A76">
      <w:r>
        <w:separator/>
      </w:r>
    </w:p>
  </w:footnote>
  <w:footnote w:type="continuationSeparator" w:id="0">
    <w:p w14:paraId="36B43A57" w14:textId="77777777" w:rsidR="00AD7A76" w:rsidRDefault="00AD7A76">
      <w:r>
        <w:continuationSeparator/>
      </w:r>
    </w:p>
  </w:footnote>
  <w:footnote w:type="continuationNotice" w:id="1">
    <w:p w14:paraId="12267820" w14:textId="77777777" w:rsidR="00AD7A76" w:rsidRDefault="00AD7A7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FC303" w14:textId="4FAE5751" w:rsidR="0055106C" w:rsidRDefault="007E07C5">
    <w:pPr>
      <w:pStyle w:val="Header"/>
    </w:pPr>
    <w:r>
      <w:rPr>
        <w:noProof/>
        <w:color w:val="C00000"/>
        <w:sz w:val="32"/>
        <w:szCs w:val="40"/>
      </w:rPr>
      <mc:AlternateContent>
        <mc:Choice Requires="wps">
          <w:drawing>
            <wp:anchor distT="0" distB="0" distL="114300" distR="114300" simplePos="0" relativeHeight="251661319" behindDoc="0" locked="0" layoutInCell="0" allowOverlap="1" wp14:anchorId="6E589ABC" wp14:editId="07D1F66D">
              <wp:simplePos x="0" y="0"/>
              <wp:positionH relativeFrom="page">
                <wp:align>right</wp:align>
              </wp:positionH>
              <wp:positionV relativeFrom="page">
                <wp:align>top</wp:align>
              </wp:positionV>
              <wp:extent cx="7772400" cy="442595"/>
              <wp:effectExtent l="0" t="0" r="0" b="14605"/>
              <wp:wrapNone/>
              <wp:docPr id="32" name="MSIPCM4b1248959ed1a1e080037217" descr="{&quot;HashCode&quot;:1337052541,&quot;Height&quot;:9999999.0,&quot;Width&quot;:9999999.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4425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1C28B7D" w14:textId="2B7885BF" w:rsidR="007E07C5" w:rsidRPr="00666C39" w:rsidRDefault="00666C39" w:rsidP="00666C39">
                          <w:pPr>
                            <w:jc w:val="right"/>
                            <w:rPr>
                              <w:rFonts w:ascii="Arial" w:hAnsi="Arial" w:cs="Arial"/>
                              <w:color w:val="FF0000"/>
                            </w:rPr>
                          </w:pPr>
                          <w:r w:rsidRPr="00666C39">
                            <w:rPr>
                              <w:rFonts w:ascii="Arial" w:hAnsi="Arial" w:cs="Arial"/>
                              <w:color w:val="FF0000"/>
                            </w:rPr>
                            <w:t>PROTÉGÉ B / PROTECTED B</w:t>
                          </w:r>
                        </w:p>
                      </w:txbxContent>
                    </wps:txbx>
                    <wps:bodyPr rot="0" spcFirstLastPara="0" vertOverflow="overflow" horzOverflow="overflow" vert="horz" wrap="square" lIns="91440" tIns="0" rIns="254000" bIns="0" numCol="1" spcCol="0" rtlCol="0" fromWordArt="0" anchor="ctr" anchorCtr="0" forceAA="0" compatLnSpc="1">
                      <a:prstTxWarp prst="textNoShape">
                        <a:avLst/>
                      </a:prstTxWarp>
                      <a:noAutofit/>
                    </wps:bodyPr>
                  </wps:wsp>
                </a:graphicData>
              </a:graphic>
            </wp:anchor>
          </w:drawing>
        </mc:Choice>
        <mc:Fallback>
          <w:pict>
            <v:shapetype w14:anchorId="6E589ABC" id="_x0000_t202" coordsize="21600,21600" o:spt="202" path="m,l,21600r21600,l21600,xe">
              <v:stroke joinstyle="miter"/>
              <v:path gradientshapeok="t" o:connecttype="rect"/>
            </v:shapetype>
            <v:shape id="MSIPCM4b1248959ed1a1e080037217" o:spid="_x0000_s1028" type="#_x0000_t202" alt="{&quot;HashCode&quot;:1337052541,&quot;Height&quot;:9999999.0,&quot;Width&quot;:9999999.0,&quot;Placement&quot;:&quot;Header&quot;,&quot;Index&quot;:&quot;Primary&quot;,&quot;Section&quot;:1,&quot;Top&quot;:0.0,&quot;Left&quot;:0.0}" style="position:absolute;margin-left:560.8pt;margin-top:0;width:612pt;height:34.85pt;z-index:251661319;visibility:visible;mso-wrap-style:square;mso-wrap-distance-left:9pt;mso-wrap-distance-top:0;mso-wrap-distance-right:9pt;mso-wrap-distance-bottom:0;mso-position-horizontal:right;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" o:allowincell="f" filled="f" stroked="f" strokeweight=".5pt">
              <v:textbox inset=",0,20pt,0">
                <w:txbxContent>
                  <w:p w14:paraId="51C28B7D" w14:textId="2B7885BF" w:rsidR="007E07C5" w:rsidRPr="00666C39" w:rsidRDefault="00666C39" w:rsidP="00666C39">
                    <w:pPr>
                      <w:jc w:val="right"/>
                      <w:rPr>
                        <w:rFonts w:ascii="Arial" w:hAnsi="Arial" w:cs="Arial"/>
                        <w:color w:val="FF0000"/>
                      </w:rPr>
                    </w:pPr>
                    <w:r w:rsidRPr="00666C39">
                      <w:rPr>
                        <w:rFonts w:ascii="Arial" w:hAnsi="Arial" w:cs="Arial"/>
                        <w:color w:val="FF0000"/>
                      </w:rPr>
                      <w:t>PROTÉGÉ B / PROTECTED B</w:t>
                    </w:r>
                  </w:p>
                </w:txbxContent>
              </v:textbox>
              <w10:wrap anchorx="page" anchory="page"/>
            </v:shape>
          </w:pict>
        </mc:Fallback>
      </mc:AlternateContent>
    </w:r>
    <w:r w:rsidR="0055106C" w:rsidRPr="005B2F73">
      <w:rPr>
        <w:noProof/>
        <w:color w:val="C00000"/>
        <w:sz w:val="32"/>
        <w:szCs w:val="40"/>
      </w:rPr>
      <w:drawing>
        <wp:anchor distT="0" distB="0" distL="114300" distR="114300" simplePos="0" relativeHeight="251658248" behindDoc="1" locked="0" layoutInCell="1" allowOverlap="1" wp14:anchorId="7449ACFA" wp14:editId="497DF006">
          <wp:simplePos x="0" y="0"/>
          <wp:positionH relativeFrom="column">
            <wp:posOffset>0</wp:posOffset>
          </wp:positionH>
          <wp:positionV relativeFrom="paragraph">
            <wp:posOffset>0</wp:posOffset>
          </wp:positionV>
          <wp:extent cx="914400" cy="922655"/>
          <wp:effectExtent l="0" t="0" r="0" b="0"/>
          <wp:wrapNone/>
          <wp:docPr id="1815450666" name="Picture 1815450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92265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45B23" w14:textId="7337D5C2" w:rsidR="007E7DA8" w:rsidRDefault="007E7DA8">
    <w:pPr>
      <w:pStyle w:val="Header"/>
    </w:pPr>
    <w:r>
      <w:rPr>
        <w:noProof/>
      </w:rPr>
      <mc:AlternateContent>
        <mc:Choice Requires="wps">
          <w:drawing>
            <wp:anchor distT="0" distB="0" distL="114300" distR="114300" simplePos="0" relativeHeight="251658245" behindDoc="0" locked="0" layoutInCell="0" allowOverlap="1" wp14:anchorId="40106525" wp14:editId="417A3763">
              <wp:simplePos x="0" y="190500"/>
              <wp:positionH relativeFrom="page">
                <wp:align>right</wp:align>
              </wp:positionH>
              <wp:positionV relativeFrom="page">
                <wp:align>top</wp:align>
              </wp:positionV>
              <wp:extent cx="7772400" cy="442595"/>
              <wp:effectExtent l="0" t="0" r="0" b="14605"/>
              <wp:wrapNone/>
              <wp:docPr id="27" name="Text Box 27" descr="{&quot;HashCode&quot;:1337052541,&quot;Height&quot;:9999999.0,&quot;Width&quot;:9999999.0,&quot;Placement&quot;:&quot;Head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772400" cy="4425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B9F7792" w14:textId="2F224EDD" w:rsidR="007E7DA8" w:rsidRPr="0055106C" w:rsidRDefault="0055106C" w:rsidP="0055106C">
                          <w:pPr>
                            <w:jc w:val="right"/>
                            <w:rPr>
                              <w:rFonts w:ascii="Arial" w:hAnsi="Arial" w:cs="Arial"/>
                              <w:color w:val="FF0000"/>
                            </w:rPr>
                          </w:pPr>
                          <w:r w:rsidRPr="0055106C">
                            <w:rPr>
                              <w:rFonts w:ascii="Arial" w:hAnsi="Arial" w:cs="Arial"/>
                              <w:color w:val="FF0000"/>
                            </w:rPr>
                            <w:t>PROTÉGÉ B / PROTECTED B</w:t>
                          </w:r>
                        </w:p>
                      </w:txbxContent>
                    </wps:txbx>
                    <wps:bodyPr rot="0" spcFirstLastPara="0" vertOverflow="overflow" horzOverflow="overflow" vert="horz" wrap="square" lIns="91440" tIns="0" rIns="254000" bIns="0" numCol="1" spcCol="0" rtlCol="0" fromWordArt="0" anchor="ctr" anchorCtr="0" forceAA="0" compatLnSpc="1">
                      <a:prstTxWarp prst="textNoShape">
                        <a:avLst/>
                      </a:prstTxWarp>
                      <a:noAutofit/>
                    </wps:bodyPr>
                  </wps:wsp>
                </a:graphicData>
              </a:graphic>
            </wp:anchor>
          </w:drawing>
        </mc:Choice>
        <mc:Fallback>
          <w:pict>
            <v:shapetype w14:anchorId="40106525" id="_x0000_t202" coordsize="21600,21600" o:spt="202" path="m,l,21600r21600,l21600,xe">
              <v:stroke joinstyle="miter"/>
              <v:path gradientshapeok="t" o:connecttype="rect"/>
            </v:shapetype>
            <v:shape id="Text Box 27" o:spid="_x0000_s1030" type="#_x0000_t202" alt="{&quot;HashCode&quot;:1337052541,&quot;Height&quot;:9999999.0,&quot;Width&quot;:9999999.0,&quot;Placement&quot;:&quot;Header&quot;,&quot;Index&quot;:&quot;FirstPage&quot;,&quot;Section&quot;:1,&quot;Top&quot;:0.0,&quot;Left&quot;:0.0}" style="position:absolute;margin-left:560.8pt;margin-top:0;width:612pt;height:34.85pt;z-index:251658245;visibility:visible;mso-wrap-style:square;mso-wrap-distance-left:9pt;mso-wrap-distance-top:0;mso-wrap-distance-right:9pt;mso-wrap-distance-bottom:0;mso-position-horizontal:right;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" o:allowincell="f" filled="f" stroked="f" strokeweight=".5pt">
              <v:textbox inset=",0,20pt,0">
                <w:txbxContent>
                  <w:p w14:paraId="6B9F7792" w14:textId="2F224EDD" w:rsidR="007E7DA8" w:rsidRPr="0055106C" w:rsidRDefault="0055106C" w:rsidP="0055106C">
                    <w:pPr>
                      <w:jc w:val="right"/>
                      <w:rPr>
                        <w:rFonts w:ascii="Arial" w:hAnsi="Arial" w:cs="Arial"/>
                        <w:color w:val="FF0000"/>
                      </w:rPr>
                    </w:pPr>
                    <w:r w:rsidRPr="0055106C">
                      <w:rPr>
                        <w:rFonts w:ascii="Arial" w:hAnsi="Arial" w:cs="Arial"/>
                        <w:color w:val="FF0000"/>
                      </w:rPr>
                      <w:t>PROTÉGÉ B / PROTECTED B</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333C4" w14:textId="0397D9C4" w:rsidR="008F5539" w:rsidRDefault="007E07C5">
    <w:pPr>
      <w:pStyle w:val="Header"/>
      <w:pBdr>
        <w:bottom w:val="single" w:sz="4" w:space="1" w:color="auto"/>
      </w:pBdr>
      <w:tabs>
        <w:tab w:val="clear" w:pos="4320"/>
        <w:tab w:val="center" w:pos="4680"/>
      </w:tabs>
    </w:pPr>
    <w:r>
      <w:rPr>
        <w:noProof/>
      </w:rPr>
      <mc:AlternateContent>
        <mc:Choice Requires="wps">
          <w:drawing>
            <wp:anchor distT="0" distB="0" distL="114300" distR="114300" simplePos="0" relativeHeight="251661320" behindDoc="0" locked="0" layoutInCell="0" allowOverlap="1" wp14:anchorId="2615C1D7" wp14:editId="1CE774A3">
              <wp:simplePos x="0" y="0"/>
              <wp:positionH relativeFrom="page">
                <wp:align>right</wp:align>
              </wp:positionH>
              <wp:positionV relativeFrom="page">
                <wp:align>top</wp:align>
              </wp:positionV>
              <wp:extent cx="7772400" cy="442595"/>
              <wp:effectExtent l="0" t="0" r="0" b="14605"/>
              <wp:wrapNone/>
              <wp:docPr id="35" name="MSIPCMe91e4f1dbdb64296d5bbe1ce" descr="{&quot;HashCode&quot;:1337052541,&quot;Height&quot;:9999999.0,&quot;Width&quot;:9999999.0,&quot;Placement&quot;:&quot;Header&quot;,&quot;Index&quot;:&quot;Primary&quot;,&quot;Section&quot;:2,&quot;Top&quot;:0.0,&quot;Left&quot;:0.0}"/>
              <wp:cNvGraphicFramePr/>
              <a:graphic xmlns:a="http://schemas.openxmlformats.org/drawingml/2006/main">
                <a:graphicData uri="http://schemas.microsoft.com/office/word/2010/wordprocessingShape">
                  <wps:wsp>
                    <wps:cNvSpPr txBox="1"/>
                    <wps:spPr>
                      <a:xfrm>
                        <a:off x="0" y="0"/>
                        <a:ext cx="7772400" cy="4425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2FAC2B1" w14:textId="0A9C3E32" w:rsidR="007E07C5" w:rsidRPr="00666C39" w:rsidRDefault="00666C39" w:rsidP="00666C39">
                          <w:pPr>
                            <w:jc w:val="right"/>
                            <w:rPr>
                              <w:rFonts w:ascii="Arial" w:hAnsi="Arial" w:cs="Arial"/>
                              <w:color w:val="FF0000"/>
                            </w:rPr>
                          </w:pPr>
                          <w:r w:rsidRPr="00666C39">
                            <w:rPr>
                              <w:rFonts w:ascii="Arial" w:hAnsi="Arial" w:cs="Arial"/>
                              <w:color w:val="FF0000"/>
                            </w:rPr>
                            <w:t>PROTÉGÉ B / PROTECTED B</w:t>
                          </w:r>
                        </w:p>
                      </w:txbxContent>
                    </wps:txbx>
                    <wps:bodyPr rot="0" spcFirstLastPara="0" vertOverflow="overflow" horzOverflow="overflow" vert="horz" wrap="square" lIns="91440" tIns="0" rIns="254000" bIns="0" numCol="1" spcCol="0" rtlCol="0" fromWordArt="0" anchor="ctr" anchorCtr="0" forceAA="0" compatLnSpc="1">
                      <a:prstTxWarp prst="textNoShape">
                        <a:avLst/>
                      </a:prstTxWarp>
                      <a:noAutofit/>
                    </wps:bodyPr>
                  </wps:wsp>
                </a:graphicData>
              </a:graphic>
            </wp:anchor>
          </w:drawing>
        </mc:Choice>
        <mc:Fallback>
          <w:pict>
            <v:shapetype w14:anchorId="2615C1D7" id="_x0000_t202" coordsize="21600,21600" o:spt="202" path="m,l,21600r21600,l21600,xe">
              <v:stroke joinstyle="miter"/>
              <v:path gradientshapeok="t" o:connecttype="rect"/>
            </v:shapetype>
            <v:shape id="MSIPCMe91e4f1dbdb64296d5bbe1ce" o:spid="_x0000_s1031" type="#_x0000_t202" alt="{&quot;HashCode&quot;:1337052541,&quot;Height&quot;:9999999.0,&quot;Width&quot;:9999999.0,&quot;Placement&quot;:&quot;Header&quot;,&quot;Index&quot;:&quot;Primary&quot;,&quot;Section&quot;:2,&quot;Top&quot;:0.0,&quot;Left&quot;:0.0}" style="position:absolute;margin-left:560.8pt;margin-top:0;width:612pt;height:34.85pt;z-index:251661320;visibility:visible;mso-wrap-style:square;mso-wrap-distance-left:9pt;mso-wrap-distance-top:0;mso-wrap-distance-right:9pt;mso-wrap-distance-bottom:0;mso-position-horizontal:right;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" o:allowincell="f" filled="f" stroked="f" strokeweight=".5pt">
              <v:textbox inset=",0,20pt,0">
                <w:txbxContent>
                  <w:p w14:paraId="62FAC2B1" w14:textId="0A9C3E32" w:rsidR="007E07C5" w:rsidRPr="00666C39" w:rsidRDefault="00666C39" w:rsidP="00666C39">
                    <w:pPr>
                      <w:jc w:val="right"/>
                      <w:rPr>
                        <w:rFonts w:ascii="Arial" w:hAnsi="Arial" w:cs="Arial"/>
                        <w:color w:val="FF0000"/>
                      </w:rPr>
                    </w:pPr>
                    <w:r w:rsidRPr="00666C39">
                      <w:rPr>
                        <w:rFonts w:ascii="Arial" w:hAnsi="Arial" w:cs="Arial"/>
                        <w:color w:val="FF0000"/>
                      </w:rPr>
                      <w:t>PROTÉGÉ B / PROTECTED B</w:t>
                    </w:r>
                  </w:p>
                </w:txbxContent>
              </v:textbox>
              <w10:wrap anchorx="page" anchory="page"/>
            </v:shape>
          </w:pict>
        </mc:Fallback>
      </mc:AlternateContent>
    </w:r>
    <w:r w:rsidR="007E7DA8">
      <w:rPr>
        <w:noProof/>
      </w:rPr>
      <mc:AlternateContent>
        <mc:Choice Requires="wps">
          <w:drawing>
            <wp:anchor distT="0" distB="0" distL="114300" distR="114300" simplePos="0" relativeHeight="251658246" behindDoc="0" locked="0" layoutInCell="0" allowOverlap="1" wp14:anchorId="7124E168" wp14:editId="55703FA7">
              <wp:simplePos x="0" y="0"/>
              <wp:positionH relativeFrom="page">
                <wp:align>right</wp:align>
              </wp:positionH>
              <wp:positionV relativeFrom="page">
                <wp:align>top</wp:align>
              </wp:positionV>
              <wp:extent cx="7772400" cy="442595"/>
              <wp:effectExtent l="0" t="0" r="0" b="14605"/>
              <wp:wrapNone/>
              <wp:docPr id="28" name="Text Box 28" descr="{&quot;HashCode&quot;:1337052541,&quot;Height&quot;:9999999.0,&quot;Width&quot;:9999999.0,&quot;Placement&quot;:&quot;Header&quot;,&quot;Index&quot;:&quot;Primary&quot;,&quot;Section&quot;:2,&quot;Top&quot;:0.0,&quot;Left&quot;:0.0}"/>
              <wp:cNvGraphicFramePr/>
              <a:graphic xmlns:a="http://schemas.openxmlformats.org/drawingml/2006/main">
                <a:graphicData uri="http://schemas.microsoft.com/office/word/2010/wordprocessingShape">
                  <wps:wsp>
                    <wps:cNvSpPr txBox="1"/>
                    <wps:spPr>
                      <a:xfrm>
                        <a:off x="0" y="0"/>
                        <a:ext cx="7772400" cy="4425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168636F" w14:textId="6B77424F" w:rsidR="007E7DA8" w:rsidRPr="0055106C" w:rsidRDefault="0055106C" w:rsidP="0055106C">
                          <w:pPr>
                            <w:jc w:val="right"/>
                            <w:rPr>
                              <w:rFonts w:ascii="Arial" w:hAnsi="Arial" w:cs="Arial"/>
                              <w:color w:val="FF0000"/>
                            </w:rPr>
                          </w:pPr>
                          <w:r w:rsidRPr="0055106C">
                            <w:rPr>
                              <w:rFonts w:ascii="Arial" w:hAnsi="Arial" w:cs="Arial"/>
                              <w:color w:val="FF0000"/>
                            </w:rPr>
                            <w:t>PROTÉGÉ B / PROTECTED B</w:t>
                          </w:r>
                        </w:p>
                      </w:txbxContent>
                    </wps:txbx>
                    <wps:bodyPr rot="0" spcFirstLastPara="0" vertOverflow="overflow" horzOverflow="overflow" vert="horz" wrap="square" lIns="91440" tIns="0" rIns="254000" bIns="0" numCol="1" spcCol="0" rtlCol="0" fromWordArt="0" anchor="ctr" anchorCtr="0" forceAA="0" compatLnSpc="1">
                      <a:prstTxWarp prst="textNoShape">
                        <a:avLst/>
                      </a:prstTxWarp>
                      <a:noAutofit/>
                    </wps:bodyPr>
                  </wps:wsp>
                </a:graphicData>
              </a:graphic>
            </wp:anchor>
          </w:drawing>
        </mc:Choice>
        <mc:Fallback>
          <w:pict>
            <v:shape w14:anchorId="7124E168" id="Text Box 28" o:spid="_x0000_s1032" type="#_x0000_t202" alt="{&quot;HashCode&quot;:1337052541,&quot;Height&quot;:9999999.0,&quot;Width&quot;:9999999.0,&quot;Placement&quot;:&quot;Header&quot;,&quot;Index&quot;:&quot;Primary&quot;,&quot;Section&quot;:2,&quot;Top&quot;:0.0,&quot;Left&quot;:0.0}" style="position:absolute;margin-left:560.8pt;margin-top:0;width:612pt;height:34.85pt;z-index:251658246;visibility:visible;mso-wrap-style:square;mso-wrap-distance-left:9pt;mso-wrap-distance-top:0;mso-wrap-distance-right:9pt;mso-wrap-distance-bottom:0;mso-position-horizontal:right;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" o:allowincell="f" filled="f" stroked="f" strokeweight=".5pt">
              <v:textbox inset=",0,20pt,0">
                <w:txbxContent>
                  <w:p w14:paraId="2168636F" w14:textId="6B77424F" w:rsidR="007E7DA8" w:rsidRPr="0055106C" w:rsidRDefault="0055106C" w:rsidP="0055106C">
                    <w:pPr>
                      <w:jc w:val="right"/>
                      <w:rPr>
                        <w:rFonts w:ascii="Arial" w:hAnsi="Arial" w:cs="Arial"/>
                        <w:color w:val="FF0000"/>
                      </w:rPr>
                    </w:pPr>
                    <w:r w:rsidRPr="0055106C">
                      <w:rPr>
                        <w:rFonts w:ascii="Arial" w:hAnsi="Arial" w:cs="Arial"/>
                        <w:color w:val="FF0000"/>
                      </w:rPr>
                      <w:t>PROTÉGÉ B / PROTECTED B</w:t>
                    </w:r>
                  </w:p>
                </w:txbxContent>
              </v:textbox>
              <w10:wrap anchorx="page" anchory="page"/>
            </v:shape>
          </w:pict>
        </mc:Fallback>
      </mc:AlternateContent>
    </w:r>
    <w:fldSimple w:instr="TITLE  \* MERGEFORMAT">
      <w:r w:rsidR="006450EB">
        <w:t>CSA-FIN-RD-0765</w:t>
      </w:r>
    </w:fldSimple>
    <w:r w:rsidR="008F5539">
      <w:tab/>
    </w:r>
    <w:r w:rsidR="008F5539">
      <w:tab/>
    </w:r>
    <w:fldSimple w:instr="COMMENTS  \* MERGEFORMAT">
      <w:r w:rsidR="006450EB">
        <w:t>Draft 1.0</w:t>
      </w:r>
    </w:fldSimple>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4881A90"/>
    <w:lvl w:ilvl="0">
      <w:start w:val="1"/>
      <w:numFmt w:val="lowerRoman"/>
      <w:pStyle w:val="ListNumber5"/>
      <w:lvlText w:val="%1."/>
      <w:lvlJc w:val="right"/>
      <w:pPr>
        <w:ind w:left="1800" w:hanging="360"/>
      </w:pPr>
    </w:lvl>
  </w:abstractNum>
  <w:abstractNum w:abstractNumId="1" w15:restartNumberingAfterBreak="0">
    <w:nsid w:val="FFFFFF7D"/>
    <w:multiLevelType w:val="singleLevel"/>
    <w:tmpl w:val="119294B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6089F5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F0FA6FBE"/>
    <w:lvl w:ilvl="0">
      <w:start w:val="1"/>
      <w:numFmt w:val="decimal"/>
      <w:pStyle w:val="ListNumber2"/>
      <w:lvlText w:val="%1."/>
      <w:lvlJc w:val="left"/>
      <w:pPr>
        <w:ind w:left="360" w:hanging="360"/>
      </w:pPr>
    </w:lvl>
  </w:abstractNum>
  <w:abstractNum w:abstractNumId="4" w15:restartNumberingAfterBreak="0">
    <w:nsid w:val="FFFFFF80"/>
    <w:multiLevelType w:val="singleLevel"/>
    <w:tmpl w:val="CA6289B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F0219B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B0A64D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6B6CB58"/>
    <w:lvl w:ilvl="0">
      <w:start w:val="1"/>
      <w:numFmt w:val="bullet"/>
      <w:pStyle w:val="ListBullet2"/>
      <w:lvlText w:val=""/>
      <w:lvlJc w:val="left"/>
      <w:pPr>
        <w:ind w:left="720" w:hanging="360"/>
      </w:pPr>
      <w:rPr>
        <w:rFonts w:ascii="Symbol" w:hAnsi="Symbol" w:hint="default"/>
      </w:rPr>
    </w:lvl>
  </w:abstractNum>
  <w:abstractNum w:abstractNumId="8" w15:restartNumberingAfterBreak="0">
    <w:nsid w:val="FFFFFF88"/>
    <w:multiLevelType w:val="singleLevel"/>
    <w:tmpl w:val="E8D00C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DD8A83EE"/>
    <w:lvl w:ilvl="0">
      <w:start w:val="1"/>
      <w:numFmt w:val="bullet"/>
      <w:pStyle w:val="ListBullet"/>
      <w:lvlText w:val=""/>
      <w:lvlJc w:val="left"/>
      <w:pPr>
        <w:ind w:left="720" w:hanging="360"/>
      </w:pPr>
      <w:rPr>
        <w:rFonts w:ascii="Symbol" w:hAnsi="Symbol" w:hint="default"/>
      </w:rPr>
    </w:lvl>
  </w:abstractNum>
  <w:abstractNum w:abstractNumId="10" w15:restartNumberingAfterBreak="0">
    <w:nsid w:val="06E06128"/>
    <w:multiLevelType w:val="hybridMultilevel"/>
    <w:tmpl w:val="BA420D48"/>
    <w:lvl w:ilvl="0" w:tplc="935009AE">
      <w:start w:val="1"/>
      <w:numFmt w:val="decimalZero"/>
      <w:pStyle w:val="DocumentReference"/>
      <w:suff w:val="nothing"/>
      <w:lvlText w:val="RD-%1"/>
      <w:lvlJc w:val="left"/>
      <w:pPr>
        <w:ind w:left="0" w:firstLine="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17181E55"/>
    <w:multiLevelType w:val="hybridMultilevel"/>
    <w:tmpl w:val="B66A82AE"/>
    <w:lvl w:ilvl="0" w:tplc="FFFFFFFF">
      <w:start w:val="1"/>
      <w:numFmt w:val="bullet"/>
      <w:pStyle w:val="Bullet"/>
      <w:lvlText w:val=""/>
      <w:lvlJc w:val="left"/>
      <w:pPr>
        <w:tabs>
          <w:tab w:val="num" w:pos="1080"/>
        </w:tabs>
        <w:ind w:left="720" w:firstLine="0"/>
      </w:pPr>
      <w:rPr>
        <w:rFonts w:ascii="Symbol" w:hAnsi="Symbol" w:hint="default"/>
        <w:b w:val="0"/>
        <w:i w:val="0"/>
        <w:sz w:val="18"/>
      </w:rPr>
    </w:lvl>
    <w:lvl w:ilvl="1" w:tplc="FFFFFFFF" w:tentative="1">
      <w:start w:val="1"/>
      <w:numFmt w:val="bullet"/>
      <w:lvlText w:val="o"/>
      <w:lvlJc w:val="left"/>
      <w:pPr>
        <w:tabs>
          <w:tab w:val="num" w:pos="2160"/>
        </w:tabs>
        <w:ind w:left="2160" w:hanging="360"/>
      </w:pPr>
      <w:rPr>
        <w:rFonts w:ascii="Courier New" w:hAnsi="Courier New" w:cs="Helvetica"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Helvetica"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Helvetica"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12" w15:restartNumberingAfterBreak="0">
    <w:nsid w:val="289A5B10"/>
    <w:multiLevelType w:val="multilevel"/>
    <w:tmpl w:val="1F44DD9A"/>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440"/>
        </w:tabs>
        <w:ind w:left="1008" w:hanging="1008"/>
      </w:pPr>
      <w:rPr>
        <w:rFonts w:hint="default"/>
      </w:rPr>
    </w:lvl>
    <w:lvl w:ilvl="5">
      <w:start w:val="1"/>
      <w:numFmt w:val="decimal"/>
      <w:pStyle w:val="Heading6"/>
      <w:lvlText w:val="%1.%2.%3.%4.%5.%6"/>
      <w:lvlJc w:val="left"/>
      <w:pPr>
        <w:tabs>
          <w:tab w:val="num" w:pos="1440"/>
        </w:tabs>
        <w:ind w:left="1152" w:hanging="1152"/>
      </w:pPr>
      <w:rPr>
        <w:rFonts w:hint="default"/>
      </w:rPr>
    </w:lvl>
    <w:lvl w:ilvl="6">
      <w:start w:val="1"/>
      <w:numFmt w:val="upperLetter"/>
      <w:pStyle w:val="Heading7"/>
      <w:lvlText w:val="%7"/>
      <w:lvlJc w:val="left"/>
      <w:pPr>
        <w:tabs>
          <w:tab w:val="num" w:pos="432"/>
        </w:tabs>
        <w:ind w:left="432" w:hanging="432"/>
      </w:pPr>
      <w:rPr>
        <w:rFonts w:hint="default"/>
      </w:rPr>
    </w:lvl>
    <w:lvl w:ilvl="7">
      <w:start w:val="1"/>
      <w:numFmt w:val="decimal"/>
      <w:pStyle w:val="Heading8"/>
      <w:lvlText w:val="%7.%8"/>
      <w:lvlJc w:val="left"/>
      <w:pPr>
        <w:tabs>
          <w:tab w:val="num" w:pos="576"/>
        </w:tabs>
        <w:ind w:left="576" w:hanging="576"/>
      </w:pPr>
      <w:rPr>
        <w:rFonts w:hint="default"/>
      </w:rPr>
    </w:lvl>
    <w:lvl w:ilvl="8">
      <w:start w:val="1"/>
      <w:numFmt w:val="decimal"/>
      <w:pStyle w:val="Heading9"/>
      <w:lvlText w:val="%7.%8.%9"/>
      <w:lvlJc w:val="left"/>
      <w:pPr>
        <w:tabs>
          <w:tab w:val="num" w:pos="720"/>
        </w:tabs>
        <w:ind w:left="720" w:hanging="720"/>
      </w:pPr>
      <w:rPr>
        <w:rFonts w:hint="default"/>
      </w:rPr>
    </w:lvl>
  </w:abstractNum>
  <w:abstractNum w:abstractNumId="13" w15:restartNumberingAfterBreak="0">
    <w:nsid w:val="2C1C5BE5"/>
    <w:multiLevelType w:val="hybridMultilevel"/>
    <w:tmpl w:val="337ED612"/>
    <w:lvl w:ilvl="0" w:tplc="264E079A">
      <w:start w:val="1"/>
      <w:numFmt w:val="bullet"/>
      <w:pStyle w:val="Norm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DB6E42"/>
    <w:multiLevelType w:val="hybridMultilevel"/>
    <w:tmpl w:val="2FDC7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3F10029B"/>
    <w:multiLevelType w:val="hybridMultilevel"/>
    <w:tmpl w:val="83188F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880536"/>
    <w:multiLevelType w:val="hybridMultilevel"/>
    <w:tmpl w:val="15E8DA24"/>
    <w:lvl w:ilvl="0" w:tplc="1BF29316">
      <w:start w:val="1"/>
      <w:numFmt w:val="decimalZero"/>
      <w:pStyle w:val="DocumentApplicable"/>
      <w:suff w:val="nothing"/>
      <w:lvlText w:val="AD-%1"/>
      <w:lvlJc w:val="left"/>
      <w:pPr>
        <w:ind w:left="0" w:firstLine="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4E901F16"/>
    <w:multiLevelType w:val="multilevel"/>
    <w:tmpl w:val="68BA1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26084B"/>
    <w:multiLevelType w:val="hybridMultilevel"/>
    <w:tmpl w:val="93104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42D4C0D"/>
    <w:multiLevelType w:val="hybridMultilevel"/>
    <w:tmpl w:val="A820607E"/>
    <w:lvl w:ilvl="0" w:tplc="1E2CEEA2">
      <w:start w:val="1"/>
      <w:numFmt w:val="decimalZero"/>
      <w:pStyle w:val="DocumentParent"/>
      <w:suff w:val="nothing"/>
      <w:lvlText w:val="PD-%1"/>
      <w:lvlJc w:val="left"/>
      <w:pPr>
        <w:ind w:left="0" w:firstLine="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7BBC2739"/>
    <w:multiLevelType w:val="multilevel"/>
    <w:tmpl w:val="1009001D"/>
    <w:styleLink w:val="Re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7EFF5270"/>
    <w:multiLevelType w:val="hybridMultilevel"/>
    <w:tmpl w:val="F2DEB404"/>
    <w:lvl w:ilvl="0" w:tplc="9ABE0DF6">
      <w:start w:val="1"/>
      <w:numFmt w:val="decimalZero"/>
      <w:pStyle w:val="DocumentData"/>
      <w:suff w:val="nothing"/>
      <w:lvlText w:val="DD-%1"/>
      <w:lvlJc w:val="center"/>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2081174091">
    <w:abstractNumId w:val="9"/>
  </w:num>
  <w:num w:numId="2" w16cid:durableId="1204171164">
    <w:abstractNumId w:val="7"/>
  </w:num>
  <w:num w:numId="3" w16cid:durableId="1799950040">
    <w:abstractNumId w:val="8"/>
  </w:num>
  <w:num w:numId="4" w16cid:durableId="962928801">
    <w:abstractNumId w:val="3"/>
  </w:num>
  <w:num w:numId="5" w16cid:durableId="1473719967">
    <w:abstractNumId w:val="1"/>
  </w:num>
  <w:num w:numId="6" w16cid:durableId="232155844">
    <w:abstractNumId w:val="2"/>
  </w:num>
  <w:num w:numId="7" w16cid:durableId="1037194972">
    <w:abstractNumId w:val="0"/>
  </w:num>
  <w:num w:numId="8" w16cid:durableId="77093470">
    <w:abstractNumId w:val="6"/>
  </w:num>
  <w:num w:numId="9" w16cid:durableId="1351448001">
    <w:abstractNumId w:val="5"/>
  </w:num>
  <w:num w:numId="10" w16cid:durableId="910651580">
    <w:abstractNumId w:val="4"/>
  </w:num>
  <w:num w:numId="11" w16cid:durableId="479421427">
    <w:abstractNumId w:val="12"/>
  </w:num>
  <w:num w:numId="12" w16cid:durableId="1050106139">
    <w:abstractNumId w:val="19"/>
  </w:num>
  <w:num w:numId="13" w16cid:durableId="1552573594">
    <w:abstractNumId w:val="16"/>
  </w:num>
  <w:num w:numId="14" w16cid:durableId="1153527647">
    <w:abstractNumId w:val="10"/>
  </w:num>
  <w:num w:numId="15" w16cid:durableId="576473743">
    <w:abstractNumId w:val="21"/>
  </w:num>
  <w:num w:numId="16" w16cid:durableId="2094088368">
    <w:abstractNumId w:val="13"/>
  </w:num>
  <w:num w:numId="17" w16cid:durableId="367222494">
    <w:abstractNumId w:val="11"/>
  </w:num>
  <w:num w:numId="18" w16cid:durableId="46613096">
    <w:abstractNumId w:val="20"/>
  </w:num>
  <w:num w:numId="19" w16cid:durableId="2104379051">
    <w:abstractNumId w:val="18"/>
  </w:num>
  <w:num w:numId="20" w16cid:durableId="1876035712">
    <w:abstractNumId w:val="15"/>
  </w:num>
  <w:num w:numId="21" w16cid:durableId="1350908024">
    <w:abstractNumId w:val="14"/>
  </w:num>
  <w:num w:numId="22" w16cid:durableId="1063794209">
    <w:abstractNumId w:val="17"/>
  </w:num>
  <w:num w:numId="23" w16cid:durableId="44068667">
    <w:abstractNumId w:val="12"/>
  </w:num>
  <w:num w:numId="24" w16cid:durableId="1437679430">
    <w:abstractNumId w:val="12"/>
  </w:num>
  <w:num w:numId="25" w16cid:durableId="1035302847">
    <w:abstractNumId w:val="1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GrammaticalErrors/>
  <w:activeWritingStyle w:appName="MSWord" w:lang="fr-CA" w:vendorID="9" w:dllVersion="512"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numRestart w:val="eachPage"/>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7006"/>
    <w:rsid w:val="00001CA0"/>
    <w:rsid w:val="00001CF1"/>
    <w:rsid w:val="000021F1"/>
    <w:rsid w:val="00003FA9"/>
    <w:rsid w:val="000054BF"/>
    <w:rsid w:val="00005F9A"/>
    <w:rsid w:val="0001028D"/>
    <w:rsid w:val="00011ADB"/>
    <w:rsid w:val="00011C85"/>
    <w:rsid w:val="00014CC0"/>
    <w:rsid w:val="00015251"/>
    <w:rsid w:val="000165A5"/>
    <w:rsid w:val="00020C4F"/>
    <w:rsid w:val="00022412"/>
    <w:rsid w:val="000245EF"/>
    <w:rsid w:val="000274B6"/>
    <w:rsid w:val="000308BA"/>
    <w:rsid w:val="00030BDA"/>
    <w:rsid w:val="000312F3"/>
    <w:rsid w:val="0003166B"/>
    <w:rsid w:val="000318DE"/>
    <w:rsid w:val="000353C8"/>
    <w:rsid w:val="00036525"/>
    <w:rsid w:val="00036A8B"/>
    <w:rsid w:val="00036D0E"/>
    <w:rsid w:val="00040194"/>
    <w:rsid w:val="00040D45"/>
    <w:rsid w:val="00041783"/>
    <w:rsid w:val="00044BD6"/>
    <w:rsid w:val="00044F29"/>
    <w:rsid w:val="0004523D"/>
    <w:rsid w:val="00045303"/>
    <w:rsid w:val="00047E98"/>
    <w:rsid w:val="00050259"/>
    <w:rsid w:val="000508CE"/>
    <w:rsid w:val="0005255D"/>
    <w:rsid w:val="00053201"/>
    <w:rsid w:val="00054E03"/>
    <w:rsid w:val="00054E20"/>
    <w:rsid w:val="00056B39"/>
    <w:rsid w:val="000607D5"/>
    <w:rsid w:val="00061073"/>
    <w:rsid w:val="00063240"/>
    <w:rsid w:val="0006326F"/>
    <w:rsid w:val="00063376"/>
    <w:rsid w:val="000668A7"/>
    <w:rsid w:val="00066ADC"/>
    <w:rsid w:val="000715B9"/>
    <w:rsid w:val="00071BFA"/>
    <w:rsid w:val="00072A14"/>
    <w:rsid w:val="00072AC6"/>
    <w:rsid w:val="00072B3F"/>
    <w:rsid w:val="00073171"/>
    <w:rsid w:val="00075999"/>
    <w:rsid w:val="00075E74"/>
    <w:rsid w:val="00076C97"/>
    <w:rsid w:val="0008084C"/>
    <w:rsid w:val="00080F28"/>
    <w:rsid w:val="00083093"/>
    <w:rsid w:val="000842FB"/>
    <w:rsid w:val="000844A2"/>
    <w:rsid w:val="00084721"/>
    <w:rsid w:val="000911FD"/>
    <w:rsid w:val="00091E0A"/>
    <w:rsid w:val="00094B3A"/>
    <w:rsid w:val="00095698"/>
    <w:rsid w:val="000957AD"/>
    <w:rsid w:val="0009697A"/>
    <w:rsid w:val="0009786B"/>
    <w:rsid w:val="000A134C"/>
    <w:rsid w:val="000A1624"/>
    <w:rsid w:val="000A1A88"/>
    <w:rsid w:val="000A5210"/>
    <w:rsid w:val="000A6396"/>
    <w:rsid w:val="000A6EBB"/>
    <w:rsid w:val="000A741A"/>
    <w:rsid w:val="000A7F1B"/>
    <w:rsid w:val="000B0465"/>
    <w:rsid w:val="000B1D02"/>
    <w:rsid w:val="000B1F01"/>
    <w:rsid w:val="000B2C0B"/>
    <w:rsid w:val="000B316D"/>
    <w:rsid w:val="000B423C"/>
    <w:rsid w:val="000B424D"/>
    <w:rsid w:val="000B64AC"/>
    <w:rsid w:val="000B74AB"/>
    <w:rsid w:val="000C0D5F"/>
    <w:rsid w:val="000C2605"/>
    <w:rsid w:val="000C3441"/>
    <w:rsid w:val="000C38E3"/>
    <w:rsid w:val="000C49A8"/>
    <w:rsid w:val="000C697D"/>
    <w:rsid w:val="000C73A2"/>
    <w:rsid w:val="000C7D7E"/>
    <w:rsid w:val="000D1E1E"/>
    <w:rsid w:val="000D24B0"/>
    <w:rsid w:val="000D2C34"/>
    <w:rsid w:val="000D2D3B"/>
    <w:rsid w:val="000D3581"/>
    <w:rsid w:val="000D4DAD"/>
    <w:rsid w:val="000E08F2"/>
    <w:rsid w:val="000E2D29"/>
    <w:rsid w:val="000E6BEF"/>
    <w:rsid w:val="000E71E5"/>
    <w:rsid w:val="000F0FD8"/>
    <w:rsid w:val="000F1216"/>
    <w:rsid w:val="000F2141"/>
    <w:rsid w:val="000F21E6"/>
    <w:rsid w:val="000F3B14"/>
    <w:rsid w:val="000F4F1E"/>
    <w:rsid w:val="000F5378"/>
    <w:rsid w:val="000F67F5"/>
    <w:rsid w:val="00100775"/>
    <w:rsid w:val="001052F1"/>
    <w:rsid w:val="00105CB8"/>
    <w:rsid w:val="00107E68"/>
    <w:rsid w:val="001130E8"/>
    <w:rsid w:val="00113851"/>
    <w:rsid w:val="001206E0"/>
    <w:rsid w:val="00120CC4"/>
    <w:rsid w:val="00121B18"/>
    <w:rsid w:val="00124B1A"/>
    <w:rsid w:val="00124CFE"/>
    <w:rsid w:val="00125038"/>
    <w:rsid w:val="001259AA"/>
    <w:rsid w:val="00127AF1"/>
    <w:rsid w:val="00134490"/>
    <w:rsid w:val="0014255B"/>
    <w:rsid w:val="00142D07"/>
    <w:rsid w:val="0014383F"/>
    <w:rsid w:val="00143ED3"/>
    <w:rsid w:val="00150A3D"/>
    <w:rsid w:val="001516F5"/>
    <w:rsid w:val="00153787"/>
    <w:rsid w:val="00155726"/>
    <w:rsid w:val="00156B68"/>
    <w:rsid w:val="00157D82"/>
    <w:rsid w:val="00160368"/>
    <w:rsid w:val="001610D2"/>
    <w:rsid w:val="001619C9"/>
    <w:rsid w:val="00165922"/>
    <w:rsid w:val="001665C6"/>
    <w:rsid w:val="00170E1A"/>
    <w:rsid w:val="001742F4"/>
    <w:rsid w:val="00174AAB"/>
    <w:rsid w:val="0017657E"/>
    <w:rsid w:val="00180711"/>
    <w:rsid w:val="00180E24"/>
    <w:rsid w:val="001826DF"/>
    <w:rsid w:val="00184471"/>
    <w:rsid w:val="00185526"/>
    <w:rsid w:val="001870EF"/>
    <w:rsid w:val="00187410"/>
    <w:rsid w:val="00190785"/>
    <w:rsid w:val="00191896"/>
    <w:rsid w:val="00191926"/>
    <w:rsid w:val="00195A72"/>
    <w:rsid w:val="001963B5"/>
    <w:rsid w:val="00197006"/>
    <w:rsid w:val="001A036F"/>
    <w:rsid w:val="001A0E62"/>
    <w:rsid w:val="001A1E29"/>
    <w:rsid w:val="001A2BB0"/>
    <w:rsid w:val="001A3561"/>
    <w:rsid w:val="001A361A"/>
    <w:rsid w:val="001A38DF"/>
    <w:rsid w:val="001A5332"/>
    <w:rsid w:val="001A7193"/>
    <w:rsid w:val="001B059B"/>
    <w:rsid w:val="001B0F67"/>
    <w:rsid w:val="001B3427"/>
    <w:rsid w:val="001B5483"/>
    <w:rsid w:val="001B5696"/>
    <w:rsid w:val="001C088C"/>
    <w:rsid w:val="001C144E"/>
    <w:rsid w:val="001C177E"/>
    <w:rsid w:val="001C313C"/>
    <w:rsid w:val="001C5043"/>
    <w:rsid w:val="001C55C4"/>
    <w:rsid w:val="001C5812"/>
    <w:rsid w:val="001C783D"/>
    <w:rsid w:val="001C7FA5"/>
    <w:rsid w:val="001D012A"/>
    <w:rsid w:val="001D1118"/>
    <w:rsid w:val="001D15AB"/>
    <w:rsid w:val="001D17AA"/>
    <w:rsid w:val="001D1ACD"/>
    <w:rsid w:val="001D20BA"/>
    <w:rsid w:val="001D2D87"/>
    <w:rsid w:val="001D4E34"/>
    <w:rsid w:val="001D50DE"/>
    <w:rsid w:val="001D6D48"/>
    <w:rsid w:val="001D7608"/>
    <w:rsid w:val="001D7E1C"/>
    <w:rsid w:val="001E170A"/>
    <w:rsid w:val="001E1D81"/>
    <w:rsid w:val="001E57C2"/>
    <w:rsid w:val="001E709D"/>
    <w:rsid w:val="001E7E84"/>
    <w:rsid w:val="001F0679"/>
    <w:rsid w:val="001F2ABB"/>
    <w:rsid w:val="001F2B48"/>
    <w:rsid w:val="001F7768"/>
    <w:rsid w:val="00200D69"/>
    <w:rsid w:val="00204CBC"/>
    <w:rsid w:val="002060F8"/>
    <w:rsid w:val="00207566"/>
    <w:rsid w:val="00207B40"/>
    <w:rsid w:val="00210F75"/>
    <w:rsid w:val="0021146E"/>
    <w:rsid w:val="00211AEE"/>
    <w:rsid w:val="00211D03"/>
    <w:rsid w:val="00212D19"/>
    <w:rsid w:val="0021448C"/>
    <w:rsid w:val="00214DD1"/>
    <w:rsid w:val="00215AED"/>
    <w:rsid w:val="00217824"/>
    <w:rsid w:val="00221C09"/>
    <w:rsid w:val="00221ED2"/>
    <w:rsid w:val="00223A65"/>
    <w:rsid w:val="002246AB"/>
    <w:rsid w:val="00224CB1"/>
    <w:rsid w:val="00224DDB"/>
    <w:rsid w:val="00226261"/>
    <w:rsid w:val="0023031D"/>
    <w:rsid w:val="00232470"/>
    <w:rsid w:val="00232752"/>
    <w:rsid w:val="00233A0B"/>
    <w:rsid w:val="00233A63"/>
    <w:rsid w:val="00233B56"/>
    <w:rsid w:val="002356EF"/>
    <w:rsid w:val="002357A9"/>
    <w:rsid w:val="0023740D"/>
    <w:rsid w:val="00240434"/>
    <w:rsid w:val="00240576"/>
    <w:rsid w:val="0024253D"/>
    <w:rsid w:val="002436C9"/>
    <w:rsid w:val="002443F0"/>
    <w:rsid w:val="002459CB"/>
    <w:rsid w:val="00247736"/>
    <w:rsid w:val="0025136F"/>
    <w:rsid w:val="00251B20"/>
    <w:rsid w:val="0025206F"/>
    <w:rsid w:val="0025279A"/>
    <w:rsid w:val="00253DEB"/>
    <w:rsid w:val="00254EA6"/>
    <w:rsid w:val="00254FE3"/>
    <w:rsid w:val="00255162"/>
    <w:rsid w:val="002555BA"/>
    <w:rsid w:val="00255BDF"/>
    <w:rsid w:val="00262DE4"/>
    <w:rsid w:val="00263B01"/>
    <w:rsid w:val="002653D0"/>
    <w:rsid w:val="00265AE4"/>
    <w:rsid w:val="00265C1C"/>
    <w:rsid w:val="0026730D"/>
    <w:rsid w:val="0026787D"/>
    <w:rsid w:val="00267B12"/>
    <w:rsid w:val="00271777"/>
    <w:rsid w:val="002719C9"/>
    <w:rsid w:val="00273C05"/>
    <w:rsid w:val="00273E33"/>
    <w:rsid w:val="00275BD3"/>
    <w:rsid w:val="002804F9"/>
    <w:rsid w:val="002831A6"/>
    <w:rsid w:val="0028609E"/>
    <w:rsid w:val="002934AE"/>
    <w:rsid w:val="00295D68"/>
    <w:rsid w:val="002A1032"/>
    <w:rsid w:val="002A403C"/>
    <w:rsid w:val="002A40E7"/>
    <w:rsid w:val="002A464B"/>
    <w:rsid w:val="002A6947"/>
    <w:rsid w:val="002B0F6C"/>
    <w:rsid w:val="002B1866"/>
    <w:rsid w:val="002B4865"/>
    <w:rsid w:val="002B4F7E"/>
    <w:rsid w:val="002B532A"/>
    <w:rsid w:val="002C156C"/>
    <w:rsid w:val="002C1DAE"/>
    <w:rsid w:val="002C24FD"/>
    <w:rsid w:val="002C2C9C"/>
    <w:rsid w:val="002C485E"/>
    <w:rsid w:val="002C5682"/>
    <w:rsid w:val="002C5E63"/>
    <w:rsid w:val="002C6031"/>
    <w:rsid w:val="002C6C54"/>
    <w:rsid w:val="002C6D6F"/>
    <w:rsid w:val="002C709C"/>
    <w:rsid w:val="002C7555"/>
    <w:rsid w:val="002D1A33"/>
    <w:rsid w:val="002D3E2A"/>
    <w:rsid w:val="002D5AF3"/>
    <w:rsid w:val="002D60C9"/>
    <w:rsid w:val="002D668A"/>
    <w:rsid w:val="002D7AD9"/>
    <w:rsid w:val="002E166F"/>
    <w:rsid w:val="002E1E46"/>
    <w:rsid w:val="002E408F"/>
    <w:rsid w:val="002E45D3"/>
    <w:rsid w:val="002E79DE"/>
    <w:rsid w:val="002F0B6F"/>
    <w:rsid w:val="002F1C31"/>
    <w:rsid w:val="002F4A59"/>
    <w:rsid w:val="002F4D02"/>
    <w:rsid w:val="002F4DE7"/>
    <w:rsid w:val="002F5641"/>
    <w:rsid w:val="0030033B"/>
    <w:rsid w:val="0030180F"/>
    <w:rsid w:val="0030187F"/>
    <w:rsid w:val="00301A12"/>
    <w:rsid w:val="00302674"/>
    <w:rsid w:val="003039E2"/>
    <w:rsid w:val="0030481A"/>
    <w:rsid w:val="00304C8B"/>
    <w:rsid w:val="00305788"/>
    <w:rsid w:val="003072EF"/>
    <w:rsid w:val="003108A3"/>
    <w:rsid w:val="00311DBE"/>
    <w:rsid w:val="00312592"/>
    <w:rsid w:val="00312C8A"/>
    <w:rsid w:val="00313D40"/>
    <w:rsid w:val="00315898"/>
    <w:rsid w:val="003167C5"/>
    <w:rsid w:val="00316DB0"/>
    <w:rsid w:val="00317985"/>
    <w:rsid w:val="0032003C"/>
    <w:rsid w:val="0032031C"/>
    <w:rsid w:val="003204F3"/>
    <w:rsid w:val="00321F96"/>
    <w:rsid w:val="003240F2"/>
    <w:rsid w:val="00324FEE"/>
    <w:rsid w:val="00325B1A"/>
    <w:rsid w:val="00325C2D"/>
    <w:rsid w:val="00325C5E"/>
    <w:rsid w:val="00325E64"/>
    <w:rsid w:val="003260E2"/>
    <w:rsid w:val="00326699"/>
    <w:rsid w:val="003300F9"/>
    <w:rsid w:val="003315D3"/>
    <w:rsid w:val="00331784"/>
    <w:rsid w:val="003322AC"/>
    <w:rsid w:val="003330FB"/>
    <w:rsid w:val="00343A51"/>
    <w:rsid w:val="003453B5"/>
    <w:rsid w:val="0034798A"/>
    <w:rsid w:val="003513FC"/>
    <w:rsid w:val="0035297D"/>
    <w:rsid w:val="003562E1"/>
    <w:rsid w:val="00356C1B"/>
    <w:rsid w:val="00357497"/>
    <w:rsid w:val="00361941"/>
    <w:rsid w:val="00363EB7"/>
    <w:rsid w:val="00364946"/>
    <w:rsid w:val="003672CC"/>
    <w:rsid w:val="00367319"/>
    <w:rsid w:val="00367452"/>
    <w:rsid w:val="003718A5"/>
    <w:rsid w:val="0037378E"/>
    <w:rsid w:val="0037427A"/>
    <w:rsid w:val="00374766"/>
    <w:rsid w:val="0037576B"/>
    <w:rsid w:val="00377181"/>
    <w:rsid w:val="0037739B"/>
    <w:rsid w:val="00382923"/>
    <w:rsid w:val="003834BC"/>
    <w:rsid w:val="00383C66"/>
    <w:rsid w:val="00385768"/>
    <w:rsid w:val="00385E0F"/>
    <w:rsid w:val="00385E29"/>
    <w:rsid w:val="00386D13"/>
    <w:rsid w:val="003913CE"/>
    <w:rsid w:val="00391823"/>
    <w:rsid w:val="003935C4"/>
    <w:rsid w:val="0039668C"/>
    <w:rsid w:val="00396925"/>
    <w:rsid w:val="00397364"/>
    <w:rsid w:val="003A15B0"/>
    <w:rsid w:val="003A2E59"/>
    <w:rsid w:val="003A3E45"/>
    <w:rsid w:val="003A71B7"/>
    <w:rsid w:val="003A7F39"/>
    <w:rsid w:val="003B28A4"/>
    <w:rsid w:val="003B294E"/>
    <w:rsid w:val="003B3F86"/>
    <w:rsid w:val="003B4E6F"/>
    <w:rsid w:val="003B585B"/>
    <w:rsid w:val="003B7ECB"/>
    <w:rsid w:val="003C02BF"/>
    <w:rsid w:val="003C04C2"/>
    <w:rsid w:val="003C1B1A"/>
    <w:rsid w:val="003C59E4"/>
    <w:rsid w:val="003C625E"/>
    <w:rsid w:val="003C75E2"/>
    <w:rsid w:val="003D1216"/>
    <w:rsid w:val="003D23EE"/>
    <w:rsid w:val="003F046B"/>
    <w:rsid w:val="003F06F1"/>
    <w:rsid w:val="003F170E"/>
    <w:rsid w:val="003F1CF0"/>
    <w:rsid w:val="003F229D"/>
    <w:rsid w:val="003F31C4"/>
    <w:rsid w:val="003F341F"/>
    <w:rsid w:val="003F5D05"/>
    <w:rsid w:val="003F6D77"/>
    <w:rsid w:val="0040212A"/>
    <w:rsid w:val="00402149"/>
    <w:rsid w:val="00402A60"/>
    <w:rsid w:val="0040302E"/>
    <w:rsid w:val="00403FF2"/>
    <w:rsid w:val="00407F7B"/>
    <w:rsid w:val="00410BBA"/>
    <w:rsid w:val="00411FE7"/>
    <w:rsid w:val="00412C15"/>
    <w:rsid w:val="00413834"/>
    <w:rsid w:val="00416DBD"/>
    <w:rsid w:val="00421665"/>
    <w:rsid w:val="00421CBF"/>
    <w:rsid w:val="004233B9"/>
    <w:rsid w:val="0042575E"/>
    <w:rsid w:val="0042602C"/>
    <w:rsid w:val="00440BCD"/>
    <w:rsid w:val="00441BB9"/>
    <w:rsid w:val="00444A1F"/>
    <w:rsid w:val="00444C19"/>
    <w:rsid w:val="00444DF2"/>
    <w:rsid w:val="00445A9F"/>
    <w:rsid w:val="00446304"/>
    <w:rsid w:val="00450704"/>
    <w:rsid w:val="00450B67"/>
    <w:rsid w:val="004510C3"/>
    <w:rsid w:val="004567A3"/>
    <w:rsid w:val="00457B25"/>
    <w:rsid w:val="00457BE0"/>
    <w:rsid w:val="00457CB3"/>
    <w:rsid w:val="00467532"/>
    <w:rsid w:val="00470CA6"/>
    <w:rsid w:val="00471F17"/>
    <w:rsid w:val="004734AB"/>
    <w:rsid w:val="00473725"/>
    <w:rsid w:val="00476796"/>
    <w:rsid w:val="004775FD"/>
    <w:rsid w:val="004824A0"/>
    <w:rsid w:val="004826C2"/>
    <w:rsid w:val="00487565"/>
    <w:rsid w:val="00490748"/>
    <w:rsid w:val="00492899"/>
    <w:rsid w:val="00493367"/>
    <w:rsid w:val="00494184"/>
    <w:rsid w:val="00495020"/>
    <w:rsid w:val="00496142"/>
    <w:rsid w:val="00496BFF"/>
    <w:rsid w:val="00496DDC"/>
    <w:rsid w:val="004A3206"/>
    <w:rsid w:val="004A3A1A"/>
    <w:rsid w:val="004A3AF4"/>
    <w:rsid w:val="004A48B3"/>
    <w:rsid w:val="004A6A7D"/>
    <w:rsid w:val="004B15BD"/>
    <w:rsid w:val="004B19AB"/>
    <w:rsid w:val="004B219F"/>
    <w:rsid w:val="004B30C5"/>
    <w:rsid w:val="004B346E"/>
    <w:rsid w:val="004B3788"/>
    <w:rsid w:val="004B40A0"/>
    <w:rsid w:val="004B47F3"/>
    <w:rsid w:val="004B4EB9"/>
    <w:rsid w:val="004B6E0C"/>
    <w:rsid w:val="004C1378"/>
    <w:rsid w:val="004C19DE"/>
    <w:rsid w:val="004C3D3F"/>
    <w:rsid w:val="004C4A31"/>
    <w:rsid w:val="004C5C70"/>
    <w:rsid w:val="004D1183"/>
    <w:rsid w:val="004D25D8"/>
    <w:rsid w:val="004D3A74"/>
    <w:rsid w:val="004D68F9"/>
    <w:rsid w:val="004E0A24"/>
    <w:rsid w:val="004E23CD"/>
    <w:rsid w:val="004E2601"/>
    <w:rsid w:val="004E3F63"/>
    <w:rsid w:val="004E4DFE"/>
    <w:rsid w:val="004E5E64"/>
    <w:rsid w:val="004E603E"/>
    <w:rsid w:val="004E6150"/>
    <w:rsid w:val="004F2719"/>
    <w:rsid w:val="004F4BC4"/>
    <w:rsid w:val="004F73CF"/>
    <w:rsid w:val="004F796E"/>
    <w:rsid w:val="0050390E"/>
    <w:rsid w:val="00503E50"/>
    <w:rsid w:val="0050745F"/>
    <w:rsid w:val="00510A43"/>
    <w:rsid w:val="00511229"/>
    <w:rsid w:val="00512355"/>
    <w:rsid w:val="005132AB"/>
    <w:rsid w:val="00522484"/>
    <w:rsid w:val="005245E8"/>
    <w:rsid w:val="00526287"/>
    <w:rsid w:val="00526743"/>
    <w:rsid w:val="0052753A"/>
    <w:rsid w:val="00527677"/>
    <w:rsid w:val="00530180"/>
    <w:rsid w:val="005303EE"/>
    <w:rsid w:val="0053235E"/>
    <w:rsid w:val="00533A1C"/>
    <w:rsid w:val="00534020"/>
    <w:rsid w:val="00534817"/>
    <w:rsid w:val="005362A1"/>
    <w:rsid w:val="00542D61"/>
    <w:rsid w:val="00546FBF"/>
    <w:rsid w:val="0055106C"/>
    <w:rsid w:val="00555206"/>
    <w:rsid w:val="005563F2"/>
    <w:rsid w:val="005571CD"/>
    <w:rsid w:val="00557DE9"/>
    <w:rsid w:val="005607D0"/>
    <w:rsid w:val="00565045"/>
    <w:rsid w:val="0056535C"/>
    <w:rsid w:val="00572BAF"/>
    <w:rsid w:val="00573684"/>
    <w:rsid w:val="00575C1F"/>
    <w:rsid w:val="00581A88"/>
    <w:rsid w:val="0058323E"/>
    <w:rsid w:val="0058378E"/>
    <w:rsid w:val="00584522"/>
    <w:rsid w:val="00584E8B"/>
    <w:rsid w:val="00591022"/>
    <w:rsid w:val="00591511"/>
    <w:rsid w:val="00591E87"/>
    <w:rsid w:val="00592314"/>
    <w:rsid w:val="00592CD3"/>
    <w:rsid w:val="00592D28"/>
    <w:rsid w:val="00593E57"/>
    <w:rsid w:val="00594299"/>
    <w:rsid w:val="00596B3B"/>
    <w:rsid w:val="00596FE3"/>
    <w:rsid w:val="005A3407"/>
    <w:rsid w:val="005A75FB"/>
    <w:rsid w:val="005B17F2"/>
    <w:rsid w:val="005B1B33"/>
    <w:rsid w:val="005C1321"/>
    <w:rsid w:val="005C3B55"/>
    <w:rsid w:val="005C424D"/>
    <w:rsid w:val="005C4B9A"/>
    <w:rsid w:val="005C58A6"/>
    <w:rsid w:val="005D070D"/>
    <w:rsid w:val="005D07C4"/>
    <w:rsid w:val="005D37EA"/>
    <w:rsid w:val="005D4302"/>
    <w:rsid w:val="005E18FF"/>
    <w:rsid w:val="005E303B"/>
    <w:rsid w:val="005E3E4B"/>
    <w:rsid w:val="005E400E"/>
    <w:rsid w:val="005E547D"/>
    <w:rsid w:val="005E6E30"/>
    <w:rsid w:val="005F01DF"/>
    <w:rsid w:val="005F0294"/>
    <w:rsid w:val="005F4BA1"/>
    <w:rsid w:val="00601CEE"/>
    <w:rsid w:val="00602012"/>
    <w:rsid w:val="00605B13"/>
    <w:rsid w:val="006075D8"/>
    <w:rsid w:val="00611CF5"/>
    <w:rsid w:val="00614E07"/>
    <w:rsid w:val="00616F92"/>
    <w:rsid w:val="00617256"/>
    <w:rsid w:val="00617385"/>
    <w:rsid w:val="00622C59"/>
    <w:rsid w:val="00622ED7"/>
    <w:rsid w:val="00627782"/>
    <w:rsid w:val="006279C2"/>
    <w:rsid w:val="0063269D"/>
    <w:rsid w:val="00634C6B"/>
    <w:rsid w:val="00635F15"/>
    <w:rsid w:val="0064134F"/>
    <w:rsid w:val="00642FEA"/>
    <w:rsid w:val="006450EB"/>
    <w:rsid w:val="00650B07"/>
    <w:rsid w:val="0065148A"/>
    <w:rsid w:val="00652B30"/>
    <w:rsid w:val="006531B6"/>
    <w:rsid w:val="006538B5"/>
    <w:rsid w:val="006546CE"/>
    <w:rsid w:val="00654C5D"/>
    <w:rsid w:val="00660640"/>
    <w:rsid w:val="00661734"/>
    <w:rsid w:val="00664821"/>
    <w:rsid w:val="00666135"/>
    <w:rsid w:val="00666C39"/>
    <w:rsid w:val="00666FB8"/>
    <w:rsid w:val="006707FB"/>
    <w:rsid w:val="006710DE"/>
    <w:rsid w:val="00671C5E"/>
    <w:rsid w:val="006739F3"/>
    <w:rsid w:val="00675C96"/>
    <w:rsid w:val="0068025E"/>
    <w:rsid w:val="006806EA"/>
    <w:rsid w:val="00681452"/>
    <w:rsid w:val="0068709A"/>
    <w:rsid w:val="00691EB2"/>
    <w:rsid w:val="006932A2"/>
    <w:rsid w:val="006933B4"/>
    <w:rsid w:val="006960E7"/>
    <w:rsid w:val="00697D4C"/>
    <w:rsid w:val="006A0069"/>
    <w:rsid w:val="006A0D4C"/>
    <w:rsid w:val="006A466A"/>
    <w:rsid w:val="006A57FE"/>
    <w:rsid w:val="006A7DC0"/>
    <w:rsid w:val="006B0695"/>
    <w:rsid w:val="006B1151"/>
    <w:rsid w:val="006B2243"/>
    <w:rsid w:val="006B66B4"/>
    <w:rsid w:val="006C0BCA"/>
    <w:rsid w:val="006C134D"/>
    <w:rsid w:val="006C154C"/>
    <w:rsid w:val="006C1EDD"/>
    <w:rsid w:val="006C2B28"/>
    <w:rsid w:val="006C2C00"/>
    <w:rsid w:val="006C2E32"/>
    <w:rsid w:val="006C4279"/>
    <w:rsid w:val="006C60AF"/>
    <w:rsid w:val="006C7E5E"/>
    <w:rsid w:val="006D3E92"/>
    <w:rsid w:val="006D6E64"/>
    <w:rsid w:val="006D7C94"/>
    <w:rsid w:val="006E1E1B"/>
    <w:rsid w:val="006E6ACA"/>
    <w:rsid w:val="006E70A6"/>
    <w:rsid w:val="006E7700"/>
    <w:rsid w:val="006F0ABE"/>
    <w:rsid w:val="00700464"/>
    <w:rsid w:val="00704E55"/>
    <w:rsid w:val="0070604C"/>
    <w:rsid w:val="00710B4E"/>
    <w:rsid w:val="00712F98"/>
    <w:rsid w:val="00723895"/>
    <w:rsid w:val="00726841"/>
    <w:rsid w:val="007302E2"/>
    <w:rsid w:val="00731513"/>
    <w:rsid w:val="00732ADF"/>
    <w:rsid w:val="0073395E"/>
    <w:rsid w:val="00733BC2"/>
    <w:rsid w:val="00734E4F"/>
    <w:rsid w:val="00736008"/>
    <w:rsid w:val="00740B80"/>
    <w:rsid w:val="00741AD5"/>
    <w:rsid w:val="007450A8"/>
    <w:rsid w:val="0074718D"/>
    <w:rsid w:val="0075391F"/>
    <w:rsid w:val="00753FB7"/>
    <w:rsid w:val="007555F9"/>
    <w:rsid w:val="00756851"/>
    <w:rsid w:val="00757818"/>
    <w:rsid w:val="00757B33"/>
    <w:rsid w:val="00757D19"/>
    <w:rsid w:val="00760AB6"/>
    <w:rsid w:val="00760AE9"/>
    <w:rsid w:val="00760DCB"/>
    <w:rsid w:val="0076185D"/>
    <w:rsid w:val="0076527F"/>
    <w:rsid w:val="00767675"/>
    <w:rsid w:val="0077241A"/>
    <w:rsid w:val="0077519F"/>
    <w:rsid w:val="00775A60"/>
    <w:rsid w:val="00782B53"/>
    <w:rsid w:val="00783F29"/>
    <w:rsid w:val="00783FCD"/>
    <w:rsid w:val="007840D1"/>
    <w:rsid w:val="007848D6"/>
    <w:rsid w:val="007861EC"/>
    <w:rsid w:val="00786763"/>
    <w:rsid w:val="007877E5"/>
    <w:rsid w:val="00794006"/>
    <w:rsid w:val="00796D9C"/>
    <w:rsid w:val="00797E9A"/>
    <w:rsid w:val="007A0928"/>
    <w:rsid w:val="007A11A7"/>
    <w:rsid w:val="007A2C45"/>
    <w:rsid w:val="007A3CAE"/>
    <w:rsid w:val="007A47E0"/>
    <w:rsid w:val="007B182C"/>
    <w:rsid w:val="007B1B98"/>
    <w:rsid w:val="007B22FB"/>
    <w:rsid w:val="007B60D4"/>
    <w:rsid w:val="007B6483"/>
    <w:rsid w:val="007B6704"/>
    <w:rsid w:val="007C246F"/>
    <w:rsid w:val="007C3561"/>
    <w:rsid w:val="007C3FD9"/>
    <w:rsid w:val="007C44BD"/>
    <w:rsid w:val="007C4C93"/>
    <w:rsid w:val="007C55E1"/>
    <w:rsid w:val="007C7245"/>
    <w:rsid w:val="007C7A6C"/>
    <w:rsid w:val="007C7D53"/>
    <w:rsid w:val="007D1D53"/>
    <w:rsid w:val="007D3F00"/>
    <w:rsid w:val="007D4CFB"/>
    <w:rsid w:val="007D6034"/>
    <w:rsid w:val="007E022D"/>
    <w:rsid w:val="007E07C5"/>
    <w:rsid w:val="007E0947"/>
    <w:rsid w:val="007E18BD"/>
    <w:rsid w:val="007E3816"/>
    <w:rsid w:val="007E4571"/>
    <w:rsid w:val="007E6813"/>
    <w:rsid w:val="007E79E2"/>
    <w:rsid w:val="007E7C3C"/>
    <w:rsid w:val="007E7DA8"/>
    <w:rsid w:val="007F06D9"/>
    <w:rsid w:val="007F46E4"/>
    <w:rsid w:val="007F5312"/>
    <w:rsid w:val="007F5C62"/>
    <w:rsid w:val="00800FB9"/>
    <w:rsid w:val="008019A3"/>
    <w:rsid w:val="0080300E"/>
    <w:rsid w:val="00804614"/>
    <w:rsid w:val="00805D7E"/>
    <w:rsid w:val="00807252"/>
    <w:rsid w:val="008116E9"/>
    <w:rsid w:val="00813AFA"/>
    <w:rsid w:val="00814CC4"/>
    <w:rsid w:val="00815B66"/>
    <w:rsid w:val="00816A63"/>
    <w:rsid w:val="00822371"/>
    <w:rsid w:val="008239A4"/>
    <w:rsid w:val="00823DE3"/>
    <w:rsid w:val="00825687"/>
    <w:rsid w:val="0082735F"/>
    <w:rsid w:val="0082750C"/>
    <w:rsid w:val="00830DC9"/>
    <w:rsid w:val="00831AD6"/>
    <w:rsid w:val="008328F8"/>
    <w:rsid w:val="00832A87"/>
    <w:rsid w:val="0083402D"/>
    <w:rsid w:val="00834AE9"/>
    <w:rsid w:val="0084379B"/>
    <w:rsid w:val="00846FA6"/>
    <w:rsid w:val="0085017B"/>
    <w:rsid w:val="00853B75"/>
    <w:rsid w:val="00853E7A"/>
    <w:rsid w:val="00854DA2"/>
    <w:rsid w:val="00862938"/>
    <w:rsid w:val="00866209"/>
    <w:rsid w:val="0086776B"/>
    <w:rsid w:val="008724E0"/>
    <w:rsid w:val="00875551"/>
    <w:rsid w:val="008759E1"/>
    <w:rsid w:val="00881800"/>
    <w:rsid w:val="008828FE"/>
    <w:rsid w:val="008839AE"/>
    <w:rsid w:val="00886A04"/>
    <w:rsid w:val="0088777C"/>
    <w:rsid w:val="00891B06"/>
    <w:rsid w:val="0089284F"/>
    <w:rsid w:val="00897564"/>
    <w:rsid w:val="008A1590"/>
    <w:rsid w:val="008A20FE"/>
    <w:rsid w:val="008A267C"/>
    <w:rsid w:val="008A32BF"/>
    <w:rsid w:val="008A33C3"/>
    <w:rsid w:val="008A3B48"/>
    <w:rsid w:val="008A745C"/>
    <w:rsid w:val="008A7909"/>
    <w:rsid w:val="008B5737"/>
    <w:rsid w:val="008B6CBE"/>
    <w:rsid w:val="008B759E"/>
    <w:rsid w:val="008C14BF"/>
    <w:rsid w:val="008C1737"/>
    <w:rsid w:val="008C212A"/>
    <w:rsid w:val="008C4598"/>
    <w:rsid w:val="008C4FAB"/>
    <w:rsid w:val="008C75B2"/>
    <w:rsid w:val="008D0AB4"/>
    <w:rsid w:val="008D34DF"/>
    <w:rsid w:val="008D57B3"/>
    <w:rsid w:val="008E07A9"/>
    <w:rsid w:val="008E1996"/>
    <w:rsid w:val="008E1CE5"/>
    <w:rsid w:val="008E1F71"/>
    <w:rsid w:val="008E27A6"/>
    <w:rsid w:val="008E4090"/>
    <w:rsid w:val="008E40C7"/>
    <w:rsid w:val="008E5E18"/>
    <w:rsid w:val="008E626A"/>
    <w:rsid w:val="008F5539"/>
    <w:rsid w:val="008F6C06"/>
    <w:rsid w:val="008F70E2"/>
    <w:rsid w:val="00904FAB"/>
    <w:rsid w:val="00906877"/>
    <w:rsid w:val="00906F29"/>
    <w:rsid w:val="009078B3"/>
    <w:rsid w:val="00912253"/>
    <w:rsid w:val="00912BD2"/>
    <w:rsid w:val="00913C63"/>
    <w:rsid w:val="00920684"/>
    <w:rsid w:val="00920A11"/>
    <w:rsid w:val="0092151E"/>
    <w:rsid w:val="00921D95"/>
    <w:rsid w:val="009229F6"/>
    <w:rsid w:val="0092426F"/>
    <w:rsid w:val="00924767"/>
    <w:rsid w:val="00925C03"/>
    <w:rsid w:val="00935669"/>
    <w:rsid w:val="00935D62"/>
    <w:rsid w:val="00936E4F"/>
    <w:rsid w:val="009373DE"/>
    <w:rsid w:val="00941925"/>
    <w:rsid w:val="00942E76"/>
    <w:rsid w:val="009435FB"/>
    <w:rsid w:val="00943D76"/>
    <w:rsid w:val="00945370"/>
    <w:rsid w:val="009463C1"/>
    <w:rsid w:val="009478A1"/>
    <w:rsid w:val="00947F0E"/>
    <w:rsid w:val="0095190C"/>
    <w:rsid w:val="00955FFB"/>
    <w:rsid w:val="00956CDB"/>
    <w:rsid w:val="00956D6A"/>
    <w:rsid w:val="00957EB9"/>
    <w:rsid w:val="00960890"/>
    <w:rsid w:val="00960DBA"/>
    <w:rsid w:val="00960E06"/>
    <w:rsid w:val="00962B9F"/>
    <w:rsid w:val="009639AA"/>
    <w:rsid w:val="00964584"/>
    <w:rsid w:val="00964A97"/>
    <w:rsid w:val="0097030E"/>
    <w:rsid w:val="00970B0D"/>
    <w:rsid w:val="00970C1C"/>
    <w:rsid w:val="00973211"/>
    <w:rsid w:val="00974001"/>
    <w:rsid w:val="00974E9C"/>
    <w:rsid w:val="009752C2"/>
    <w:rsid w:val="00977A92"/>
    <w:rsid w:val="009806C4"/>
    <w:rsid w:val="00984AA2"/>
    <w:rsid w:val="00985A7E"/>
    <w:rsid w:val="0099118F"/>
    <w:rsid w:val="00991D55"/>
    <w:rsid w:val="00993FB4"/>
    <w:rsid w:val="009951F2"/>
    <w:rsid w:val="009A035F"/>
    <w:rsid w:val="009A593E"/>
    <w:rsid w:val="009A76EA"/>
    <w:rsid w:val="009A7C30"/>
    <w:rsid w:val="009B2DB6"/>
    <w:rsid w:val="009B41E1"/>
    <w:rsid w:val="009B7139"/>
    <w:rsid w:val="009C390C"/>
    <w:rsid w:val="009C5952"/>
    <w:rsid w:val="009C7FF3"/>
    <w:rsid w:val="009D07DF"/>
    <w:rsid w:val="009D0918"/>
    <w:rsid w:val="009D2498"/>
    <w:rsid w:val="009D34EB"/>
    <w:rsid w:val="009D5187"/>
    <w:rsid w:val="009D6154"/>
    <w:rsid w:val="009D714B"/>
    <w:rsid w:val="009E2709"/>
    <w:rsid w:val="009E6D7A"/>
    <w:rsid w:val="009E7AA7"/>
    <w:rsid w:val="009F3880"/>
    <w:rsid w:val="009F42C9"/>
    <w:rsid w:val="009F4874"/>
    <w:rsid w:val="009F55E2"/>
    <w:rsid w:val="009F6C49"/>
    <w:rsid w:val="00A01745"/>
    <w:rsid w:val="00A0225C"/>
    <w:rsid w:val="00A0255E"/>
    <w:rsid w:val="00A02C27"/>
    <w:rsid w:val="00A02D35"/>
    <w:rsid w:val="00A04443"/>
    <w:rsid w:val="00A04A31"/>
    <w:rsid w:val="00A070D1"/>
    <w:rsid w:val="00A10EAF"/>
    <w:rsid w:val="00A11877"/>
    <w:rsid w:val="00A12471"/>
    <w:rsid w:val="00A13741"/>
    <w:rsid w:val="00A13E6A"/>
    <w:rsid w:val="00A14B1D"/>
    <w:rsid w:val="00A16151"/>
    <w:rsid w:val="00A16698"/>
    <w:rsid w:val="00A23ABD"/>
    <w:rsid w:val="00A23EF8"/>
    <w:rsid w:val="00A25EFD"/>
    <w:rsid w:val="00A25F04"/>
    <w:rsid w:val="00A27C57"/>
    <w:rsid w:val="00A30826"/>
    <w:rsid w:val="00A30A2E"/>
    <w:rsid w:val="00A30EA5"/>
    <w:rsid w:val="00A328B3"/>
    <w:rsid w:val="00A33886"/>
    <w:rsid w:val="00A34DD4"/>
    <w:rsid w:val="00A35F86"/>
    <w:rsid w:val="00A37FCE"/>
    <w:rsid w:val="00A42409"/>
    <w:rsid w:val="00A4494E"/>
    <w:rsid w:val="00A462BC"/>
    <w:rsid w:val="00A463F0"/>
    <w:rsid w:val="00A46B66"/>
    <w:rsid w:val="00A47D15"/>
    <w:rsid w:val="00A53B63"/>
    <w:rsid w:val="00A57039"/>
    <w:rsid w:val="00A579B8"/>
    <w:rsid w:val="00A604AE"/>
    <w:rsid w:val="00A61AAD"/>
    <w:rsid w:val="00A63B63"/>
    <w:rsid w:val="00A6433F"/>
    <w:rsid w:val="00A64743"/>
    <w:rsid w:val="00A656E5"/>
    <w:rsid w:val="00A65D7C"/>
    <w:rsid w:val="00A6672C"/>
    <w:rsid w:val="00A67D22"/>
    <w:rsid w:val="00A70B63"/>
    <w:rsid w:val="00A74E7A"/>
    <w:rsid w:val="00A7592D"/>
    <w:rsid w:val="00A76D70"/>
    <w:rsid w:val="00A80C44"/>
    <w:rsid w:val="00A81841"/>
    <w:rsid w:val="00A865DE"/>
    <w:rsid w:val="00A9314D"/>
    <w:rsid w:val="00A936AB"/>
    <w:rsid w:val="00A93BDF"/>
    <w:rsid w:val="00A93F6E"/>
    <w:rsid w:val="00A9718C"/>
    <w:rsid w:val="00AA0D04"/>
    <w:rsid w:val="00AA224C"/>
    <w:rsid w:val="00AA24B4"/>
    <w:rsid w:val="00AA4C88"/>
    <w:rsid w:val="00AA6DBA"/>
    <w:rsid w:val="00AB1F46"/>
    <w:rsid w:val="00AB4CE5"/>
    <w:rsid w:val="00AC0D8E"/>
    <w:rsid w:val="00AC12F6"/>
    <w:rsid w:val="00AC154E"/>
    <w:rsid w:val="00AC1E95"/>
    <w:rsid w:val="00AC40F9"/>
    <w:rsid w:val="00AC457C"/>
    <w:rsid w:val="00AC498B"/>
    <w:rsid w:val="00AC521B"/>
    <w:rsid w:val="00AC6A81"/>
    <w:rsid w:val="00AD0412"/>
    <w:rsid w:val="00AD1260"/>
    <w:rsid w:val="00AD2A32"/>
    <w:rsid w:val="00AD4F7A"/>
    <w:rsid w:val="00AD6D6D"/>
    <w:rsid w:val="00AD766D"/>
    <w:rsid w:val="00AD7A76"/>
    <w:rsid w:val="00AE0ED5"/>
    <w:rsid w:val="00AE1320"/>
    <w:rsid w:val="00AE2AA0"/>
    <w:rsid w:val="00AE2BC3"/>
    <w:rsid w:val="00AE40FB"/>
    <w:rsid w:val="00AE4B44"/>
    <w:rsid w:val="00AE7C6D"/>
    <w:rsid w:val="00AF16FB"/>
    <w:rsid w:val="00AF172F"/>
    <w:rsid w:val="00AF2B5A"/>
    <w:rsid w:val="00AF2FD4"/>
    <w:rsid w:val="00AF3650"/>
    <w:rsid w:val="00AF3651"/>
    <w:rsid w:val="00AF4B72"/>
    <w:rsid w:val="00AF5F24"/>
    <w:rsid w:val="00AF6596"/>
    <w:rsid w:val="00B00DEF"/>
    <w:rsid w:val="00B01549"/>
    <w:rsid w:val="00B02A74"/>
    <w:rsid w:val="00B05300"/>
    <w:rsid w:val="00B054B6"/>
    <w:rsid w:val="00B05A43"/>
    <w:rsid w:val="00B1442F"/>
    <w:rsid w:val="00B147A7"/>
    <w:rsid w:val="00B14A7E"/>
    <w:rsid w:val="00B171D5"/>
    <w:rsid w:val="00B1726B"/>
    <w:rsid w:val="00B21030"/>
    <w:rsid w:val="00B25425"/>
    <w:rsid w:val="00B26DBB"/>
    <w:rsid w:val="00B302AB"/>
    <w:rsid w:val="00B3045C"/>
    <w:rsid w:val="00B32DC9"/>
    <w:rsid w:val="00B3315D"/>
    <w:rsid w:val="00B332D1"/>
    <w:rsid w:val="00B35AAA"/>
    <w:rsid w:val="00B35AFA"/>
    <w:rsid w:val="00B35BE1"/>
    <w:rsid w:val="00B35E1E"/>
    <w:rsid w:val="00B3788E"/>
    <w:rsid w:val="00B41A9C"/>
    <w:rsid w:val="00B42A27"/>
    <w:rsid w:val="00B4315B"/>
    <w:rsid w:val="00B43440"/>
    <w:rsid w:val="00B52973"/>
    <w:rsid w:val="00B53061"/>
    <w:rsid w:val="00B56E6A"/>
    <w:rsid w:val="00B60954"/>
    <w:rsid w:val="00B65444"/>
    <w:rsid w:val="00B66604"/>
    <w:rsid w:val="00B71ADA"/>
    <w:rsid w:val="00B742B2"/>
    <w:rsid w:val="00B7495A"/>
    <w:rsid w:val="00B7591E"/>
    <w:rsid w:val="00B766E1"/>
    <w:rsid w:val="00B776A6"/>
    <w:rsid w:val="00B847A8"/>
    <w:rsid w:val="00B87EB2"/>
    <w:rsid w:val="00B9240E"/>
    <w:rsid w:val="00B95169"/>
    <w:rsid w:val="00BA742E"/>
    <w:rsid w:val="00BB2659"/>
    <w:rsid w:val="00BB2E7A"/>
    <w:rsid w:val="00BB300F"/>
    <w:rsid w:val="00BB67AD"/>
    <w:rsid w:val="00BB7F93"/>
    <w:rsid w:val="00BB7FF4"/>
    <w:rsid w:val="00BC1324"/>
    <w:rsid w:val="00BC3A75"/>
    <w:rsid w:val="00BC61B7"/>
    <w:rsid w:val="00BD0912"/>
    <w:rsid w:val="00BD2773"/>
    <w:rsid w:val="00BD3551"/>
    <w:rsid w:val="00BD3AC3"/>
    <w:rsid w:val="00BD4A10"/>
    <w:rsid w:val="00BD54B0"/>
    <w:rsid w:val="00BD5EAB"/>
    <w:rsid w:val="00BD5F69"/>
    <w:rsid w:val="00BD7B4D"/>
    <w:rsid w:val="00BE07FC"/>
    <w:rsid w:val="00BE0DD0"/>
    <w:rsid w:val="00BE0E6B"/>
    <w:rsid w:val="00BE16FE"/>
    <w:rsid w:val="00BE1CBB"/>
    <w:rsid w:val="00BE32E3"/>
    <w:rsid w:val="00BE402C"/>
    <w:rsid w:val="00BE4D1E"/>
    <w:rsid w:val="00BE4FFC"/>
    <w:rsid w:val="00BE55C7"/>
    <w:rsid w:val="00BF3A02"/>
    <w:rsid w:val="00BF3E3F"/>
    <w:rsid w:val="00BF48DB"/>
    <w:rsid w:val="00BF676D"/>
    <w:rsid w:val="00BF6972"/>
    <w:rsid w:val="00BF69BF"/>
    <w:rsid w:val="00C00EB1"/>
    <w:rsid w:val="00C0102E"/>
    <w:rsid w:val="00C079AC"/>
    <w:rsid w:val="00C07C67"/>
    <w:rsid w:val="00C10CA3"/>
    <w:rsid w:val="00C129F5"/>
    <w:rsid w:val="00C13445"/>
    <w:rsid w:val="00C15824"/>
    <w:rsid w:val="00C173FE"/>
    <w:rsid w:val="00C20C0B"/>
    <w:rsid w:val="00C20ECF"/>
    <w:rsid w:val="00C221B3"/>
    <w:rsid w:val="00C2356A"/>
    <w:rsid w:val="00C23CB2"/>
    <w:rsid w:val="00C26827"/>
    <w:rsid w:val="00C3351B"/>
    <w:rsid w:val="00C33B88"/>
    <w:rsid w:val="00C35703"/>
    <w:rsid w:val="00C36B5E"/>
    <w:rsid w:val="00C40434"/>
    <w:rsid w:val="00C40F9A"/>
    <w:rsid w:val="00C44437"/>
    <w:rsid w:val="00C44FA3"/>
    <w:rsid w:val="00C479CC"/>
    <w:rsid w:val="00C50474"/>
    <w:rsid w:val="00C53C56"/>
    <w:rsid w:val="00C5488D"/>
    <w:rsid w:val="00C55BF0"/>
    <w:rsid w:val="00C56495"/>
    <w:rsid w:val="00C56743"/>
    <w:rsid w:val="00C56A62"/>
    <w:rsid w:val="00C571F9"/>
    <w:rsid w:val="00C575FB"/>
    <w:rsid w:val="00C60358"/>
    <w:rsid w:val="00C632B9"/>
    <w:rsid w:val="00C67482"/>
    <w:rsid w:val="00C7023B"/>
    <w:rsid w:val="00C71869"/>
    <w:rsid w:val="00C72E3E"/>
    <w:rsid w:val="00C734CC"/>
    <w:rsid w:val="00C75660"/>
    <w:rsid w:val="00C77708"/>
    <w:rsid w:val="00C8383B"/>
    <w:rsid w:val="00C845D8"/>
    <w:rsid w:val="00C84E0C"/>
    <w:rsid w:val="00C85055"/>
    <w:rsid w:val="00C86399"/>
    <w:rsid w:val="00C919D6"/>
    <w:rsid w:val="00C97A75"/>
    <w:rsid w:val="00CA03A9"/>
    <w:rsid w:val="00CA3023"/>
    <w:rsid w:val="00CA336F"/>
    <w:rsid w:val="00CA38E8"/>
    <w:rsid w:val="00CA7238"/>
    <w:rsid w:val="00CA7F32"/>
    <w:rsid w:val="00CB0D16"/>
    <w:rsid w:val="00CB137C"/>
    <w:rsid w:val="00CB23EA"/>
    <w:rsid w:val="00CB2E1D"/>
    <w:rsid w:val="00CB4F74"/>
    <w:rsid w:val="00CB5191"/>
    <w:rsid w:val="00CC19AA"/>
    <w:rsid w:val="00CC20AB"/>
    <w:rsid w:val="00CC240F"/>
    <w:rsid w:val="00CC2DE2"/>
    <w:rsid w:val="00CC342B"/>
    <w:rsid w:val="00CC398E"/>
    <w:rsid w:val="00CD005B"/>
    <w:rsid w:val="00CD0630"/>
    <w:rsid w:val="00CD0A02"/>
    <w:rsid w:val="00CD293D"/>
    <w:rsid w:val="00CD4734"/>
    <w:rsid w:val="00CD47F7"/>
    <w:rsid w:val="00CD6EAB"/>
    <w:rsid w:val="00CD7A60"/>
    <w:rsid w:val="00CE0A01"/>
    <w:rsid w:val="00CE41F1"/>
    <w:rsid w:val="00CE447C"/>
    <w:rsid w:val="00CE7199"/>
    <w:rsid w:val="00CE78BF"/>
    <w:rsid w:val="00CF2114"/>
    <w:rsid w:val="00CF2E4A"/>
    <w:rsid w:val="00CF33EE"/>
    <w:rsid w:val="00CF4082"/>
    <w:rsid w:val="00CF7A39"/>
    <w:rsid w:val="00D0065C"/>
    <w:rsid w:val="00D01795"/>
    <w:rsid w:val="00D02C01"/>
    <w:rsid w:val="00D0356F"/>
    <w:rsid w:val="00D1178B"/>
    <w:rsid w:val="00D11B53"/>
    <w:rsid w:val="00D12D5D"/>
    <w:rsid w:val="00D12E0C"/>
    <w:rsid w:val="00D14450"/>
    <w:rsid w:val="00D16CD5"/>
    <w:rsid w:val="00D20BDC"/>
    <w:rsid w:val="00D248D6"/>
    <w:rsid w:val="00D26B54"/>
    <w:rsid w:val="00D26CFE"/>
    <w:rsid w:val="00D27252"/>
    <w:rsid w:val="00D305E9"/>
    <w:rsid w:val="00D327F6"/>
    <w:rsid w:val="00D3407B"/>
    <w:rsid w:val="00D34A1D"/>
    <w:rsid w:val="00D356F8"/>
    <w:rsid w:val="00D35BE1"/>
    <w:rsid w:val="00D37F1E"/>
    <w:rsid w:val="00D415A8"/>
    <w:rsid w:val="00D45DD5"/>
    <w:rsid w:val="00D46E00"/>
    <w:rsid w:val="00D4769C"/>
    <w:rsid w:val="00D47AF9"/>
    <w:rsid w:val="00D52045"/>
    <w:rsid w:val="00D54437"/>
    <w:rsid w:val="00D55872"/>
    <w:rsid w:val="00D646B8"/>
    <w:rsid w:val="00D66036"/>
    <w:rsid w:val="00D67984"/>
    <w:rsid w:val="00D70137"/>
    <w:rsid w:val="00D714E8"/>
    <w:rsid w:val="00D71F81"/>
    <w:rsid w:val="00D76E66"/>
    <w:rsid w:val="00D817F7"/>
    <w:rsid w:val="00D84E6A"/>
    <w:rsid w:val="00D90199"/>
    <w:rsid w:val="00D90FC2"/>
    <w:rsid w:val="00D92C6A"/>
    <w:rsid w:val="00D93EAE"/>
    <w:rsid w:val="00D960E6"/>
    <w:rsid w:val="00DA0B29"/>
    <w:rsid w:val="00DA0DCF"/>
    <w:rsid w:val="00DA3033"/>
    <w:rsid w:val="00DA35AD"/>
    <w:rsid w:val="00DA39C3"/>
    <w:rsid w:val="00DA61E5"/>
    <w:rsid w:val="00DA69B5"/>
    <w:rsid w:val="00DB0D6D"/>
    <w:rsid w:val="00DB1354"/>
    <w:rsid w:val="00DB16EC"/>
    <w:rsid w:val="00DB61F1"/>
    <w:rsid w:val="00DB6469"/>
    <w:rsid w:val="00DB7976"/>
    <w:rsid w:val="00DC06C0"/>
    <w:rsid w:val="00DC6484"/>
    <w:rsid w:val="00DC676E"/>
    <w:rsid w:val="00DC68C6"/>
    <w:rsid w:val="00DC70E7"/>
    <w:rsid w:val="00DC79E2"/>
    <w:rsid w:val="00DC7C5D"/>
    <w:rsid w:val="00DD10CE"/>
    <w:rsid w:val="00DD1665"/>
    <w:rsid w:val="00DD170C"/>
    <w:rsid w:val="00DD246E"/>
    <w:rsid w:val="00DD42C0"/>
    <w:rsid w:val="00DD6FD7"/>
    <w:rsid w:val="00DE0569"/>
    <w:rsid w:val="00DE6364"/>
    <w:rsid w:val="00DE683E"/>
    <w:rsid w:val="00DF1C11"/>
    <w:rsid w:val="00DF2D18"/>
    <w:rsid w:val="00DF44C9"/>
    <w:rsid w:val="00DF48A0"/>
    <w:rsid w:val="00DF589D"/>
    <w:rsid w:val="00DF69C0"/>
    <w:rsid w:val="00DF7A25"/>
    <w:rsid w:val="00DF7F64"/>
    <w:rsid w:val="00E004A7"/>
    <w:rsid w:val="00E00E21"/>
    <w:rsid w:val="00E018AB"/>
    <w:rsid w:val="00E060FF"/>
    <w:rsid w:val="00E069C0"/>
    <w:rsid w:val="00E06A45"/>
    <w:rsid w:val="00E10AFA"/>
    <w:rsid w:val="00E11A2B"/>
    <w:rsid w:val="00E12D03"/>
    <w:rsid w:val="00E1422B"/>
    <w:rsid w:val="00E14D1B"/>
    <w:rsid w:val="00E14FF2"/>
    <w:rsid w:val="00E24B5B"/>
    <w:rsid w:val="00E250D4"/>
    <w:rsid w:val="00E25307"/>
    <w:rsid w:val="00E25EB3"/>
    <w:rsid w:val="00E260FD"/>
    <w:rsid w:val="00E304F0"/>
    <w:rsid w:val="00E309AB"/>
    <w:rsid w:val="00E31B41"/>
    <w:rsid w:val="00E31BEB"/>
    <w:rsid w:val="00E31EE3"/>
    <w:rsid w:val="00E32565"/>
    <w:rsid w:val="00E3574D"/>
    <w:rsid w:val="00E36C55"/>
    <w:rsid w:val="00E378C4"/>
    <w:rsid w:val="00E4072F"/>
    <w:rsid w:val="00E40E31"/>
    <w:rsid w:val="00E416E4"/>
    <w:rsid w:val="00E42173"/>
    <w:rsid w:val="00E42783"/>
    <w:rsid w:val="00E434D1"/>
    <w:rsid w:val="00E46F02"/>
    <w:rsid w:val="00E473C0"/>
    <w:rsid w:val="00E47536"/>
    <w:rsid w:val="00E51ADF"/>
    <w:rsid w:val="00E547AB"/>
    <w:rsid w:val="00E561E0"/>
    <w:rsid w:val="00E6040E"/>
    <w:rsid w:val="00E61FC3"/>
    <w:rsid w:val="00E639DC"/>
    <w:rsid w:val="00E65C2D"/>
    <w:rsid w:val="00E661B2"/>
    <w:rsid w:val="00E663C9"/>
    <w:rsid w:val="00E66AA2"/>
    <w:rsid w:val="00E708D7"/>
    <w:rsid w:val="00E70A56"/>
    <w:rsid w:val="00E70E30"/>
    <w:rsid w:val="00E71F29"/>
    <w:rsid w:val="00E725AC"/>
    <w:rsid w:val="00E72A6D"/>
    <w:rsid w:val="00E733B2"/>
    <w:rsid w:val="00E74C1C"/>
    <w:rsid w:val="00E753BC"/>
    <w:rsid w:val="00E76F57"/>
    <w:rsid w:val="00E80E04"/>
    <w:rsid w:val="00E81DCD"/>
    <w:rsid w:val="00E833EE"/>
    <w:rsid w:val="00E8778F"/>
    <w:rsid w:val="00E912B7"/>
    <w:rsid w:val="00E916F7"/>
    <w:rsid w:val="00E91F00"/>
    <w:rsid w:val="00EA1751"/>
    <w:rsid w:val="00EA1E31"/>
    <w:rsid w:val="00EA2B63"/>
    <w:rsid w:val="00EA343B"/>
    <w:rsid w:val="00EA578A"/>
    <w:rsid w:val="00EA5966"/>
    <w:rsid w:val="00EA714E"/>
    <w:rsid w:val="00EA744C"/>
    <w:rsid w:val="00EA7EDD"/>
    <w:rsid w:val="00EB3ED6"/>
    <w:rsid w:val="00EB4869"/>
    <w:rsid w:val="00EC06FF"/>
    <w:rsid w:val="00EC0851"/>
    <w:rsid w:val="00EC1A58"/>
    <w:rsid w:val="00EC4828"/>
    <w:rsid w:val="00EC5528"/>
    <w:rsid w:val="00EC62EA"/>
    <w:rsid w:val="00EC76D7"/>
    <w:rsid w:val="00ED2548"/>
    <w:rsid w:val="00ED4054"/>
    <w:rsid w:val="00ED6851"/>
    <w:rsid w:val="00ED7E21"/>
    <w:rsid w:val="00EE005B"/>
    <w:rsid w:val="00EE17F8"/>
    <w:rsid w:val="00EE46B5"/>
    <w:rsid w:val="00EE5059"/>
    <w:rsid w:val="00EE6456"/>
    <w:rsid w:val="00EE7FC4"/>
    <w:rsid w:val="00EF257F"/>
    <w:rsid w:val="00EF27B6"/>
    <w:rsid w:val="00EF55C4"/>
    <w:rsid w:val="00EF6BDA"/>
    <w:rsid w:val="00EF7ADE"/>
    <w:rsid w:val="00F010AD"/>
    <w:rsid w:val="00F02751"/>
    <w:rsid w:val="00F11812"/>
    <w:rsid w:val="00F156CD"/>
    <w:rsid w:val="00F1622B"/>
    <w:rsid w:val="00F22970"/>
    <w:rsid w:val="00F25289"/>
    <w:rsid w:val="00F27E3F"/>
    <w:rsid w:val="00F31C1B"/>
    <w:rsid w:val="00F32F37"/>
    <w:rsid w:val="00F33388"/>
    <w:rsid w:val="00F36D22"/>
    <w:rsid w:val="00F37DBA"/>
    <w:rsid w:val="00F43420"/>
    <w:rsid w:val="00F43C41"/>
    <w:rsid w:val="00F43F0A"/>
    <w:rsid w:val="00F44226"/>
    <w:rsid w:val="00F452F7"/>
    <w:rsid w:val="00F454A6"/>
    <w:rsid w:val="00F4666C"/>
    <w:rsid w:val="00F512AC"/>
    <w:rsid w:val="00F55E23"/>
    <w:rsid w:val="00F561AE"/>
    <w:rsid w:val="00F5766B"/>
    <w:rsid w:val="00F57B2C"/>
    <w:rsid w:val="00F60F86"/>
    <w:rsid w:val="00F661CB"/>
    <w:rsid w:val="00F67D73"/>
    <w:rsid w:val="00F7179B"/>
    <w:rsid w:val="00F7286C"/>
    <w:rsid w:val="00F748C0"/>
    <w:rsid w:val="00F7610C"/>
    <w:rsid w:val="00F804B2"/>
    <w:rsid w:val="00F80B87"/>
    <w:rsid w:val="00F860EB"/>
    <w:rsid w:val="00F87853"/>
    <w:rsid w:val="00F923EE"/>
    <w:rsid w:val="00F93DCF"/>
    <w:rsid w:val="00F94961"/>
    <w:rsid w:val="00F94A7F"/>
    <w:rsid w:val="00FA1ADD"/>
    <w:rsid w:val="00FA377D"/>
    <w:rsid w:val="00FA75E6"/>
    <w:rsid w:val="00FB2D9A"/>
    <w:rsid w:val="00FB467B"/>
    <w:rsid w:val="00FB539A"/>
    <w:rsid w:val="00FC0DC9"/>
    <w:rsid w:val="00FC145A"/>
    <w:rsid w:val="00FC1BB7"/>
    <w:rsid w:val="00FC2A44"/>
    <w:rsid w:val="00FC409C"/>
    <w:rsid w:val="00FC4AB1"/>
    <w:rsid w:val="00FC4C27"/>
    <w:rsid w:val="00FD02D5"/>
    <w:rsid w:val="00FD16F4"/>
    <w:rsid w:val="00FD214C"/>
    <w:rsid w:val="00FE09FB"/>
    <w:rsid w:val="00FE0FF6"/>
    <w:rsid w:val="00FE10AA"/>
    <w:rsid w:val="00FE4099"/>
    <w:rsid w:val="00FF079C"/>
    <w:rsid w:val="00FF07A3"/>
    <w:rsid w:val="00FF2D8C"/>
    <w:rsid w:val="00FF40C4"/>
    <w:rsid w:val="00FF6FAE"/>
    <w:rsid w:val="07DC2129"/>
    <w:rsid w:val="513D65B4"/>
    <w:rsid w:val="54A41B7E"/>
    <w:rsid w:val="58A9D809"/>
    <w:rsid w:val="6D3284E5"/>
    <w:rsid w:val="72300C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2"/>
    </o:shapelayout>
  </w:shapeDefaults>
  <w:decimalSymbol w:val="."/>
  <w:listSeparator w:val=","/>
  <w14:docId w14:val="52869481"/>
  <w15:docId w15:val="{80936625-C85A-4E86-8A01-A0E368714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440BCD"/>
    <w:pPr>
      <w:spacing w:after="120"/>
    </w:pPr>
    <w:rPr>
      <w:rFonts w:asciiTheme="minorHAnsi" w:hAnsiTheme="minorHAnsi"/>
      <w:sz w:val="24"/>
      <w:lang w:val="en-US" w:eastAsia="en-US"/>
    </w:rPr>
  </w:style>
  <w:style w:type="paragraph" w:styleId="Heading1">
    <w:name w:val="heading 1"/>
    <w:basedOn w:val="Normal"/>
    <w:next w:val="BodyText"/>
    <w:qFormat/>
    <w:rsid w:val="00A7592D"/>
    <w:pPr>
      <w:keepNext/>
      <w:widowControl w:val="0"/>
      <w:numPr>
        <w:numId w:val="11"/>
      </w:numPr>
      <w:tabs>
        <w:tab w:val="left" w:pos="576"/>
      </w:tabs>
      <w:spacing w:before="240" w:after="60"/>
      <w:outlineLvl w:val="0"/>
    </w:pPr>
    <w:rPr>
      <w:rFonts w:cstheme="minorHAnsi"/>
      <w:b/>
      <w:caps/>
      <w:kern w:val="28"/>
      <w:sz w:val="28"/>
    </w:rPr>
  </w:style>
  <w:style w:type="paragraph" w:styleId="Heading2">
    <w:name w:val="heading 2"/>
    <w:basedOn w:val="Normal"/>
    <w:next w:val="BodyText"/>
    <w:link w:val="Heading2Char"/>
    <w:qFormat/>
    <w:rsid w:val="002D60C9"/>
    <w:pPr>
      <w:keepNext/>
      <w:numPr>
        <w:ilvl w:val="1"/>
        <w:numId w:val="11"/>
      </w:numPr>
      <w:tabs>
        <w:tab w:val="left" w:pos="720"/>
      </w:tabs>
      <w:spacing w:before="240" w:after="60"/>
      <w:outlineLvl w:val="1"/>
    </w:pPr>
    <w:rPr>
      <w:rFonts w:ascii="Arial" w:hAnsi="Arial"/>
      <w:b/>
      <w:caps/>
    </w:rPr>
  </w:style>
  <w:style w:type="paragraph" w:styleId="Heading3">
    <w:name w:val="heading 3"/>
    <w:basedOn w:val="Normal"/>
    <w:next w:val="BodyText"/>
    <w:qFormat/>
    <w:rsid w:val="00734E4F"/>
    <w:pPr>
      <w:keepNext/>
      <w:numPr>
        <w:ilvl w:val="2"/>
        <w:numId w:val="11"/>
      </w:numPr>
      <w:spacing w:before="240" w:after="60"/>
      <w:outlineLvl w:val="2"/>
    </w:pPr>
    <w:rPr>
      <w:rFonts w:ascii="Arial" w:hAnsi="Arial"/>
      <w:b/>
      <w:i/>
    </w:rPr>
  </w:style>
  <w:style w:type="paragraph" w:styleId="Heading4">
    <w:name w:val="heading 4"/>
    <w:basedOn w:val="Normal"/>
    <w:next w:val="BodyText"/>
    <w:qFormat/>
    <w:rsid w:val="002D60C9"/>
    <w:pPr>
      <w:keepNext/>
      <w:numPr>
        <w:ilvl w:val="3"/>
        <w:numId w:val="11"/>
      </w:numPr>
      <w:spacing w:before="240" w:after="60"/>
      <w:outlineLvl w:val="3"/>
    </w:pPr>
    <w:rPr>
      <w:rFonts w:ascii="Arial" w:hAnsi="Arial"/>
      <w:b/>
      <w:color w:val="000000"/>
    </w:rPr>
  </w:style>
  <w:style w:type="paragraph" w:styleId="Heading5">
    <w:name w:val="heading 5"/>
    <w:basedOn w:val="Normal"/>
    <w:next w:val="BodyText"/>
    <w:qFormat/>
    <w:rsid w:val="00325E64"/>
    <w:pPr>
      <w:keepNext/>
      <w:numPr>
        <w:ilvl w:val="4"/>
        <w:numId w:val="11"/>
      </w:numPr>
      <w:tabs>
        <w:tab w:val="left" w:pos="1152"/>
      </w:tabs>
      <w:spacing w:before="240" w:after="60"/>
      <w:outlineLvl w:val="4"/>
    </w:pPr>
    <w:rPr>
      <w:b/>
      <w:i/>
    </w:rPr>
  </w:style>
  <w:style w:type="paragraph" w:styleId="Heading6">
    <w:name w:val="heading 6"/>
    <w:basedOn w:val="Normal"/>
    <w:next w:val="BodyText"/>
    <w:qFormat/>
    <w:rsid w:val="00E31B41"/>
    <w:pPr>
      <w:keepNext/>
      <w:numPr>
        <w:ilvl w:val="5"/>
        <w:numId w:val="11"/>
      </w:numPr>
      <w:tabs>
        <w:tab w:val="left" w:pos="1296"/>
      </w:tabs>
      <w:spacing w:before="240" w:after="60"/>
      <w:outlineLvl w:val="5"/>
    </w:pPr>
    <w:rPr>
      <w:b/>
    </w:rPr>
  </w:style>
  <w:style w:type="paragraph" w:styleId="Heading7">
    <w:name w:val="heading 7"/>
    <w:aliases w:val="App Lev 1"/>
    <w:next w:val="BodyText"/>
    <w:rsid w:val="00E31B41"/>
    <w:pPr>
      <w:keepNext/>
      <w:pageBreakBefore/>
      <w:numPr>
        <w:ilvl w:val="6"/>
        <w:numId w:val="11"/>
      </w:numPr>
      <w:tabs>
        <w:tab w:val="left" w:pos="576"/>
      </w:tabs>
      <w:spacing w:before="240" w:after="60"/>
      <w:outlineLvl w:val="6"/>
    </w:pPr>
    <w:rPr>
      <w:rFonts w:ascii="Arial" w:hAnsi="Arial"/>
      <w:b/>
      <w:caps/>
      <w:sz w:val="28"/>
      <w:lang w:val="en-US" w:eastAsia="en-US"/>
    </w:rPr>
  </w:style>
  <w:style w:type="paragraph" w:styleId="Heading8">
    <w:name w:val="heading 8"/>
    <w:aliases w:val="App Lev 2"/>
    <w:next w:val="BodyText"/>
    <w:rsid w:val="00E31B41"/>
    <w:pPr>
      <w:keepNext/>
      <w:numPr>
        <w:ilvl w:val="7"/>
        <w:numId w:val="11"/>
      </w:numPr>
      <w:tabs>
        <w:tab w:val="left" w:pos="720"/>
      </w:tabs>
      <w:spacing w:before="240" w:after="60"/>
      <w:outlineLvl w:val="7"/>
    </w:pPr>
    <w:rPr>
      <w:rFonts w:ascii="Arial" w:hAnsi="Arial"/>
      <w:b/>
      <w:caps/>
      <w:sz w:val="24"/>
      <w:lang w:val="en-US" w:eastAsia="en-US"/>
    </w:rPr>
  </w:style>
  <w:style w:type="paragraph" w:styleId="Heading9">
    <w:name w:val="heading 9"/>
    <w:aliases w:val="App Lev 3"/>
    <w:basedOn w:val="Normal"/>
    <w:next w:val="BodyText"/>
    <w:rsid w:val="00E31B41"/>
    <w:pPr>
      <w:keepNext/>
      <w:numPr>
        <w:ilvl w:val="8"/>
        <w:numId w:val="11"/>
      </w:numPr>
      <w:spacing w:before="240" w:after="60"/>
      <w:outlineLvl w:val="8"/>
    </w:pPr>
    <w:rPr>
      <w:rFonts w:ascii="Arial" w:hAnsi="Arial"/>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440BCD"/>
  </w:style>
  <w:style w:type="paragraph" w:styleId="TOC1">
    <w:name w:val="toc 1"/>
    <w:basedOn w:val="Normal"/>
    <w:next w:val="Normal"/>
    <w:uiPriority w:val="39"/>
    <w:rsid w:val="00440BCD"/>
    <w:pPr>
      <w:tabs>
        <w:tab w:val="right" w:leader="dot" w:pos="9360"/>
      </w:tabs>
      <w:spacing w:before="120" w:after="0"/>
    </w:pPr>
    <w:rPr>
      <w:b/>
      <w:smallCaps/>
    </w:rPr>
  </w:style>
  <w:style w:type="paragraph" w:styleId="TOC2">
    <w:name w:val="toc 2"/>
    <w:basedOn w:val="Normal"/>
    <w:next w:val="Normal"/>
    <w:uiPriority w:val="39"/>
    <w:rsid w:val="00440BCD"/>
    <w:pPr>
      <w:tabs>
        <w:tab w:val="right" w:leader="dot" w:pos="9360"/>
      </w:tabs>
      <w:spacing w:after="0"/>
      <w:ind w:left="238"/>
    </w:pPr>
    <w:rPr>
      <w:smallCaps/>
      <w:sz w:val="20"/>
    </w:rPr>
  </w:style>
  <w:style w:type="paragraph" w:styleId="TOC3">
    <w:name w:val="toc 3"/>
    <w:basedOn w:val="Normal"/>
    <w:next w:val="Normal"/>
    <w:uiPriority w:val="39"/>
    <w:rsid w:val="00440BCD"/>
    <w:pPr>
      <w:tabs>
        <w:tab w:val="right" w:leader="dot" w:pos="9360"/>
      </w:tabs>
      <w:spacing w:after="0"/>
      <w:ind w:left="482"/>
    </w:pPr>
    <w:rPr>
      <w:i/>
      <w:sz w:val="20"/>
    </w:rPr>
  </w:style>
  <w:style w:type="paragraph" w:styleId="TOC4">
    <w:name w:val="toc 4"/>
    <w:basedOn w:val="Normal"/>
    <w:next w:val="Normal"/>
    <w:semiHidden/>
    <w:rsid w:val="00E31B41"/>
    <w:pPr>
      <w:tabs>
        <w:tab w:val="right" w:leader="dot" w:pos="9360"/>
      </w:tabs>
      <w:ind w:left="720"/>
    </w:pPr>
    <w:rPr>
      <w:i/>
      <w:sz w:val="18"/>
    </w:rPr>
  </w:style>
  <w:style w:type="paragraph" w:styleId="TOC5">
    <w:name w:val="toc 5"/>
    <w:basedOn w:val="Normal"/>
    <w:next w:val="Normal"/>
    <w:semiHidden/>
    <w:rsid w:val="00E31B41"/>
    <w:pPr>
      <w:tabs>
        <w:tab w:val="right" w:leader="dot" w:pos="9360"/>
      </w:tabs>
      <w:ind w:left="960"/>
    </w:pPr>
    <w:rPr>
      <w:i/>
      <w:sz w:val="18"/>
    </w:rPr>
  </w:style>
  <w:style w:type="character" w:styleId="PageNumber">
    <w:name w:val="page number"/>
    <w:basedOn w:val="DefaultParagraphFont"/>
    <w:rsid w:val="00E31B41"/>
  </w:style>
  <w:style w:type="paragraph" w:styleId="Footer">
    <w:name w:val="footer"/>
    <w:basedOn w:val="Normal"/>
    <w:rsid w:val="00E31B41"/>
    <w:pPr>
      <w:tabs>
        <w:tab w:val="center" w:pos="4320"/>
        <w:tab w:val="right" w:pos="8640"/>
      </w:tabs>
    </w:pPr>
  </w:style>
  <w:style w:type="paragraph" w:styleId="DocumentMap">
    <w:name w:val="Document Map"/>
    <w:basedOn w:val="Normal"/>
    <w:semiHidden/>
    <w:rsid w:val="00E31B41"/>
    <w:pPr>
      <w:shd w:val="clear" w:color="auto" w:fill="000080"/>
    </w:pPr>
    <w:rPr>
      <w:rFonts w:ascii="Tahoma" w:hAnsi="Tahoma"/>
    </w:rPr>
  </w:style>
  <w:style w:type="paragraph" w:styleId="Caption">
    <w:name w:val="caption"/>
    <w:aliases w:val="Caption-Figure,FIGCAPTION,Caption Char1,Caption Char Char,Légende italique,topic,3559Caption,c,C,Legend,topic1,topic2,topic3,Legend Char,3559Caption Char,Légende italique Char,kuvateksti Char,kuvateksti,Figure No,Figure-caption,CAPTION,c1"/>
    <w:basedOn w:val="Normal"/>
    <w:next w:val="BodyText"/>
    <w:link w:val="CaptionChar"/>
    <w:uiPriority w:val="35"/>
    <w:qFormat/>
    <w:rsid w:val="00E31B41"/>
    <w:pPr>
      <w:spacing w:before="120"/>
      <w:jc w:val="center"/>
    </w:pPr>
    <w:rPr>
      <w:rFonts w:ascii="Arial" w:hAnsi="Arial"/>
      <w:b/>
      <w:caps/>
      <w:sz w:val="22"/>
    </w:rPr>
  </w:style>
  <w:style w:type="paragraph" w:styleId="TableofFigures">
    <w:name w:val="table of figures"/>
    <w:basedOn w:val="Normal"/>
    <w:next w:val="Normal"/>
    <w:uiPriority w:val="99"/>
    <w:rsid w:val="00E31B41"/>
    <w:pPr>
      <w:tabs>
        <w:tab w:val="right" w:leader="dot" w:pos="9360"/>
      </w:tabs>
      <w:spacing w:before="40" w:after="40"/>
      <w:ind w:left="403" w:hanging="403"/>
    </w:pPr>
    <w:rPr>
      <w:rFonts w:ascii="Helvetica" w:hAnsi="Helvetica"/>
      <w:caps/>
      <w:sz w:val="18"/>
    </w:rPr>
  </w:style>
  <w:style w:type="paragraph" w:styleId="TOC6">
    <w:name w:val="toc 6"/>
    <w:basedOn w:val="Normal"/>
    <w:next w:val="Normal"/>
    <w:autoRedefine/>
    <w:semiHidden/>
    <w:rsid w:val="00E31B41"/>
    <w:pPr>
      <w:ind w:left="1000"/>
    </w:pPr>
    <w:rPr>
      <w:i/>
      <w:sz w:val="16"/>
    </w:rPr>
  </w:style>
  <w:style w:type="paragraph" w:styleId="TOC7">
    <w:name w:val="toc 7"/>
    <w:basedOn w:val="Normal"/>
    <w:next w:val="Normal"/>
    <w:autoRedefine/>
    <w:semiHidden/>
    <w:rsid w:val="00E31B41"/>
    <w:pPr>
      <w:ind w:left="1195"/>
    </w:pPr>
    <w:rPr>
      <w:i/>
      <w:sz w:val="16"/>
    </w:rPr>
  </w:style>
  <w:style w:type="paragraph" w:styleId="TOC8">
    <w:name w:val="toc 8"/>
    <w:basedOn w:val="Normal"/>
    <w:next w:val="Normal"/>
    <w:autoRedefine/>
    <w:semiHidden/>
    <w:rsid w:val="00E31B41"/>
    <w:pPr>
      <w:ind w:left="1400"/>
    </w:pPr>
    <w:rPr>
      <w:i/>
    </w:rPr>
  </w:style>
  <w:style w:type="paragraph" w:styleId="TOC9">
    <w:name w:val="toc 9"/>
    <w:basedOn w:val="Normal"/>
    <w:next w:val="Normal"/>
    <w:autoRedefine/>
    <w:semiHidden/>
    <w:rsid w:val="00E31B41"/>
    <w:pPr>
      <w:ind w:left="1600"/>
    </w:pPr>
    <w:rPr>
      <w:i/>
    </w:rPr>
  </w:style>
  <w:style w:type="paragraph" w:styleId="Header">
    <w:name w:val="header"/>
    <w:aliases w:val="header/odd"/>
    <w:basedOn w:val="Normal"/>
    <w:rsid w:val="00E31B41"/>
    <w:pPr>
      <w:tabs>
        <w:tab w:val="center" w:pos="4320"/>
        <w:tab w:val="right" w:pos="9360"/>
      </w:tabs>
    </w:pPr>
  </w:style>
  <w:style w:type="character" w:styleId="Hyperlink">
    <w:name w:val="Hyperlink"/>
    <w:basedOn w:val="DefaultParagraphFont"/>
    <w:uiPriority w:val="99"/>
    <w:rsid w:val="00E31B41"/>
    <w:rPr>
      <w:color w:val="0000FF"/>
      <w:u w:val="single"/>
    </w:rPr>
  </w:style>
  <w:style w:type="paragraph" w:customStyle="1" w:styleId="Table">
    <w:name w:val="Table"/>
    <w:basedOn w:val="BodyText"/>
    <w:rsid w:val="008E40C7"/>
    <w:pPr>
      <w:tabs>
        <w:tab w:val="left" w:pos="284"/>
      </w:tabs>
      <w:spacing w:before="40" w:after="40"/>
    </w:pPr>
  </w:style>
  <w:style w:type="paragraph" w:customStyle="1" w:styleId="TableHeading">
    <w:name w:val="Table Heading"/>
    <w:basedOn w:val="Table"/>
    <w:next w:val="Table"/>
    <w:rsid w:val="008E40C7"/>
    <w:pPr>
      <w:jc w:val="center"/>
    </w:pPr>
    <w:rPr>
      <w:b/>
    </w:rPr>
  </w:style>
  <w:style w:type="paragraph" w:styleId="BodyText2">
    <w:name w:val="Body Text 2"/>
    <w:basedOn w:val="Normal"/>
    <w:link w:val="BodyText2Char"/>
    <w:rsid w:val="00797E9A"/>
    <w:pPr>
      <w:pBdr>
        <w:top w:val="single" w:sz="4" w:space="1" w:color="FF0000"/>
        <w:left w:val="single" w:sz="4" w:space="4" w:color="FF0000"/>
        <w:bottom w:val="single" w:sz="4" w:space="1" w:color="FF0000"/>
        <w:right w:val="single" w:sz="4" w:space="4" w:color="FF0000"/>
      </w:pBdr>
      <w:jc w:val="center"/>
    </w:pPr>
    <w:rPr>
      <w:rFonts w:ascii="Arial" w:hAnsi="Arial" w:cs="Arial"/>
      <w:color w:val="FF0000"/>
      <w:sz w:val="16"/>
    </w:rPr>
  </w:style>
  <w:style w:type="paragraph" w:styleId="CommentText">
    <w:name w:val="annotation text"/>
    <w:basedOn w:val="Normal"/>
    <w:link w:val="CommentTextChar"/>
    <w:rsid w:val="00E31B41"/>
    <w:rPr>
      <w:sz w:val="20"/>
      <w:lang w:val="en-CA"/>
    </w:rPr>
  </w:style>
  <w:style w:type="character" w:styleId="CommentReference">
    <w:name w:val="annotation reference"/>
    <w:basedOn w:val="DefaultParagraphFont"/>
    <w:semiHidden/>
    <w:rsid w:val="00E31B41"/>
    <w:rPr>
      <w:sz w:val="16"/>
    </w:rPr>
  </w:style>
  <w:style w:type="paragraph" w:customStyle="1" w:styleId="Heading-unnumbered">
    <w:name w:val="Heading - unnumbered"/>
    <w:basedOn w:val="Normal"/>
    <w:rsid w:val="00E31B41"/>
    <w:pPr>
      <w:spacing w:before="40"/>
      <w:jc w:val="center"/>
    </w:pPr>
    <w:rPr>
      <w:rFonts w:ascii="Arial" w:hAnsi="Arial"/>
      <w:b/>
      <w:caps/>
    </w:rPr>
  </w:style>
  <w:style w:type="paragraph" w:customStyle="1" w:styleId="underlined">
    <w:name w:val="underlined"/>
    <w:basedOn w:val="BodyText"/>
    <w:next w:val="Normal"/>
    <w:rsid w:val="00E31B41"/>
    <w:pPr>
      <w:spacing w:before="120" w:after="240"/>
    </w:pPr>
    <w:rPr>
      <w:u w:val="single"/>
    </w:rPr>
  </w:style>
  <w:style w:type="paragraph" w:styleId="FootnoteText">
    <w:name w:val="footnote text"/>
    <w:basedOn w:val="Normal"/>
    <w:semiHidden/>
    <w:rsid w:val="00E31B41"/>
    <w:rPr>
      <w:sz w:val="20"/>
    </w:rPr>
  </w:style>
  <w:style w:type="paragraph" w:styleId="Title">
    <w:name w:val="Title"/>
    <w:basedOn w:val="Normal"/>
    <w:link w:val="TitleChar"/>
    <w:uiPriority w:val="10"/>
    <w:qFormat/>
    <w:rsid w:val="00E31B41"/>
    <w:pPr>
      <w:spacing w:before="40"/>
      <w:outlineLvl w:val="0"/>
    </w:pPr>
    <w:rPr>
      <w:rFonts w:ascii="Helvetica" w:hAnsi="Helvetica"/>
      <w:b/>
      <w:kern w:val="28"/>
      <w:sz w:val="48"/>
    </w:rPr>
  </w:style>
  <w:style w:type="paragraph" w:styleId="Subtitle">
    <w:name w:val="Subtitle"/>
    <w:basedOn w:val="Normal"/>
    <w:link w:val="SubtitleChar"/>
    <w:uiPriority w:val="11"/>
    <w:qFormat/>
    <w:rsid w:val="001C177E"/>
    <w:pPr>
      <w:outlineLvl w:val="1"/>
    </w:pPr>
    <w:rPr>
      <w:rFonts w:ascii="Helvetica" w:hAnsi="Helvetica"/>
      <w:b/>
      <w:sz w:val="36"/>
    </w:rPr>
  </w:style>
  <w:style w:type="character" w:styleId="FootnoteReference">
    <w:name w:val="footnote reference"/>
    <w:basedOn w:val="DefaultParagraphFont"/>
    <w:semiHidden/>
    <w:rsid w:val="00E31B41"/>
    <w:rPr>
      <w:vertAlign w:val="superscript"/>
    </w:rPr>
  </w:style>
  <w:style w:type="paragraph" w:customStyle="1" w:styleId="TOC">
    <w:name w:val="TOC"/>
    <w:basedOn w:val="Heading-unnumbered"/>
    <w:next w:val="BodyText"/>
    <w:rsid w:val="00E31B41"/>
  </w:style>
  <w:style w:type="paragraph" w:customStyle="1" w:styleId="BodyTextCentered">
    <w:name w:val="Body Text Centered"/>
    <w:basedOn w:val="BodyText"/>
    <w:rsid w:val="0017657E"/>
    <w:pPr>
      <w:jc w:val="center"/>
    </w:pPr>
  </w:style>
  <w:style w:type="paragraph" w:styleId="ListBullet">
    <w:name w:val="List Bullet"/>
    <w:basedOn w:val="Normal"/>
    <w:qFormat/>
    <w:rsid w:val="00E40E31"/>
    <w:pPr>
      <w:numPr>
        <w:numId w:val="1"/>
      </w:numPr>
      <w:spacing w:before="60" w:after="60"/>
      <w:ind w:left="360"/>
    </w:pPr>
  </w:style>
  <w:style w:type="paragraph" w:styleId="ListBullet2">
    <w:name w:val="List Bullet 2"/>
    <w:basedOn w:val="Normal"/>
    <w:qFormat/>
    <w:rsid w:val="00E40E31"/>
    <w:pPr>
      <w:numPr>
        <w:numId w:val="2"/>
      </w:numPr>
      <w:spacing w:before="60" w:after="60"/>
    </w:pPr>
  </w:style>
  <w:style w:type="paragraph" w:styleId="ListBullet3">
    <w:name w:val="List Bullet 3"/>
    <w:basedOn w:val="Normal"/>
    <w:qFormat/>
    <w:rsid w:val="00E40E31"/>
    <w:pPr>
      <w:numPr>
        <w:numId w:val="8"/>
      </w:numPr>
      <w:spacing w:before="60" w:after="60"/>
    </w:pPr>
  </w:style>
  <w:style w:type="paragraph" w:styleId="ListBullet4">
    <w:name w:val="List Bullet 4"/>
    <w:basedOn w:val="Normal"/>
    <w:qFormat/>
    <w:rsid w:val="00E40E31"/>
    <w:pPr>
      <w:numPr>
        <w:numId w:val="9"/>
      </w:numPr>
      <w:spacing w:before="60" w:after="60"/>
    </w:pPr>
  </w:style>
  <w:style w:type="paragraph" w:styleId="ListBullet5">
    <w:name w:val="List Bullet 5"/>
    <w:basedOn w:val="Normal"/>
    <w:qFormat/>
    <w:rsid w:val="00E40E31"/>
    <w:pPr>
      <w:numPr>
        <w:numId w:val="10"/>
      </w:numPr>
      <w:spacing w:before="60" w:after="60"/>
    </w:pPr>
  </w:style>
  <w:style w:type="paragraph" w:styleId="ListNumber">
    <w:name w:val="List Number"/>
    <w:basedOn w:val="Normal"/>
    <w:qFormat/>
    <w:rsid w:val="007A47E0"/>
    <w:pPr>
      <w:numPr>
        <w:numId w:val="3"/>
      </w:numPr>
    </w:pPr>
  </w:style>
  <w:style w:type="paragraph" w:styleId="ListNumber2">
    <w:name w:val="List Number 2"/>
    <w:basedOn w:val="Normal"/>
    <w:qFormat/>
    <w:rsid w:val="007A47E0"/>
    <w:pPr>
      <w:numPr>
        <w:numId w:val="4"/>
      </w:numPr>
      <w:spacing w:before="60" w:after="60"/>
    </w:pPr>
  </w:style>
  <w:style w:type="paragraph" w:styleId="ListNumber3">
    <w:name w:val="List Number 3"/>
    <w:basedOn w:val="Normal"/>
    <w:qFormat/>
    <w:rsid w:val="007A47E0"/>
    <w:pPr>
      <w:numPr>
        <w:numId w:val="6"/>
      </w:numPr>
      <w:spacing w:before="60" w:after="60"/>
    </w:pPr>
  </w:style>
  <w:style w:type="paragraph" w:styleId="ListNumber4">
    <w:name w:val="List Number 4"/>
    <w:basedOn w:val="Normal"/>
    <w:qFormat/>
    <w:rsid w:val="007A47E0"/>
    <w:pPr>
      <w:numPr>
        <w:numId w:val="5"/>
      </w:numPr>
      <w:spacing w:before="60" w:after="60"/>
    </w:pPr>
  </w:style>
  <w:style w:type="paragraph" w:styleId="ListNumber5">
    <w:name w:val="List Number 5"/>
    <w:basedOn w:val="Normal"/>
    <w:qFormat/>
    <w:rsid w:val="007A47E0"/>
    <w:pPr>
      <w:numPr>
        <w:numId w:val="7"/>
      </w:numPr>
      <w:spacing w:before="60" w:after="60"/>
    </w:pPr>
  </w:style>
  <w:style w:type="paragraph" w:customStyle="1" w:styleId="Appendices">
    <w:name w:val="Appendices"/>
    <w:basedOn w:val="Subtitle"/>
    <w:rsid w:val="00E31B41"/>
    <w:pPr>
      <w:jc w:val="center"/>
    </w:pPr>
    <w:rPr>
      <w:caps/>
    </w:rPr>
  </w:style>
  <w:style w:type="paragraph" w:customStyle="1" w:styleId="DocTitle">
    <w:name w:val="DocTitle"/>
    <w:basedOn w:val="Normal"/>
    <w:rsid w:val="00E31B41"/>
    <w:pPr>
      <w:spacing w:before="40"/>
    </w:pPr>
    <w:rPr>
      <w:rFonts w:ascii="Helvetica" w:hAnsi="Helvetica"/>
      <w:b/>
      <w:sz w:val="48"/>
    </w:rPr>
  </w:style>
  <w:style w:type="paragraph" w:customStyle="1" w:styleId="DocNumber">
    <w:name w:val="DocNumber"/>
    <w:basedOn w:val="DocTitle"/>
    <w:rsid w:val="001C177E"/>
    <w:pPr>
      <w:jc w:val="right"/>
    </w:pPr>
    <w:rPr>
      <w:bCs/>
      <w:sz w:val="40"/>
    </w:rPr>
  </w:style>
  <w:style w:type="character" w:customStyle="1" w:styleId="TOCHeadings">
    <w:name w:val="TOC Headings"/>
    <w:basedOn w:val="DefaultParagraphFont"/>
    <w:rsid w:val="001C177E"/>
    <w:rPr>
      <w:rFonts w:ascii="Arial" w:hAnsi="Arial"/>
      <w:sz w:val="22"/>
    </w:rPr>
  </w:style>
  <w:style w:type="paragraph" w:customStyle="1" w:styleId="SignatureBlock">
    <w:name w:val="Signature Block"/>
    <w:basedOn w:val="Normal"/>
    <w:rsid w:val="001C177E"/>
    <w:pPr>
      <w:spacing w:before="120"/>
    </w:pPr>
  </w:style>
  <w:style w:type="paragraph" w:customStyle="1" w:styleId="TableCentered">
    <w:name w:val="Table Centered"/>
    <w:basedOn w:val="Table"/>
    <w:rsid w:val="008E40C7"/>
    <w:pPr>
      <w:jc w:val="center"/>
    </w:pPr>
    <w:rPr>
      <w:lang w:val="en-CA"/>
    </w:rPr>
  </w:style>
  <w:style w:type="paragraph" w:customStyle="1" w:styleId="DocumentParent">
    <w:name w:val="Document Parent"/>
    <w:basedOn w:val="Table"/>
    <w:rsid w:val="008E40C7"/>
    <w:pPr>
      <w:numPr>
        <w:numId w:val="12"/>
      </w:numPr>
      <w:jc w:val="center"/>
    </w:pPr>
    <w:rPr>
      <w:lang w:val="en-CA"/>
    </w:rPr>
  </w:style>
  <w:style w:type="paragraph" w:customStyle="1" w:styleId="DocumentApplicable">
    <w:name w:val="Document Applicable"/>
    <w:basedOn w:val="TableCentered"/>
    <w:rsid w:val="0056535C"/>
    <w:pPr>
      <w:numPr>
        <w:numId w:val="13"/>
      </w:numPr>
    </w:pPr>
  </w:style>
  <w:style w:type="paragraph" w:customStyle="1" w:styleId="DocumentReference">
    <w:name w:val="Document Reference"/>
    <w:basedOn w:val="TableCentered"/>
    <w:rsid w:val="002443F0"/>
    <w:pPr>
      <w:numPr>
        <w:numId w:val="14"/>
      </w:numPr>
    </w:pPr>
  </w:style>
  <w:style w:type="paragraph" w:customStyle="1" w:styleId="DocumentData">
    <w:name w:val="Document Data"/>
    <w:basedOn w:val="TableCentered"/>
    <w:rsid w:val="00C36B5E"/>
    <w:pPr>
      <w:numPr>
        <w:numId w:val="15"/>
      </w:numPr>
    </w:pPr>
  </w:style>
  <w:style w:type="paragraph" w:styleId="ListParagraph">
    <w:name w:val="List Paragraph"/>
    <w:basedOn w:val="Normal"/>
    <w:link w:val="ListParagraphChar"/>
    <w:uiPriority w:val="34"/>
    <w:qFormat/>
    <w:rsid w:val="00317985"/>
    <w:pPr>
      <w:ind w:left="720"/>
      <w:contextualSpacing/>
    </w:pPr>
  </w:style>
  <w:style w:type="character" w:customStyle="1" w:styleId="BodyText2Char">
    <w:name w:val="Body Text 2 Char"/>
    <w:basedOn w:val="DefaultParagraphFont"/>
    <w:link w:val="BodyText2"/>
    <w:rsid w:val="00124B1A"/>
    <w:rPr>
      <w:rFonts w:ascii="Arial" w:hAnsi="Arial" w:cs="Arial"/>
      <w:color w:val="FF0000"/>
      <w:sz w:val="16"/>
      <w:lang w:val="en-US" w:eastAsia="en-US"/>
    </w:rPr>
  </w:style>
  <w:style w:type="paragraph" w:styleId="NormalWeb">
    <w:name w:val="Normal (Web)"/>
    <w:basedOn w:val="Normal"/>
    <w:uiPriority w:val="99"/>
    <w:unhideWhenUsed/>
    <w:rsid w:val="00184471"/>
    <w:pPr>
      <w:spacing w:before="100" w:beforeAutospacing="1" w:after="100" w:afterAutospacing="1"/>
    </w:pPr>
    <w:rPr>
      <w:rFonts w:eastAsiaTheme="minorEastAsia"/>
      <w:szCs w:val="24"/>
      <w:lang w:val="en-CA" w:eastAsia="en-CA"/>
    </w:rPr>
  </w:style>
  <w:style w:type="table" w:styleId="TableGrid">
    <w:name w:val="Table Grid"/>
    <w:basedOn w:val="TableNormal"/>
    <w:uiPriority w:val="59"/>
    <w:rsid w:val="001844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rsid w:val="00A936AB"/>
    <w:rPr>
      <w:sz w:val="24"/>
      <w:lang w:val="en-US" w:eastAsia="en-US"/>
    </w:rPr>
  </w:style>
  <w:style w:type="paragraph" w:customStyle="1" w:styleId="NormalBullet">
    <w:name w:val="NormalBullet"/>
    <w:basedOn w:val="Normal"/>
    <w:rsid w:val="00A936AB"/>
    <w:pPr>
      <w:numPr>
        <w:numId w:val="16"/>
      </w:numPr>
      <w:spacing w:line="276" w:lineRule="auto"/>
      <w:ind w:left="360"/>
    </w:pPr>
    <w:rPr>
      <w:rFonts w:ascii="Calibri" w:hAnsi="Calibri"/>
      <w:sz w:val="22"/>
      <w:szCs w:val="22"/>
      <w:lang w:bidi="en-US"/>
    </w:rPr>
  </w:style>
  <w:style w:type="paragraph" w:customStyle="1" w:styleId="NormalBulletIndent">
    <w:name w:val="NormalBulletIndent"/>
    <w:basedOn w:val="NormalBullet"/>
    <w:rsid w:val="00A936AB"/>
    <w:pPr>
      <w:ind w:left="720"/>
      <w:jc w:val="both"/>
    </w:pPr>
    <w:rPr>
      <w:lang w:val="en-GB"/>
    </w:rPr>
  </w:style>
  <w:style w:type="character" w:customStyle="1" w:styleId="CaptionChar">
    <w:name w:val="Caption Char"/>
    <w:aliases w:val="Caption-Figure Char,FIGCAPTION Char,Caption Char1 Char,Caption Char Char Char,Légende italique Char1,topic Char,3559Caption Char1,c Char,C Char,Legend Char1,topic1 Char,topic2 Char,topic3 Char,Legend Char Char,3559Caption Char Char,c1 Char"/>
    <w:basedOn w:val="DefaultParagraphFont"/>
    <w:link w:val="Caption"/>
    <w:uiPriority w:val="35"/>
    <w:rsid w:val="00A936AB"/>
    <w:rPr>
      <w:rFonts w:ascii="Arial" w:hAnsi="Arial"/>
      <w:b/>
      <w:caps/>
      <w:sz w:val="22"/>
      <w:lang w:val="en-US" w:eastAsia="en-US"/>
    </w:rPr>
  </w:style>
  <w:style w:type="paragraph" w:customStyle="1" w:styleId="TABLE-Header">
    <w:name w:val="TABLE - Header"/>
    <w:basedOn w:val="TableofFigures"/>
    <w:link w:val="TABLE-HeaderChar"/>
    <w:rsid w:val="001E7E84"/>
    <w:pPr>
      <w:tabs>
        <w:tab w:val="clear" w:pos="9360"/>
      </w:tabs>
      <w:spacing w:before="0" w:after="0" w:line="276" w:lineRule="auto"/>
      <w:ind w:left="0" w:firstLine="0"/>
      <w:jc w:val="center"/>
    </w:pPr>
    <w:rPr>
      <w:rFonts w:ascii="Cambria" w:eastAsiaTheme="majorEastAsia" w:hAnsi="Cambria" w:cstheme="majorBidi"/>
      <w:b/>
      <w:caps w:val="0"/>
      <w:color w:val="FFFFFF"/>
      <w:sz w:val="24"/>
      <w:szCs w:val="24"/>
    </w:rPr>
  </w:style>
  <w:style w:type="character" w:customStyle="1" w:styleId="TABLE-HeaderChar">
    <w:name w:val="TABLE - Header Char"/>
    <w:basedOn w:val="DefaultParagraphFont"/>
    <w:link w:val="TABLE-Header"/>
    <w:rsid w:val="001E7E84"/>
    <w:rPr>
      <w:rFonts w:ascii="Cambria" w:eastAsiaTheme="majorEastAsia" w:hAnsi="Cambria" w:cstheme="majorBidi"/>
      <w:b/>
      <w:color w:val="FFFFFF"/>
      <w:sz w:val="24"/>
      <w:szCs w:val="24"/>
      <w:lang w:val="en-US" w:eastAsia="en-US"/>
    </w:rPr>
  </w:style>
  <w:style w:type="paragraph" w:customStyle="1" w:styleId="TableTextLeft">
    <w:name w:val="TableTextLeft"/>
    <w:basedOn w:val="Normal"/>
    <w:rsid w:val="001E7E84"/>
    <w:pPr>
      <w:tabs>
        <w:tab w:val="left" w:pos="720"/>
        <w:tab w:val="left" w:pos="1440"/>
      </w:tabs>
      <w:spacing w:before="20" w:after="20"/>
    </w:pPr>
    <w:rPr>
      <w:sz w:val="22"/>
      <w:szCs w:val="22"/>
      <w:lang w:bidi="en-US"/>
    </w:rPr>
  </w:style>
  <w:style w:type="paragraph" w:customStyle="1" w:styleId="TableTextBullet">
    <w:name w:val="TableTextBullet"/>
    <w:basedOn w:val="TableTextLeft"/>
    <w:rsid w:val="001E7E84"/>
    <w:pPr>
      <w:tabs>
        <w:tab w:val="clear" w:pos="720"/>
        <w:tab w:val="clear" w:pos="1440"/>
      </w:tabs>
      <w:ind w:left="216" w:hanging="216"/>
    </w:pPr>
  </w:style>
  <w:style w:type="paragraph" w:customStyle="1" w:styleId="InstructionStyle">
    <w:name w:val="Instruction Style"/>
    <w:basedOn w:val="PlainText"/>
    <w:link w:val="InstructionStyleChar"/>
    <w:rsid w:val="001E7E84"/>
    <w:pPr>
      <w:spacing w:before="120" w:line="276" w:lineRule="auto"/>
    </w:pPr>
    <w:rPr>
      <w:rFonts w:ascii="Cambria" w:eastAsiaTheme="majorEastAsia" w:hAnsi="Cambria" w:cs="Consolas"/>
      <w:b/>
      <w:i/>
      <w:sz w:val="24"/>
      <w:lang w:val="en-GB"/>
    </w:rPr>
  </w:style>
  <w:style w:type="character" w:customStyle="1" w:styleId="InstructionStyleChar">
    <w:name w:val="Instruction Style Char"/>
    <w:basedOn w:val="DefaultParagraphFont"/>
    <w:link w:val="InstructionStyle"/>
    <w:rsid w:val="001E7E84"/>
    <w:rPr>
      <w:rFonts w:ascii="Cambria" w:eastAsiaTheme="majorEastAsia" w:hAnsi="Cambria" w:cs="Consolas"/>
      <w:b/>
      <w:i/>
      <w:sz w:val="24"/>
      <w:szCs w:val="21"/>
      <w:lang w:val="en-GB" w:eastAsia="en-US"/>
    </w:rPr>
  </w:style>
  <w:style w:type="paragraph" w:styleId="PlainText">
    <w:name w:val="Plain Text"/>
    <w:basedOn w:val="Normal"/>
    <w:link w:val="PlainTextChar"/>
    <w:semiHidden/>
    <w:unhideWhenUsed/>
    <w:rsid w:val="001E7E84"/>
    <w:rPr>
      <w:rFonts w:ascii="Consolas" w:hAnsi="Consolas"/>
      <w:sz w:val="21"/>
      <w:szCs w:val="21"/>
    </w:rPr>
  </w:style>
  <w:style w:type="character" w:customStyle="1" w:styleId="PlainTextChar">
    <w:name w:val="Plain Text Char"/>
    <w:basedOn w:val="DefaultParagraphFont"/>
    <w:link w:val="PlainText"/>
    <w:semiHidden/>
    <w:rsid w:val="001E7E84"/>
    <w:rPr>
      <w:rFonts w:ascii="Consolas" w:hAnsi="Consolas"/>
      <w:sz w:val="21"/>
      <w:szCs w:val="21"/>
      <w:lang w:val="en-US" w:eastAsia="en-US"/>
    </w:rPr>
  </w:style>
  <w:style w:type="character" w:styleId="Strong">
    <w:name w:val="Strong"/>
    <w:basedOn w:val="DefaultParagraphFont"/>
    <w:uiPriority w:val="22"/>
    <w:qFormat/>
    <w:rsid w:val="008A267C"/>
    <w:rPr>
      <w:b/>
      <w:bCs/>
    </w:rPr>
  </w:style>
  <w:style w:type="character" w:customStyle="1" w:styleId="CommentTextChar">
    <w:name w:val="Comment Text Char"/>
    <w:basedOn w:val="DefaultParagraphFont"/>
    <w:link w:val="CommentText"/>
    <w:rsid w:val="00045303"/>
    <w:rPr>
      <w:lang w:eastAsia="en-US"/>
    </w:rPr>
  </w:style>
  <w:style w:type="paragraph" w:styleId="BalloonText">
    <w:name w:val="Balloon Text"/>
    <w:basedOn w:val="Normal"/>
    <w:link w:val="BalloonTextChar"/>
    <w:semiHidden/>
    <w:unhideWhenUsed/>
    <w:rsid w:val="00045303"/>
    <w:rPr>
      <w:rFonts w:ascii="Segoe UI" w:hAnsi="Segoe UI" w:cs="Segoe UI"/>
      <w:sz w:val="18"/>
      <w:szCs w:val="18"/>
    </w:rPr>
  </w:style>
  <w:style w:type="character" w:customStyle="1" w:styleId="BalloonTextChar">
    <w:name w:val="Balloon Text Char"/>
    <w:basedOn w:val="DefaultParagraphFont"/>
    <w:link w:val="BalloonText"/>
    <w:semiHidden/>
    <w:rsid w:val="00045303"/>
    <w:rPr>
      <w:rFonts w:ascii="Segoe UI" w:hAnsi="Segoe UI" w:cs="Segoe UI"/>
      <w:sz w:val="18"/>
      <w:szCs w:val="18"/>
      <w:lang w:val="en-US" w:eastAsia="en-US"/>
    </w:rPr>
  </w:style>
  <w:style w:type="paragraph" w:styleId="CommentSubject">
    <w:name w:val="annotation subject"/>
    <w:basedOn w:val="CommentText"/>
    <w:next w:val="CommentText"/>
    <w:link w:val="CommentSubjectChar"/>
    <w:semiHidden/>
    <w:unhideWhenUsed/>
    <w:rsid w:val="00ED4054"/>
    <w:rPr>
      <w:b/>
      <w:bCs/>
      <w:lang w:val="en-US"/>
    </w:rPr>
  </w:style>
  <w:style w:type="character" w:customStyle="1" w:styleId="CommentSubjectChar">
    <w:name w:val="Comment Subject Char"/>
    <w:basedOn w:val="CommentTextChar"/>
    <w:link w:val="CommentSubject"/>
    <w:semiHidden/>
    <w:rsid w:val="00ED4054"/>
    <w:rPr>
      <w:b/>
      <w:bCs/>
      <w:lang w:val="en-US" w:eastAsia="en-US"/>
    </w:rPr>
  </w:style>
  <w:style w:type="character" w:styleId="UnresolvedMention">
    <w:name w:val="Unresolved Mention"/>
    <w:basedOn w:val="DefaultParagraphFont"/>
    <w:uiPriority w:val="99"/>
    <w:semiHidden/>
    <w:unhideWhenUsed/>
    <w:rsid w:val="00723895"/>
    <w:rPr>
      <w:color w:val="605E5C"/>
      <w:shd w:val="clear" w:color="auto" w:fill="E1DFDD"/>
    </w:rPr>
  </w:style>
  <w:style w:type="character" w:styleId="FollowedHyperlink">
    <w:name w:val="FollowedHyperlink"/>
    <w:basedOn w:val="DefaultParagraphFont"/>
    <w:semiHidden/>
    <w:unhideWhenUsed/>
    <w:rsid w:val="00964584"/>
    <w:rPr>
      <w:color w:val="800080" w:themeColor="followedHyperlink"/>
      <w:u w:val="single"/>
    </w:rPr>
  </w:style>
  <w:style w:type="character" w:customStyle="1" w:styleId="TitleChar">
    <w:name w:val="Title Char"/>
    <w:basedOn w:val="DefaultParagraphFont"/>
    <w:link w:val="Title"/>
    <w:uiPriority w:val="10"/>
    <w:rsid w:val="00A04443"/>
    <w:rPr>
      <w:rFonts w:ascii="Helvetica" w:hAnsi="Helvetica"/>
      <w:b/>
      <w:kern w:val="28"/>
      <w:sz w:val="48"/>
      <w:lang w:val="en-US" w:eastAsia="en-US"/>
    </w:rPr>
  </w:style>
  <w:style w:type="character" w:customStyle="1" w:styleId="s">
    <w:name w:val="s"/>
    <w:basedOn w:val="DefaultParagraphFont"/>
    <w:rsid w:val="007E7DA8"/>
  </w:style>
  <w:style w:type="paragraph" w:customStyle="1" w:styleId="Heading3b">
    <w:name w:val="Heading 3b"/>
    <w:basedOn w:val="Heading3"/>
    <w:autoRedefine/>
    <w:qFormat/>
    <w:rsid w:val="007E7DA8"/>
    <w:pPr>
      <w:numPr>
        <w:ilvl w:val="0"/>
        <w:numId w:val="0"/>
      </w:numPr>
      <w:spacing w:before="120"/>
      <w:ind w:left="792" w:hanging="792"/>
    </w:pPr>
    <w:rPr>
      <w:rFonts w:cs="Arial"/>
      <w:bCs/>
      <w:i w:val="0"/>
      <w:iCs/>
      <w:sz w:val="22"/>
      <w:szCs w:val="24"/>
    </w:rPr>
  </w:style>
  <w:style w:type="paragraph" w:customStyle="1" w:styleId="Body">
    <w:name w:val="Body"/>
    <w:basedOn w:val="Normal"/>
    <w:rsid w:val="007E7DA8"/>
    <w:rPr>
      <w:rFonts w:ascii="Times" w:hAnsi="Times"/>
      <w:color w:val="000000"/>
    </w:rPr>
  </w:style>
  <w:style w:type="paragraph" w:customStyle="1" w:styleId="Bullet">
    <w:name w:val="Bullet"/>
    <w:basedOn w:val="Normal"/>
    <w:rsid w:val="007E7DA8"/>
    <w:pPr>
      <w:numPr>
        <w:numId w:val="17"/>
      </w:numPr>
      <w:spacing w:after="60"/>
      <w:ind w:left="1080" w:hanging="360"/>
    </w:pPr>
    <w:rPr>
      <w:bCs/>
      <w:szCs w:val="24"/>
    </w:rPr>
  </w:style>
  <w:style w:type="paragraph" w:customStyle="1" w:styleId="Caption1">
    <w:name w:val="Caption1"/>
    <w:basedOn w:val="Normal"/>
    <w:next w:val="Normal"/>
    <w:rsid w:val="007E7DA8"/>
    <w:rPr>
      <w:noProof/>
    </w:rPr>
  </w:style>
  <w:style w:type="paragraph" w:styleId="List">
    <w:name w:val="List"/>
    <w:basedOn w:val="Normal"/>
    <w:rsid w:val="007E7DA8"/>
    <w:pPr>
      <w:ind w:left="360" w:hanging="360"/>
    </w:pPr>
    <w:rPr>
      <w:szCs w:val="24"/>
    </w:rPr>
  </w:style>
  <w:style w:type="paragraph" w:customStyle="1" w:styleId="xl30">
    <w:name w:val="xl30"/>
    <w:basedOn w:val="Normal"/>
    <w:rsid w:val="007E7DA8"/>
    <w:pPr>
      <w:pBdr>
        <w:left w:val="single" w:sz="4" w:space="0" w:color="auto"/>
        <w:right w:val="single" w:sz="4" w:space="0" w:color="auto"/>
      </w:pBdr>
      <w:shd w:val="clear" w:color="auto" w:fill="FFFFFF"/>
      <w:spacing w:before="100" w:beforeAutospacing="1" w:after="100" w:afterAutospacing="1"/>
    </w:pPr>
    <w:rPr>
      <w:rFonts w:ascii="Arial Unicode MS" w:eastAsia="Arial Unicode MS" w:hAnsi="Arial Unicode MS" w:cs="Arial Unicode MS"/>
      <w:szCs w:val="24"/>
    </w:rPr>
  </w:style>
  <w:style w:type="paragraph" w:customStyle="1" w:styleId="WPDefaults">
    <w:name w:val="WP Defaults"/>
    <w:rsid w:val="007E7DA8"/>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s>
      <w:spacing w:line="240" w:lineRule="atLeast"/>
      <w:jc w:val="both"/>
    </w:pPr>
    <w:rPr>
      <w:rFonts w:ascii="Courier" w:hAnsi="Courier"/>
      <w:sz w:val="24"/>
      <w:szCs w:val="24"/>
      <w:lang w:val="en-US" w:eastAsia="en-US"/>
    </w:rPr>
  </w:style>
  <w:style w:type="paragraph" w:customStyle="1" w:styleId="Answer">
    <w:name w:val="Answer"/>
    <w:basedOn w:val="Normal"/>
    <w:link w:val="AnswerChar"/>
    <w:qFormat/>
    <w:rsid w:val="007E7DA8"/>
    <w:rPr>
      <w:rFonts w:ascii="Calibri" w:eastAsia="Calibri" w:hAnsi="Calibri"/>
      <w:color w:val="1F4E79"/>
      <w:sz w:val="20"/>
      <w:szCs w:val="22"/>
    </w:rPr>
  </w:style>
  <w:style w:type="character" w:customStyle="1" w:styleId="AnswerChar">
    <w:name w:val="Answer Char"/>
    <w:link w:val="Answer"/>
    <w:rsid w:val="007E7DA8"/>
    <w:rPr>
      <w:rFonts w:ascii="Calibri" w:eastAsia="Calibri" w:hAnsi="Calibri"/>
      <w:color w:val="1F4E79"/>
      <w:szCs w:val="22"/>
      <w:lang w:val="en-US" w:eastAsia="en-US"/>
    </w:rPr>
  </w:style>
  <w:style w:type="character" w:customStyle="1" w:styleId="ui-provider">
    <w:name w:val="ui-provider"/>
    <w:basedOn w:val="DefaultParagraphFont"/>
    <w:rsid w:val="007E7DA8"/>
  </w:style>
  <w:style w:type="numbering" w:customStyle="1" w:styleId="Ref">
    <w:name w:val="Ref"/>
    <w:uiPriority w:val="99"/>
    <w:rsid w:val="007E7DA8"/>
    <w:pPr>
      <w:numPr>
        <w:numId w:val="18"/>
      </w:numPr>
    </w:pPr>
  </w:style>
  <w:style w:type="paragraph" w:customStyle="1" w:styleId="DocNumber0">
    <w:name w:val="Doc Number"/>
    <w:basedOn w:val="Title"/>
    <w:uiPriority w:val="99"/>
    <w:unhideWhenUsed/>
    <w:rsid w:val="007E7DA8"/>
    <w:pPr>
      <w:jc w:val="right"/>
    </w:pPr>
    <w:rPr>
      <w:b w:val="0"/>
      <w:caps/>
      <w:sz w:val="40"/>
      <w:lang w:val="en-CA" w:eastAsia="en-CA" w:bidi="en-CA"/>
    </w:rPr>
  </w:style>
  <w:style w:type="character" w:customStyle="1" w:styleId="SubtitleChar">
    <w:name w:val="Subtitle Char"/>
    <w:basedOn w:val="DefaultParagraphFont"/>
    <w:link w:val="Subtitle"/>
    <w:uiPriority w:val="11"/>
    <w:rsid w:val="007E7DA8"/>
    <w:rPr>
      <w:rFonts w:ascii="Helvetica" w:hAnsi="Helvetica"/>
      <w:b/>
      <w:sz w:val="36"/>
      <w:lang w:val="en-US" w:eastAsia="en-US"/>
    </w:rPr>
  </w:style>
  <w:style w:type="paragraph" w:styleId="Revision">
    <w:name w:val="Revision"/>
    <w:hidden/>
    <w:uiPriority w:val="99"/>
    <w:semiHidden/>
    <w:rsid w:val="00534817"/>
    <w:rPr>
      <w:sz w:val="24"/>
      <w:lang w:val="en-US" w:eastAsia="en-US"/>
    </w:rPr>
  </w:style>
  <w:style w:type="character" w:customStyle="1" w:styleId="fontstyle01">
    <w:name w:val="fontstyle01"/>
    <w:basedOn w:val="DefaultParagraphFont"/>
    <w:rsid w:val="003F6D77"/>
    <w:rPr>
      <w:rFonts w:ascii="Arial" w:hAnsi="Arial" w:cs="Arial" w:hint="default"/>
      <w:b w:val="0"/>
      <w:bCs w:val="0"/>
      <w:i w:val="0"/>
      <w:iCs w:val="0"/>
      <w:color w:val="000000"/>
      <w:sz w:val="22"/>
      <w:szCs w:val="22"/>
    </w:rPr>
  </w:style>
  <w:style w:type="character" w:customStyle="1" w:styleId="fontstyle21">
    <w:name w:val="fontstyle21"/>
    <w:basedOn w:val="DefaultParagraphFont"/>
    <w:rsid w:val="003F6D77"/>
    <w:rPr>
      <w:rFonts w:ascii="Symbol" w:hAnsi="Symbol" w:hint="default"/>
      <w:b w:val="0"/>
      <w:bCs w:val="0"/>
      <w:i w:val="0"/>
      <w:iCs w:val="0"/>
      <w:color w:val="000000"/>
      <w:sz w:val="22"/>
      <w:szCs w:val="22"/>
    </w:rPr>
  </w:style>
  <w:style w:type="character" w:customStyle="1" w:styleId="fontstyle31">
    <w:name w:val="fontstyle31"/>
    <w:basedOn w:val="DefaultParagraphFont"/>
    <w:rsid w:val="003300F9"/>
    <w:rPr>
      <w:rFonts w:ascii="Courier New" w:hAnsi="Courier New" w:cs="Courier New" w:hint="default"/>
      <w:b w:val="0"/>
      <w:bCs w:val="0"/>
      <w:i w:val="0"/>
      <w:iCs w:val="0"/>
      <w:color w:val="000000"/>
      <w:sz w:val="22"/>
      <w:szCs w:val="22"/>
    </w:rPr>
  </w:style>
  <w:style w:type="character" w:customStyle="1" w:styleId="genid24502">
    <w:name w:val="genid24_502"/>
    <w:basedOn w:val="DefaultParagraphFont"/>
    <w:rsid w:val="0095190C"/>
  </w:style>
  <w:style w:type="table" w:styleId="TableGridLight">
    <w:name w:val="Grid Table Light"/>
    <w:basedOn w:val="TableNormal"/>
    <w:uiPriority w:val="40"/>
    <w:rsid w:val="00A0225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EC552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2Char">
    <w:name w:val="Heading 2 Char"/>
    <w:basedOn w:val="DefaultParagraphFont"/>
    <w:link w:val="Heading2"/>
    <w:rsid w:val="00044BD6"/>
    <w:rPr>
      <w:rFonts w:ascii="Arial" w:hAnsi="Arial"/>
      <w:b/>
      <w:caps/>
      <w:sz w:val="24"/>
      <w:lang w:val="en-US" w:eastAsia="en-US"/>
    </w:rPr>
  </w:style>
  <w:style w:type="paragraph" w:customStyle="1" w:styleId="pdq2pgselectionanchorcontainer">
    <w:name w:val="pdq2pg_selectionanchorcontainer"/>
    <w:basedOn w:val="Normal"/>
    <w:rsid w:val="00AA4C88"/>
    <w:pPr>
      <w:spacing w:before="100" w:beforeAutospacing="1" w:after="100" w:afterAutospacing="1"/>
    </w:pPr>
    <w:rPr>
      <w:rFonts w:ascii="Times New Roman" w:hAnsi="Times New Roman"/>
      <w:szCs w:val="24"/>
    </w:rPr>
  </w:style>
  <w:style w:type="paragraph" w:customStyle="1" w:styleId="TextBody">
    <w:name w:val="Text Body"/>
    <w:basedOn w:val="Normal"/>
    <w:link w:val="TextBodyChar"/>
    <w:qFormat/>
    <w:rsid w:val="0025206F"/>
    <w:pPr>
      <w:overflowPunct w:val="0"/>
      <w:autoSpaceDE w:val="0"/>
      <w:autoSpaceDN w:val="0"/>
      <w:adjustRightInd w:val="0"/>
      <w:spacing w:after="200" w:line="320" w:lineRule="exact"/>
      <w:ind w:left="1512" w:right="432"/>
      <w:jc w:val="both"/>
      <w:textAlignment w:val="baseline"/>
    </w:pPr>
    <w:rPr>
      <w:rFonts w:ascii="Helvetica" w:hAnsi="Helvetica"/>
      <w:sz w:val="20"/>
      <w:lang w:val="en-CA"/>
    </w:rPr>
  </w:style>
  <w:style w:type="character" w:customStyle="1" w:styleId="TextBodyChar">
    <w:name w:val="Text Body Char"/>
    <w:aliases w:val="text body Char,tb Char,textbodt Char,table body Char,table(body) Char"/>
    <w:basedOn w:val="DefaultParagraphFont"/>
    <w:link w:val="TextBody"/>
    <w:rsid w:val="0025206F"/>
    <w:rPr>
      <w:rFonts w:ascii="Helvetica" w:hAnsi="Helvetica"/>
      <w:lang w:eastAsia="en-US"/>
    </w:rPr>
  </w:style>
  <w:style w:type="table" w:styleId="GridTable4-Accent1">
    <w:name w:val="Grid Table 4 Accent 1"/>
    <w:basedOn w:val="TableNormal"/>
    <w:uiPriority w:val="49"/>
    <w:rsid w:val="001D50DE"/>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6220">
      <w:bodyDiv w:val="1"/>
      <w:marLeft w:val="0"/>
      <w:marRight w:val="0"/>
      <w:marTop w:val="0"/>
      <w:marBottom w:val="0"/>
      <w:divBdr>
        <w:top w:val="none" w:sz="0" w:space="0" w:color="auto"/>
        <w:left w:val="none" w:sz="0" w:space="0" w:color="auto"/>
        <w:bottom w:val="none" w:sz="0" w:space="0" w:color="auto"/>
        <w:right w:val="none" w:sz="0" w:space="0" w:color="auto"/>
      </w:divBdr>
    </w:div>
    <w:div w:id="45032511">
      <w:bodyDiv w:val="1"/>
      <w:marLeft w:val="0"/>
      <w:marRight w:val="0"/>
      <w:marTop w:val="0"/>
      <w:marBottom w:val="0"/>
      <w:divBdr>
        <w:top w:val="none" w:sz="0" w:space="0" w:color="auto"/>
        <w:left w:val="none" w:sz="0" w:space="0" w:color="auto"/>
        <w:bottom w:val="none" w:sz="0" w:space="0" w:color="auto"/>
        <w:right w:val="none" w:sz="0" w:space="0" w:color="auto"/>
      </w:divBdr>
      <w:divsChild>
        <w:div w:id="129827879">
          <w:marLeft w:val="-225"/>
          <w:marRight w:val="-225"/>
          <w:marTop w:val="0"/>
          <w:marBottom w:val="0"/>
          <w:divBdr>
            <w:top w:val="none" w:sz="0" w:space="0" w:color="auto"/>
            <w:left w:val="none" w:sz="0" w:space="0" w:color="auto"/>
            <w:bottom w:val="none" w:sz="0" w:space="0" w:color="auto"/>
            <w:right w:val="none" w:sz="0" w:space="0" w:color="auto"/>
          </w:divBdr>
          <w:divsChild>
            <w:div w:id="741636498">
              <w:marLeft w:val="0"/>
              <w:marRight w:val="0"/>
              <w:marTop w:val="0"/>
              <w:marBottom w:val="0"/>
              <w:divBdr>
                <w:top w:val="none" w:sz="0" w:space="0" w:color="auto"/>
                <w:left w:val="none" w:sz="0" w:space="0" w:color="auto"/>
                <w:bottom w:val="none" w:sz="0" w:space="0" w:color="auto"/>
                <w:right w:val="none" w:sz="0" w:space="0" w:color="auto"/>
              </w:divBdr>
              <w:divsChild>
                <w:div w:id="137870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754185">
          <w:marLeft w:val="-225"/>
          <w:marRight w:val="-225"/>
          <w:marTop w:val="0"/>
          <w:marBottom w:val="0"/>
          <w:divBdr>
            <w:top w:val="none" w:sz="0" w:space="0" w:color="auto"/>
            <w:left w:val="none" w:sz="0" w:space="0" w:color="auto"/>
            <w:bottom w:val="none" w:sz="0" w:space="0" w:color="auto"/>
            <w:right w:val="none" w:sz="0" w:space="0" w:color="auto"/>
          </w:divBdr>
          <w:divsChild>
            <w:div w:id="31423421">
              <w:marLeft w:val="0"/>
              <w:marRight w:val="0"/>
              <w:marTop w:val="0"/>
              <w:marBottom w:val="0"/>
              <w:divBdr>
                <w:top w:val="none" w:sz="0" w:space="0" w:color="auto"/>
                <w:left w:val="none" w:sz="0" w:space="0" w:color="auto"/>
                <w:bottom w:val="none" w:sz="0" w:space="0" w:color="auto"/>
                <w:right w:val="none" w:sz="0" w:space="0" w:color="auto"/>
              </w:divBdr>
              <w:divsChild>
                <w:div w:id="205442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500358">
          <w:marLeft w:val="-225"/>
          <w:marRight w:val="-225"/>
          <w:marTop w:val="0"/>
          <w:marBottom w:val="0"/>
          <w:divBdr>
            <w:top w:val="none" w:sz="0" w:space="0" w:color="auto"/>
            <w:left w:val="none" w:sz="0" w:space="0" w:color="auto"/>
            <w:bottom w:val="none" w:sz="0" w:space="0" w:color="auto"/>
            <w:right w:val="none" w:sz="0" w:space="0" w:color="auto"/>
          </w:divBdr>
          <w:divsChild>
            <w:div w:id="2001805055">
              <w:marLeft w:val="0"/>
              <w:marRight w:val="0"/>
              <w:marTop w:val="0"/>
              <w:marBottom w:val="0"/>
              <w:divBdr>
                <w:top w:val="none" w:sz="0" w:space="0" w:color="auto"/>
                <w:left w:val="none" w:sz="0" w:space="0" w:color="auto"/>
                <w:bottom w:val="none" w:sz="0" w:space="0" w:color="auto"/>
                <w:right w:val="none" w:sz="0" w:space="0" w:color="auto"/>
              </w:divBdr>
              <w:divsChild>
                <w:div w:id="157288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360243">
          <w:marLeft w:val="-225"/>
          <w:marRight w:val="-225"/>
          <w:marTop w:val="0"/>
          <w:marBottom w:val="0"/>
          <w:divBdr>
            <w:top w:val="none" w:sz="0" w:space="0" w:color="auto"/>
            <w:left w:val="none" w:sz="0" w:space="0" w:color="auto"/>
            <w:bottom w:val="none" w:sz="0" w:space="0" w:color="auto"/>
            <w:right w:val="none" w:sz="0" w:space="0" w:color="auto"/>
          </w:divBdr>
          <w:divsChild>
            <w:div w:id="2070883816">
              <w:marLeft w:val="0"/>
              <w:marRight w:val="0"/>
              <w:marTop w:val="0"/>
              <w:marBottom w:val="0"/>
              <w:divBdr>
                <w:top w:val="none" w:sz="0" w:space="0" w:color="auto"/>
                <w:left w:val="none" w:sz="0" w:space="0" w:color="auto"/>
                <w:bottom w:val="none" w:sz="0" w:space="0" w:color="auto"/>
                <w:right w:val="none" w:sz="0" w:space="0" w:color="auto"/>
              </w:divBdr>
              <w:divsChild>
                <w:div w:id="85361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322392">
          <w:marLeft w:val="-225"/>
          <w:marRight w:val="-225"/>
          <w:marTop w:val="450"/>
          <w:marBottom w:val="0"/>
          <w:divBdr>
            <w:top w:val="none" w:sz="0" w:space="0" w:color="auto"/>
            <w:left w:val="none" w:sz="0" w:space="0" w:color="auto"/>
            <w:bottom w:val="none" w:sz="0" w:space="0" w:color="auto"/>
            <w:right w:val="none" w:sz="0" w:space="0" w:color="auto"/>
          </w:divBdr>
          <w:divsChild>
            <w:div w:id="1136533978">
              <w:marLeft w:val="0"/>
              <w:marRight w:val="0"/>
              <w:marTop w:val="0"/>
              <w:marBottom w:val="0"/>
              <w:divBdr>
                <w:top w:val="none" w:sz="0" w:space="0" w:color="auto"/>
                <w:left w:val="none" w:sz="0" w:space="0" w:color="auto"/>
                <w:bottom w:val="none" w:sz="0" w:space="0" w:color="auto"/>
                <w:right w:val="none" w:sz="0" w:space="0" w:color="auto"/>
              </w:divBdr>
              <w:divsChild>
                <w:div w:id="174387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346563">
          <w:marLeft w:val="-225"/>
          <w:marRight w:val="-225"/>
          <w:marTop w:val="0"/>
          <w:marBottom w:val="0"/>
          <w:divBdr>
            <w:top w:val="none" w:sz="0" w:space="0" w:color="auto"/>
            <w:left w:val="none" w:sz="0" w:space="0" w:color="auto"/>
            <w:bottom w:val="none" w:sz="0" w:space="0" w:color="auto"/>
            <w:right w:val="none" w:sz="0" w:space="0" w:color="auto"/>
          </w:divBdr>
          <w:divsChild>
            <w:div w:id="1175153046">
              <w:marLeft w:val="0"/>
              <w:marRight w:val="0"/>
              <w:marTop w:val="0"/>
              <w:marBottom w:val="0"/>
              <w:divBdr>
                <w:top w:val="none" w:sz="0" w:space="0" w:color="auto"/>
                <w:left w:val="none" w:sz="0" w:space="0" w:color="auto"/>
                <w:bottom w:val="none" w:sz="0" w:space="0" w:color="auto"/>
                <w:right w:val="none" w:sz="0" w:space="0" w:color="auto"/>
              </w:divBdr>
              <w:divsChild>
                <w:div w:id="151599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012717">
          <w:marLeft w:val="-225"/>
          <w:marRight w:val="-225"/>
          <w:marTop w:val="0"/>
          <w:marBottom w:val="0"/>
          <w:divBdr>
            <w:top w:val="none" w:sz="0" w:space="0" w:color="auto"/>
            <w:left w:val="none" w:sz="0" w:space="0" w:color="auto"/>
            <w:bottom w:val="none" w:sz="0" w:space="0" w:color="auto"/>
            <w:right w:val="none" w:sz="0" w:space="0" w:color="auto"/>
          </w:divBdr>
          <w:divsChild>
            <w:div w:id="1865636235">
              <w:marLeft w:val="0"/>
              <w:marRight w:val="0"/>
              <w:marTop w:val="0"/>
              <w:marBottom w:val="0"/>
              <w:divBdr>
                <w:top w:val="none" w:sz="0" w:space="0" w:color="auto"/>
                <w:left w:val="none" w:sz="0" w:space="0" w:color="auto"/>
                <w:bottom w:val="none" w:sz="0" w:space="0" w:color="auto"/>
                <w:right w:val="none" w:sz="0" w:space="0" w:color="auto"/>
              </w:divBdr>
              <w:divsChild>
                <w:div w:id="55759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590824">
          <w:marLeft w:val="-225"/>
          <w:marRight w:val="-225"/>
          <w:marTop w:val="0"/>
          <w:marBottom w:val="0"/>
          <w:divBdr>
            <w:top w:val="none" w:sz="0" w:space="0" w:color="auto"/>
            <w:left w:val="none" w:sz="0" w:space="0" w:color="auto"/>
            <w:bottom w:val="none" w:sz="0" w:space="0" w:color="auto"/>
            <w:right w:val="none" w:sz="0" w:space="0" w:color="auto"/>
          </w:divBdr>
          <w:divsChild>
            <w:div w:id="785974278">
              <w:marLeft w:val="0"/>
              <w:marRight w:val="0"/>
              <w:marTop w:val="0"/>
              <w:marBottom w:val="0"/>
              <w:divBdr>
                <w:top w:val="none" w:sz="0" w:space="0" w:color="auto"/>
                <w:left w:val="none" w:sz="0" w:space="0" w:color="auto"/>
                <w:bottom w:val="none" w:sz="0" w:space="0" w:color="auto"/>
                <w:right w:val="none" w:sz="0" w:space="0" w:color="auto"/>
              </w:divBdr>
              <w:divsChild>
                <w:div w:id="150793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726036">
          <w:marLeft w:val="-225"/>
          <w:marRight w:val="-225"/>
          <w:marTop w:val="0"/>
          <w:marBottom w:val="0"/>
          <w:divBdr>
            <w:top w:val="none" w:sz="0" w:space="0" w:color="auto"/>
            <w:left w:val="none" w:sz="0" w:space="0" w:color="auto"/>
            <w:bottom w:val="none" w:sz="0" w:space="0" w:color="auto"/>
            <w:right w:val="none" w:sz="0" w:space="0" w:color="auto"/>
          </w:divBdr>
          <w:divsChild>
            <w:div w:id="1757049042">
              <w:marLeft w:val="0"/>
              <w:marRight w:val="0"/>
              <w:marTop w:val="0"/>
              <w:marBottom w:val="0"/>
              <w:divBdr>
                <w:top w:val="none" w:sz="0" w:space="0" w:color="auto"/>
                <w:left w:val="none" w:sz="0" w:space="0" w:color="auto"/>
                <w:bottom w:val="none" w:sz="0" w:space="0" w:color="auto"/>
                <w:right w:val="none" w:sz="0" w:space="0" w:color="auto"/>
              </w:divBdr>
              <w:divsChild>
                <w:div w:id="41609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385485">
          <w:marLeft w:val="-225"/>
          <w:marRight w:val="-225"/>
          <w:marTop w:val="0"/>
          <w:marBottom w:val="0"/>
          <w:divBdr>
            <w:top w:val="none" w:sz="0" w:space="0" w:color="auto"/>
            <w:left w:val="none" w:sz="0" w:space="0" w:color="auto"/>
            <w:bottom w:val="none" w:sz="0" w:space="0" w:color="auto"/>
            <w:right w:val="none" w:sz="0" w:space="0" w:color="auto"/>
          </w:divBdr>
          <w:divsChild>
            <w:div w:id="671224446">
              <w:marLeft w:val="0"/>
              <w:marRight w:val="0"/>
              <w:marTop w:val="0"/>
              <w:marBottom w:val="0"/>
              <w:divBdr>
                <w:top w:val="none" w:sz="0" w:space="0" w:color="auto"/>
                <w:left w:val="none" w:sz="0" w:space="0" w:color="auto"/>
                <w:bottom w:val="none" w:sz="0" w:space="0" w:color="auto"/>
                <w:right w:val="none" w:sz="0" w:space="0" w:color="auto"/>
              </w:divBdr>
              <w:divsChild>
                <w:div w:id="1042705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32943">
      <w:bodyDiv w:val="1"/>
      <w:marLeft w:val="0"/>
      <w:marRight w:val="0"/>
      <w:marTop w:val="0"/>
      <w:marBottom w:val="0"/>
      <w:divBdr>
        <w:top w:val="none" w:sz="0" w:space="0" w:color="auto"/>
        <w:left w:val="none" w:sz="0" w:space="0" w:color="auto"/>
        <w:bottom w:val="none" w:sz="0" w:space="0" w:color="auto"/>
        <w:right w:val="none" w:sz="0" w:space="0" w:color="auto"/>
      </w:divBdr>
    </w:div>
    <w:div w:id="149714384">
      <w:bodyDiv w:val="1"/>
      <w:marLeft w:val="0"/>
      <w:marRight w:val="0"/>
      <w:marTop w:val="0"/>
      <w:marBottom w:val="0"/>
      <w:divBdr>
        <w:top w:val="none" w:sz="0" w:space="0" w:color="auto"/>
        <w:left w:val="none" w:sz="0" w:space="0" w:color="auto"/>
        <w:bottom w:val="none" w:sz="0" w:space="0" w:color="auto"/>
        <w:right w:val="none" w:sz="0" w:space="0" w:color="auto"/>
      </w:divBdr>
      <w:divsChild>
        <w:div w:id="76287156">
          <w:marLeft w:val="360"/>
          <w:marRight w:val="0"/>
          <w:marTop w:val="0"/>
          <w:marBottom w:val="120"/>
          <w:divBdr>
            <w:top w:val="none" w:sz="0" w:space="0" w:color="auto"/>
            <w:left w:val="none" w:sz="0" w:space="0" w:color="auto"/>
            <w:bottom w:val="none" w:sz="0" w:space="0" w:color="auto"/>
            <w:right w:val="none" w:sz="0" w:space="0" w:color="auto"/>
          </w:divBdr>
        </w:div>
        <w:div w:id="644512176">
          <w:marLeft w:val="360"/>
          <w:marRight w:val="0"/>
          <w:marTop w:val="0"/>
          <w:marBottom w:val="120"/>
          <w:divBdr>
            <w:top w:val="none" w:sz="0" w:space="0" w:color="auto"/>
            <w:left w:val="none" w:sz="0" w:space="0" w:color="auto"/>
            <w:bottom w:val="none" w:sz="0" w:space="0" w:color="auto"/>
            <w:right w:val="none" w:sz="0" w:space="0" w:color="auto"/>
          </w:divBdr>
        </w:div>
        <w:div w:id="701134273">
          <w:marLeft w:val="360"/>
          <w:marRight w:val="0"/>
          <w:marTop w:val="0"/>
          <w:marBottom w:val="120"/>
          <w:divBdr>
            <w:top w:val="none" w:sz="0" w:space="0" w:color="auto"/>
            <w:left w:val="none" w:sz="0" w:space="0" w:color="auto"/>
            <w:bottom w:val="none" w:sz="0" w:space="0" w:color="auto"/>
            <w:right w:val="none" w:sz="0" w:space="0" w:color="auto"/>
          </w:divBdr>
        </w:div>
        <w:div w:id="893739137">
          <w:marLeft w:val="360"/>
          <w:marRight w:val="0"/>
          <w:marTop w:val="0"/>
          <w:marBottom w:val="0"/>
          <w:divBdr>
            <w:top w:val="none" w:sz="0" w:space="0" w:color="auto"/>
            <w:left w:val="none" w:sz="0" w:space="0" w:color="auto"/>
            <w:bottom w:val="none" w:sz="0" w:space="0" w:color="auto"/>
            <w:right w:val="none" w:sz="0" w:space="0" w:color="auto"/>
          </w:divBdr>
        </w:div>
        <w:div w:id="985210419">
          <w:marLeft w:val="360"/>
          <w:marRight w:val="0"/>
          <w:marTop w:val="0"/>
          <w:marBottom w:val="0"/>
          <w:divBdr>
            <w:top w:val="none" w:sz="0" w:space="0" w:color="auto"/>
            <w:left w:val="none" w:sz="0" w:space="0" w:color="auto"/>
            <w:bottom w:val="none" w:sz="0" w:space="0" w:color="auto"/>
            <w:right w:val="none" w:sz="0" w:space="0" w:color="auto"/>
          </w:divBdr>
        </w:div>
        <w:div w:id="1355501287">
          <w:marLeft w:val="360"/>
          <w:marRight w:val="0"/>
          <w:marTop w:val="0"/>
          <w:marBottom w:val="120"/>
          <w:divBdr>
            <w:top w:val="none" w:sz="0" w:space="0" w:color="auto"/>
            <w:left w:val="none" w:sz="0" w:space="0" w:color="auto"/>
            <w:bottom w:val="none" w:sz="0" w:space="0" w:color="auto"/>
            <w:right w:val="none" w:sz="0" w:space="0" w:color="auto"/>
          </w:divBdr>
        </w:div>
        <w:div w:id="2116436108">
          <w:marLeft w:val="360"/>
          <w:marRight w:val="0"/>
          <w:marTop w:val="0"/>
          <w:marBottom w:val="0"/>
          <w:divBdr>
            <w:top w:val="none" w:sz="0" w:space="0" w:color="auto"/>
            <w:left w:val="none" w:sz="0" w:space="0" w:color="auto"/>
            <w:bottom w:val="none" w:sz="0" w:space="0" w:color="auto"/>
            <w:right w:val="none" w:sz="0" w:space="0" w:color="auto"/>
          </w:divBdr>
        </w:div>
      </w:divsChild>
    </w:div>
    <w:div w:id="227114996">
      <w:bodyDiv w:val="1"/>
      <w:marLeft w:val="0"/>
      <w:marRight w:val="0"/>
      <w:marTop w:val="0"/>
      <w:marBottom w:val="0"/>
      <w:divBdr>
        <w:top w:val="none" w:sz="0" w:space="0" w:color="auto"/>
        <w:left w:val="none" w:sz="0" w:space="0" w:color="auto"/>
        <w:bottom w:val="none" w:sz="0" w:space="0" w:color="auto"/>
        <w:right w:val="none" w:sz="0" w:space="0" w:color="auto"/>
      </w:divBdr>
    </w:div>
    <w:div w:id="268121857">
      <w:bodyDiv w:val="1"/>
      <w:marLeft w:val="0"/>
      <w:marRight w:val="0"/>
      <w:marTop w:val="0"/>
      <w:marBottom w:val="0"/>
      <w:divBdr>
        <w:top w:val="none" w:sz="0" w:space="0" w:color="auto"/>
        <w:left w:val="none" w:sz="0" w:space="0" w:color="auto"/>
        <w:bottom w:val="none" w:sz="0" w:space="0" w:color="auto"/>
        <w:right w:val="none" w:sz="0" w:space="0" w:color="auto"/>
      </w:divBdr>
    </w:div>
    <w:div w:id="274679000">
      <w:bodyDiv w:val="1"/>
      <w:marLeft w:val="0"/>
      <w:marRight w:val="0"/>
      <w:marTop w:val="0"/>
      <w:marBottom w:val="0"/>
      <w:divBdr>
        <w:top w:val="none" w:sz="0" w:space="0" w:color="auto"/>
        <w:left w:val="none" w:sz="0" w:space="0" w:color="auto"/>
        <w:bottom w:val="none" w:sz="0" w:space="0" w:color="auto"/>
        <w:right w:val="none" w:sz="0" w:space="0" w:color="auto"/>
      </w:divBdr>
    </w:div>
    <w:div w:id="304046424">
      <w:bodyDiv w:val="1"/>
      <w:marLeft w:val="0"/>
      <w:marRight w:val="0"/>
      <w:marTop w:val="0"/>
      <w:marBottom w:val="0"/>
      <w:divBdr>
        <w:top w:val="none" w:sz="0" w:space="0" w:color="auto"/>
        <w:left w:val="none" w:sz="0" w:space="0" w:color="auto"/>
        <w:bottom w:val="none" w:sz="0" w:space="0" w:color="auto"/>
        <w:right w:val="none" w:sz="0" w:space="0" w:color="auto"/>
      </w:divBdr>
    </w:div>
    <w:div w:id="311257815">
      <w:bodyDiv w:val="1"/>
      <w:marLeft w:val="0"/>
      <w:marRight w:val="0"/>
      <w:marTop w:val="0"/>
      <w:marBottom w:val="0"/>
      <w:divBdr>
        <w:top w:val="none" w:sz="0" w:space="0" w:color="auto"/>
        <w:left w:val="none" w:sz="0" w:space="0" w:color="auto"/>
        <w:bottom w:val="none" w:sz="0" w:space="0" w:color="auto"/>
        <w:right w:val="none" w:sz="0" w:space="0" w:color="auto"/>
      </w:divBdr>
    </w:div>
    <w:div w:id="352338643">
      <w:bodyDiv w:val="1"/>
      <w:marLeft w:val="0"/>
      <w:marRight w:val="0"/>
      <w:marTop w:val="0"/>
      <w:marBottom w:val="0"/>
      <w:divBdr>
        <w:top w:val="none" w:sz="0" w:space="0" w:color="auto"/>
        <w:left w:val="none" w:sz="0" w:space="0" w:color="auto"/>
        <w:bottom w:val="none" w:sz="0" w:space="0" w:color="auto"/>
        <w:right w:val="none" w:sz="0" w:space="0" w:color="auto"/>
      </w:divBdr>
    </w:div>
    <w:div w:id="447554390">
      <w:bodyDiv w:val="1"/>
      <w:marLeft w:val="0"/>
      <w:marRight w:val="0"/>
      <w:marTop w:val="0"/>
      <w:marBottom w:val="0"/>
      <w:divBdr>
        <w:top w:val="none" w:sz="0" w:space="0" w:color="auto"/>
        <w:left w:val="none" w:sz="0" w:space="0" w:color="auto"/>
        <w:bottom w:val="none" w:sz="0" w:space="0" w:color="auto"/>
        <w:right w:val="none" w:sz="0" w:space="0" w:color="auto"/>
      </w:divBdr>
    </w:div>
    <w:div w:id="562063157">
      <w:bodyDiv w:val="1"/>
      <w:marLeft w:val="0"/>
      <w:marRight w:val="0"/>
      <w:marTop w:val="0"/>
      <w:marBottom w:val="0"/>
      <w:divBdr>
        <w:top w:val="none" w:sz="0" w:space="0" w:color="auto"/>
        <w:left w:val="none" w:sz="0" w:space="0" w:color="auto"/>
        <w:bottom w:val="none" w:sz="0" w:space="0" w:color="auto"/>
        <w:right w:val="none" w:sz="0" w:space="0" w:color="auto"/>
      </w:divBdr>
      <w:divsChild>
        <w:div w:id="870454034">
          <w:marLeft w:val="274"/>
          <w:marRight w:val="0"/>
          <w:marTop w:val="120"/>
          <w:marBottom w:val="0"/>
          <w:divBdr>
            <w:top w:val="none" w:sz="0" w:space="0" w:color="auto"/>
            <w:left w:val="none" w:sz="0" w:space="0" w:color="auto"/>
            <w:bottom w:val="none" w:sz="0" w:space="0" w:color="auto"/>
            <w:right w:val="none" w:sz="0" w:space="0" w:color="auto"/>
          </w:divBdr>
        </w:div>
        <w:div w:id="1183739682">
          <w:marLeft w:val="274"/>
          <w:marRight w:val="0"/>
          <w:marTop w:val="120"/>
          <w:marBottom w:val="0"/>
          <w:divBdr>
            <w:top w:val="none" w:sz="0" w:space="0" w:color="auto"/>
            <w:left w:val="none" w:sz="0" w:space="0" w:color="auto"/>
            <w:bottom w:val="none" w:sz="0" w:space="0" w:color="auto"/>
            <w:right w:val="none" w:sz="0" w:space="0" w:color="auto"/>
          </w:divBdr>
        </w:div>
        <w:div w:id="1719278678">
          <w:marLeft w:val="274"/>
          <w:marRight w:val="0"/>
          <w:marTop w:val="120"/>
          <w:marBottom w:val="0"/>
          <w:divBdr>
            <w:top w:val="none" w:sz="0" w:space="0" w:color="auto"/>
            <w:left w:val="none" w:sz="0" w:space="0" w:color="auto"/>
            <w:bottom w:val="none" w:sz="0" w:space="0" w:color="auto"/>
            <w:right w:val="none" w:sz="0" w:space="0" w:color="auto"/>
          </w:divBdr>
        </w:div>
        <w:div w:id="1987473537">
          <w:marLeft w:val="274"/>
          <w:marRight w:val="0"/>
          <w:marTop w:val="120"/>
          <w:marBottom w:val="0"/>
          <w:divBdr>
            <w:top w:val="none" w:sz="0" w:space="0" w:color="auto"/>
            <w:left w:val="none" w:sz="0" w:space="0" w:color="auto"/>
            <w:bottom w:val="none" w:sz="0" w:space="0" w:color="auto"/>
            <w:right w:val="none" w:sz="0" w:space="0" w:color="auto"/>
          </w:divBdr>
        </w:div>
      </w:divsChild>
    </w:div>
    <w:div w:id="611327517">
      <w:bodyDiv w:val="1"/>
      <w:marLeft w:val="0"/>
      <w:marRight w:val="0"/>
      <w:marTop w:val="0"/>
      <w:marBottom w:val="0"/>
      <w:divBdr>
        <w:top w:val="none" w:sz="0" w:space="0" w:color="auto"/>
        <w:left w:val="none" w:sz="0" w:space="0" w:color="auto"/>
        <w:bottom w:val="none" w:sz="0" w:space="0" w:color="auto"/>
        <w:right w:val="none" w:sz="0" w:space="0" w:color="auto"/>
      </w:divBdr>
    </w:div>
    <w:div w:id="682782088">
      <w:bodyDiv w:val="1"/>
      <w:marLeft w:val="0"/>
      <w:marRight w:val="0"/>
      <w:marTop w:val="0"/>
      <w:marBottom w:val="0"/>
      <w:divBdr>
        <w:top w:val="none" w:sz="0" w:space="0" w:color="auto"/>
        <w:left w:val="none" w:sz="0" w:space="0" w:color="auto"/>
        <w:bottom w:val="none" w:sz="0" w:space="0" w:color="auto"/>
        <w:right w:val="none" w:sz="0" w:space="0" w:color="auto"/>
      </w:divBdr>
    </w:div>
    <w:div w:id="798189428">
      <w:bodyDiv w:val="1"/>
      <w:marLeft w:val="0"/>
      <w:marRight w:val="0"/>
      <w:marTop w:val="0"/>
      <w:marBottom w:val="0"/>
      <w:divBdr>
        <w:top w:val="none" w:sz="0" w:space="0" w:color="auto"/>
        <w:left w:val="none" w:sz="0" w:space="0" w:color="auto"/>
        <w:bottom w:val="none" w:sz="0" w:space="0" w:color="auto"/>
        <w:right w:val="none" w:sz="0" w:space="0" w:color="auto"/>
      </w:divBdr>
    </w:div>
    <w:div w:id="1300261998">
      <w:bodyDiv w:val="1"/>
      <w:marLeft w:val="0"/>
      <w:marRight w:val="0"/>
      <w:marTop w:val="0"/>
      <w:marBottom w:val="0"/>
      <w:divBdr>
        <w:top w:val="none" w:sz="0" w:space="0" w:color="auto"/>
        <w:left w:val="none" w:sz="0" w:space="0" w:color="auto"/>
        <w:bottom w:val="none" w:sz="0" w:space="0" w:color="auto"/>
        <w:right w:val="none" w:sz="0" w:space="0" w:color="auto"/>
      </w:divBdr>
      <w:divsChild>
        <w:div w:id="8993063">
          <w:marLeft w:val="0"/>
          <w:marRight w:val="0"/>
          <w:marTop w:val="0"/>
          <w:marBottom w:val="0"/>
          <w:divBdr>
            <w:top w:val="single" w:sz="2" w:space="0" w:color="333333"/>
            <w:left w:val="single" w:sz="2" w:space="0" w:color="333333"/>
            <w:bottom w:val="single" w:sz="2" w:space="0" w:color="333333"/>
            <w:right w:val="single" w:sz="2" w:space="0" w:color="333333"/>
          </w:divBdr>
        </w:div>
        <w:div w:id="137454845">
          <w:marLeft w:val="0"/>
          <w:marRight w:val="0"/>
          <w:marTop w:val="0"/>
          <w:marBottom w:val="0"/>
          <w:divBdr>
            <w:top w:val="single" w:sz="2" w:space="0" w:color="333333"/>
            <w:left w:val="single" w:sz="2" w:space="0" w:color="333333"/>
            <w:bottom w:val="single" w:sz="2" w:space="0" w:color="333333"/>
            <w:right w:val="single" w:sz="2" w:space="0" w:color="333333"/>
          </w:divBdr>
        </w:div>
        <w:div w:id="407458360">
          <w:marLeft w:val="0"/>
          <w:marRight w:val="0"/>
          <w:marTop w:val="0"/>
          <w:marBottom w:val="0"/>
          <w:divBdr>
            <w:top w:val="single" w:sz="2" w:space="0" w:color="333333"/>
            <w:left w:val="single" w:sz="2" w:space="0" w:color="333333"/>
            <w:bottom w:val="single" w:sz="2" w:space="0" w:color="333333"/>
            <w:right w:val="single" w:sz="2" w:space="0" w:color="333333"/>
          </w:divBdr>
        </w:div>
        <w:div w:id="667291006">
          <w:marLeft w:val="0"/>
          <w:marRight w:val="0"/>
          <w:marTop w:val="0"/>
          <w:marBottom w:val="0"/>
          <w:divBdr>
            <w:top w:val="single" w:sz="2" w:space="0" w:color="333333"/>
            <w:left w:val="single" w:sz="2" w:space="0" w:color="333333"/>
            <w:bottom w:val="single" w:sz="2" w:space="0" w:color="333333"/>
            <w:right w:val="single" w:sz="2" w:space="0" w:color="333333"/>
          </w:divBdr>
        </w:div>
        <w:div w:id="930048456">
          <w:marLeft w:val="0"/>
          <w:marRight w:val="0"/>
          <w:marTop w:val="0"/>
          <w:marBottom w:val="0"/>
          <w:divBdr>
            <w:top w:val="single" w:sz="2" w:space="0" w:color="333333"/>
            <w:left w:val="single" w:sz="2" w:space="0" w:color="333333"/>
            <w:bottom w:val="single" w:sz="2" w:space="0" w:color="333333"/>
            <w:right w:val="single" w:sz="2" w:space="0" w:color="333333"/>
          </w:divBdr>
        </w:div>
        <w:div w:id="1025639668">
          <w:marLeft w:val="0"/>
          <w:marRight w:val="0"/>
          <w:marTop w:val="0"/>
          <w:marBottom w:val="0"/>
          <w:divBdr>
            <w:top w:val="single" w:sz="2" w:space="0" w:color="333333"/>
            <w:left w:val="single" w:sz="2" w:space="0" w:color="333333"/>
            <w:bottom w:val="single" w:sz="2" w:space="0" w:color="333333"/>
            <w:right w:val="single" w:sz="2" w:space="0" w:color="333333"/>
          </w:divBdr>
        </w:div>
        <w:div w:id="1295987601">
          <w:marLeft w:val="0"/>
          <w:marRight w:val="0"/>
          <w:marTop w:val="0"/>
          <w:marBottom w:val="0"/>
          <w:divBdr>
            <w:top w:val="single" w:sz="2" w:space="0" w:color="333333"/>
            <w:left w:val="single" w:sz="2" w:space="0" w:color="333333"/>
            <w:bottom w:val="single" w:sz="2" w:space="0" w:color="333333"/>
            <w:right w:val="single" w:sz="2" w:space="0" w:color="333333"/>
          </w:divBdr>
        </w:div>
        <w:div w:id="1390886465">
          <w:marLeft w:val="0"/>
          <w:marRight w:val="0"/>
          <w:marTop w:val="0"/>
          <w:marBottom w:val="0"/>
          <w:divBdr>
            <w:top w:val="single" w:sz="2" w:space="0" w:color="333333"/>
            <w:left w:val="single" w:sz="2" w:space="0" w:color="333333"/>
            <w:bottom w:val="single" w:sz="2" w:space="0" w:color="333333"/>
            <w:right w:val="single" w:sz="2" w:space="0" w:color="333333"/>
          </w:divBdr>
        </w:div>
        <w:div w:id="1429885308">
          <w:marLeft w:val="0"/>
          <w:marRight w:val="0"/>
          <w:marTop w:val="0"/>
          <w:marBottom w:val="0"/>
          <w:divBdr>
            <w:top w:val="single" w:sz="2" w:space="0" w:color="333333"/>
            <w:left w:val="single" w:sz="2" w:space="0" w:color="333333"/>
            <w:bottom w:val="single" w:sz="2" w:space="0" w:color="333333"/>
            <w:right w:val="single" w:sz="2" w:space="0" w:color="333333"/>
          </w:divBdr>
        </w:div>
      </w:divsChild>
    </w:div>
    <w:div w:id="1464343940">
      <w:bodyDiv w:val="1"/>
      <w:marLeft w:val="0"/>
      <w:marRight w:val="0"/>
      <w:marTop w:val="0"/>
      <w:marBottom w:val="0"/>
      <w:divBdr>
        <w:top w:val="none" w:sz="0" w:space="0" w:color="auto"/>
        <w:left w:val="none" w:sz="0" w:space="0" w:color="auto"/>
        <w:bottom w:val="none" w:sz="0" w:space="0" w:color="auto"/>
        <w:right w:val="none" w:sz="0" w:space="0" w:color="auto"/>
      </w:divBdr>
    </w:div>
    <w:div w:id="1498036914">
      <w:bodyDiv w:val="1"/>
      <w:marLeft w:val="0"/>
      <w:marRight w:val="0"/>
      <w:marTop w:val="0"/>
      <w:marBottom w:val="0"/>
      <w:divBdr>
        <w:top w:val="none" w:sz="0" w:space="0" w:color="auto"/>
        <w:left w:val="none" w:sz="0" w:space="0" w:color="auto"/>
        <w:bottom w:val="none" w:sz="0" w:space="0" w:color="auto"/>
        <w:right w:val="none" w:sz="0" w:space="0" w:color="auto"/>
      </w:divBdr>
    </w:div>
    <w:div w:id="1571188568">
      <w:bodyDiv w:val="1"/>
      <w:marLeft w:val="0"/>
      <w:marRight w:val="0"/>
      <w:marTop w:val="0"/>
      <w:marBottom w:val="0"/>
      <w:divBdr>
        <w:top w:val="none" w:sz="0" w:space="0" w:color="auto"/>
        <w:left w:val="none" w:sz="0" w:space="0" w:color="auto"/>
        <w:bottom w:val="none" w:sz="0" w:space="0" w:color="auto"/>
        <w:right w:val="none" w:sz="0" w:space="0" w:color="auto"/>
      </w:divBdr>
    </w:div>
    <w:div w:id="1595288608">
      <w:bodyDiv w:val="1"/>
      <w:marLeft w:val="0"/>
      <w:marRight w:val="0"/>
      <w:marTop w:val="0"/>
      <w:marBottom w:val="0"/>
      <w:divBdr>
        <w:top w:val="none" w:sz="0" w:space="0" w:color="auto"/>
        <w:left w:val="none" w:sz="0" w:space="0" w:color="auto"/>
        <w:bottom w:val="none" w:sz="0" w:space="0" w:color="auto"/>
        <w:right w:val="none" w:sz="0" w:space="0" w:color="auto"/>
      </w:divBdr>
    </w:div>
    <w:div w:id="1696928165">
      <w:bodyDiv w:val="1"/>
      <w:marLeft w:val="0"/>
      <w:marRight w:val="0"/>
      <w:marTop w:val="0"/>
      <w:marBottom w:val="0"/>
      <w:divBdr>
        <w:top w:val="none" w:sz="0" w:space="0" w:color="auto"/>
        <w:left w:val="none" w:sz="0" w:space="0" w:color="auto"/>
        <w:bottom w:val="none" w:sz="0" w:space="0" w:color="auto"/>
        <w:right w:val="none" w:sz="0" w:space="0" w:color="auto"/>
      </w:divBdr>
    </w:div>
    <w:div w:id="1788694904">
      <w:bodyDiv w:val="1"/>
      <w:marLeft w:val="0"/>
      <w:marRight w:val="0"/>
      <w:marTop w:val="0"/>
      <w:marBottom w:val="0"/>
      <w:divBdr>
        <w:top w:val="none" w:sz="0" w:space="0" w:color="auto"/>
        <w:left w:val="none" w:sz="0" w:space="0" w:color="auto"/>
        <w:bottom w:val="none" w:sz="0" w:space="0" w:color="auto"/>
        <w:right w:val="none" w:sz="0" w:space="0" w:color="auto"/>
      </w:divBdr>
    </w:div>
    <w:div w:id="1869482982">
      <w:bodyDiv w:val="1"/>
      <w:marLeft w:val="0"/>
      <w:marRight w:val="0"/>
      <w:marTop w:val="0"/>
      <w:marBottom w:val="0"/>
      <w:divBdr>
        <w:top w:val="none" w:sz="0" w:space="0" w:color="auto"/>
        <w:left w:val="none" w:sz="0" w:space="0" w:color="auto"/>
        <w:bottom w:val="none" w:sz="0" w:space="0" w:color="auto"/>
        <w:right w:val="none" w:sz="0" w:space="0" w:color="auto"/>
      </w:divBdr>
    </w:div>
    <w:div w:id="1875460043">
      <w:bodyDiv w:val="1"/>
      <w:marLeft w:val="0"/>
      <w:marRight w:val="0"/>
      <w:marTop w:val="0"/>
      <w:marBottom w:val="0"/>
      <w:divBdr>
        <w:top w:val="none" w:sz="0" w:space="0" w:color="auto"/>
        <w:left w:val="none" w:sz="0" w:space="0" w:color="auto"/>
        <w:bottom w:val="none" w:sz="0" w:space="0" w:color="auto"/>
        <w:right w:val="none" w:sz="0" w:space="0" w:color="auto"/>
      </w:divBdr>
    </w:div>
    <w:div w:id="1950355848">
      <w:bodyDiv w:val="1"/>
      <w:marLeft w:val="0"/>
      <w:marRight w:val="0"/>
      <w:marTop w:val="0"/>
      <w:marBottom w:val="0"/>
      <w:divBdr>
        <w:top w:val="none" w:sz="0" w:space="0" w:color="auto"/>
        <w:left w:val="none" w:sz="0" w:space="0" w:color="auto"/>
        <w:bottom w:val="none" w:sz="0" w:space="0" w:color="auto"/>
        <w:right w:val="none" w:sz="0" w:space="0" w:color="auto"/>
      </w:divBdr>
    </w:div>
    <w:div w:id="2138714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19" Type="http://schemas.openxmlformats.org/officeDocument/2006/relationships/header" Target="header4.xml"/><Relationship Id="rId20" Type="http://schemas.openxmlformats.org/officeDocument/2006/relationships/image" Target="media/image5.png"/><Relationship Id="rId2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jean\AppData\Local\Microsoft\Windows\Temporary%20Internet%20Files\Content.Outlook\LG4SHS74\CSA-CM-FORM-0016%20Document_Template-CSA_Project-generic.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4716F69-6061-46E2-90B5-21C9723F87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CSA-CM-FORM-0016 Document_Template-CSA_Project-generic.dotx</Template>
  <TotalTime>8385</TotalTime>
  <Pages>20</Pages>
  <Words>4384</Words>
  <Characters>27664</Characters>
  <Application>Microsoft Office Word</Application>
  <DocSecurity>0</DocSecurity>
  <Lines>922</Lines>
  <Paragraphs>464</Paragraphs>
  <ScaleCrop>false</ScaleCrop>
  <HeadingPairs>
    <vt:vector size="2" baseType="variant">
      <vt:variant>
        <vt:lpstr>Title</vt:lpstr>
      </vt:variant>
      <vt:variant>
        <vt:i4>1</vt:i4>
      </vt:variant>
    </vt:vector>
  </HeadingPairs>
  <TitlesOfParts>
    <vt:vector size="1" baseType="lpstr">
      <vt:lpstr>CSA-FIN-RD-0765</vt:lpstr>
    </vt:vector>
  </TitlesOfParts>
  <Company>Canadian Space Agency</Company>
  <LinksUpToDate>false</LinksUpToDate>
  <CharactersWithSpaces>31584</CharactersWithSpaces>
  <SharedDoc>false</SharedDoc>
  <HLinks>
    <vt:vector size="294" baseType="variant">
      <vt:variant>
        <vt:i4>852052</vt:i4>
      </vt:variant>
      <vt:variant>
        <vt:i4>432</vt:i4>
      </vt:variant>
      <vt:variant>
        <vt:i4>0</vt:i4>
      </vt:variant>
      <vt:variant>
        <vt:i4>5</vt:i4>
      </vt:variant>
      <vt:variant>
        <vt:lpwstr>https://livelink/livelink/llisapi.dll/Open/293580313</vt:lpwstr>
      </vt:variant>
      <vt:variant>
        <vt:lpwstr/>
      </vt:variant>
      <vt:variant>
        <vt:i4>4456471</vt:i4>
      </vt:variant>
      <vt:variant>
        <vt:i4>429</vt:i4>
      </vt:variant>
      <vt:variant>
        <vt:i4>0</vt:i4>
      </vt:variant>
      <vt:variant>
        <vt:i4>5</vt:i4>
      </vt:variant>
      <vt:variant>
        <vt:lpwstr>http://livelink/livelink/llisapi.dll?func=ll&amp;objId=46643805&amp;objAction=Open&amp;nexturl=%2Flivelink%2Fllisapi%2Edll%3Ffunc%3Dll%26objId%3D38499166%26objAction%3Dbrowse%26viewType%3D1</vt:lpwstr>
      </vt:variant>
      <vt:variant>
        <vt:lpwstr/>
      </vt:variant>
      <vt:variant>
        <vt:i4>2293794</vt:i4>
      </vt:variant>
      <vt:variant>
        <vt:i4>426</vt:i4>
      </vt:variant>
      <vt:variant>
        <vt:i4>0</vt:i4>
      </vt:variant>
      <vt:variant>
        <vt:i4>5</vt:i4>
      </vt:variant>
      <vt:variant>
        <vt:lpwstr>https://livelink/livelink/llisapi.dll?func=ll&amp;objId=46943430&amp;objAction=Open&amp;nexturl=%2Flivelink%2Fllisapi%2Edll%3Ffunc%3Dll%26objId%3D38499161%26objAction%3Dbrowse</vt:lpwstr>
      </vt:variant>
      <vt:variant>
        <vt:lpwstr/>
      </vt:variant>
      <vt:variant>
        <vt:i4>458818</vt:i4>
      </vt:variant>
      <vt:variant>
        <vt:i4>405</vt:i4>
      </vt:variant>
      <vt:variant>
        <vt:i4>0</vt:i4>
      </vt:variant>
      <vt:variant>
        <vt:i4>5</vt:i4>
      </vt:variant>
      <vt:variant>
        <vt:lpwstr>https://storage.googleapis.com/rideshare-static/Cake_Topper_Payload_Users_Guide.pdf</vt:lpwstr>
      </vt:variant>
      <vt:variant>
        <vt:lpwstr/>
      </vt:variant>
      <vt:variant>
        <vt:i4>1441843</vt:i4>
      </vt:variant>
      <vt:variant>
        <vt:i4>323</vt:i4>
      </vt:variant>
      <vt:variant>
        <vt:i4>0</vt:i4>
      </vt:variant>
      <vt:variant>
        <vt:i4>5</vt:i4>
      </vt:variant>
      <vt:variant>
        <vt:lpwstr/>
      </vt:variant>
      <vt:variant>
        <vt:lpwstr>_Toc173507148</vt:lpwstr>
      </vt:variant>
      <vt:variant>
        <vt:i4>1441843</vt:i4>
      </vt:variant>
      <vt:variant>
        <vt:i4>317</vt:i4>
      </vt:variant>
      <vt:variant>
        <vt:i4>0</vt:i4>
      </vt:variant>
      <vt:variant>
        <vt:i4>5</vt:i4>
      </vt:variant>
      <vt:variant>
        <vt:lpwstr/>
      </vt:variant>
      <vt:variant>
        <vt:lpwstr>_Toc173507147</vt:lpwstr>
      </vt:variant>
      <vt:variant>
        <vt:i4>1441843</vt:i4>
      </vt:variant>
      <vt:variant>
        <vt:i4>311</vt:i4>
      </vt:variant>
      <vt:variant>
        <vt:i4>0</vt:i4>
      </vt:variant>
      <vt:variant>
        <vt:i4>5</vt:i4>
      </vt:variant>
      <vt:variant>
        <vt:lpwstr/>
      </vt:variant>
      <vt:variant>
        <vt:lpwstr>_Toc173507146</vt:lpwstr>
      </vt:variant>
      <vt:variant>
        <vt:i4>1441843</vt:i4>
      </vt:variant>
      <vt:variant>
        <vt:i4>305</vt:i4>
      </vt:variant>
      <vt:variant>
        <vt:i4>0</vt:i4>
      </vt:variant>
      <vt:variant>
        <vt:i4>5</vt:i4>
      </vt:variant>
      <vt:variant>
        <vt:lpwstr/>
      </vt:variant>
      <vt:variant>
        <vt:lpwstr>_Toc173507145</vt:lpwstr>
      </vt:variant>
      <vt:variant>
        <vt:i4>1441843</vt:i4>
      </vt:variant>
      <vt:variant>
        <vt:i4>299</vt:i4>
      </vt:variant>
      <vt:variant>
        <vt:i4>0</vt:i4>
      </vt:variant>
      <vt:variant>
        <vt:i4>5</vt:i4>
      </vt:variant>
      <vt:variant>
        <vt:lpwstr/>
      </vt:variant>
      <vt:variant>
        <vt:lpwstr>_Toc173507144</vt:lpwstr>
      </vt:variant>
      <vt:variant>
        <vt:i4>1441843</vt:i4>
      </vt:variant>
      <vt:variant>
        <vt:i4>293</vt:i4>
      </vt:variant>
      <vt:variant>
        <vt:i4>0</vt:i4>
      </vt:variant>
      <vt:variant>
        <vt:i4>5</vt:i4>
      </vt:variant>
      <vt:variant>
        <vt:lpwstr/>
      </vt:variant>
      <vt:variant>
        <vt:lpwstr>_Toc173507143</vt:lpwstr>
      </vt:variant>
      <vt:variant>
        <vt:i4>1441843</vt:i4>
      </vt:variant>
      <vt:variant>
        <vt:i4>287</vt:i4>
      </vt:variant>
      <vt:variant>
        <vt:i4>0</vt:i4>
      </vt:variant>
      <vt:variant>
        <vt:i4>5</vt:i4>
      </vt:variant>
      <vt:variant>
        <vt:lpwstr/>
      </vt:variant>
      <vt:variant>
        <vt:lpwstr>_Toc173507142</vt:lpwstr>
      </vt:variant>
      <vt:variant>
        <vt:i4>1441843</vt:i4>
      </vt:variant>
      <vt:variant>
        <vt:i4>281</vt:i4>
      </vt:variant>
      <vt:variant>
        <vt:i4>0</vt:i4>
      </vt:variant>
      <vt:variant>
        <vt:i4>5</vt:i4>
      </vt:variant>
      <vt:variant>
        <vt:lpwstr/>
      </vt:variant>
      <vt:variant>
        <vt:lpwstr>_Toc173507141</vt:lpwstr>
      </vt:variant>
      <vt:variant>
        <vt:i4>1441843</vt:i4>
      </vt:variant>
      <vt:variant>
        <vt:i4>275</vt:i4>
      </vt:variant>
      <vt:variant>
        <vt:i4>0</vt:i4>
      </vt:variant>
      <vt:variant>
        <vt:i4>5</vt:i4>
      </vt:variant>
      <vt:variant>
        <vt:lpwstr/>
      </vt:variant>
      <vt:variant>
        <vt:lpwstr>_Toc173507140</vt:lpwstr>
      </vt:variant>
      <vt:variant>
        <vt:i4>1114163</vt:i4>
      </vt:variant>
      <vt:variant>
        <vt:i4>269</vt:i4>
      </vt:variant>
      <vt:variant>
        <vt:i4>0</vt:i4>
      </vt:variant>
      <vt:variant>
        <vt:i4>5</vt:i4>
      </vt:variant>
      <vt:variant>
        <vt:lpwstr/>
      </vt:variant>
      <vt:variant>
        <vt:lpwstr>_Toc173507139</vt:lpwstr>
      </vt:variant>
      <vt:variant>
        <vt:i4>1114163</vt:i4>
      </vt:variant>
      <vt:variant>
        <vt:i4>263</vt:i4>
      </vt:variant>
      <vt:variant>
        <vt:i4>0</vt:i4>
      </vt:variant>
      <vt:variant>
        <vt:i4>5</vt:i4>
      </vt:variant>
      <vt:variant>
        <vt:lpwstr/>
      </vt:variant>
      <vt:variant>
        <vt:lpwstr>_Toc173507138</vt:lpwstr>
      </vt:variant>
      <vt:variant>
        <vt:i4>1114163</vt:i4>
      </vt:variant>
      <vt:variant>
        <vt:i4>257</vt:i4>
      </vt:variant>
      <vt:variant>
        <vt:i4>0</vt:i4>
      </vt:variant>
      <vt:variant>
        <vt:i4>5</vt:i4>
      </vt:variant>
      <vt:variant>
        <vt:lpwstr/>
      </vt:variant>
      <vt:variant>
        <vt:lpwstr>_Toc173507137</vt:lpwstr>
      </vt:variant>
      <vt:variant>
        <vt:i4>1114163</vt:i4>
      </vt:variant>
      <vt:variant>
        <vt:i4>251</vt:i4>
      </vt:variant>
      <vt:variant>
        <vt:i4>0</vt:i4>
      </vt:variant>
      <vt:variant>
        <vt:i4>5</vt:i4>
      </vt:variant>
      <vt:variant>
        <vt:lpwstr/>
      </vt:variant>
      <vt:variant>
        <vt:lpwstr>_Toc173507136</vt:lpwstr>
      </vt:variant>
      <vt:variant>
        <vt:i4>1572916</vt:i4>
      </vt:variant>
      <vt:variant>
        <vt:i4>194</vt:i4>
      </vt:variant>
      <vt:variant>
        <vt:i4>0</vt:i4>
      </vt:variant>
      <vt:variant>
        <vt:i4>5</vt:i4>
      </vt:variant>
      <vt:variant>
        <vt:lpwstr/>
      </vt:variant>
      <vt:variant>
        <vt:lpwstr>_Toc173508657</vt:lpwstr>
      </vt:variant>
      <vt:variant>
        <vt:i4>1572916</vt:i4>
      </vt:variant>
      <vt:variant>
        <vt:i4>188</vt:i4>
      </vt:variant>
      <vt:variant>
        <vt:i4>0</vt:i4>
      </vt:variant>
      <vt:variant>
        <vt:i4>5</vt:i4>
      </vt:variant>
      <vt:variant>
        <vt:lpwstr/>
      </vt:variant>
      <vt:variant>
        <vt:lpwstr>_Toc173508656</vt:lpwstr>
      </vt:variant>
      <vt:variant>
        <vt:i4>1572916</vt:i4>
      </vt:variant>
      <vt:variant>
        <vt:i4>182</vt:i4>
      </vt:variant>
      <vt:variant>
        <vt:i4>0</vt:i4>
      </vt:variant>
      <vt:variant>
        <vt:i4>5</vt:i4>
      </vt:variant>
      <vt:variant>
        <vt:lpwstr/>
      </vt:variant>
      <vt:variant>
        <vt:lpwstr>_Toc173508655</vt:lpwstr>
      </vt:variant>
      <vt:variant>
        <vt:i4>1572916</vt:i4>
      </vt:variant>
      <vt:variant>
        <vt:i4>176</vt:i4>
      </vt:variant>
      <vt:variant>
        <vt:i4>0</vt:i4>
      </vt:variant>
      <vt:variant>
        <vt:i4>5</vt:i4>
      </vt:variant>
      <vt:variant>
        <vt:lpwstr/>
      </vt:variant>
      <vt:variant>
        <vt:lpwstr>_Toc173508654</vt:lpwstr>
      </vt:variant>
      <vt:variant>
        <vt:i4>1572916</vt:i4>
      </vt:variant>
      <vt:variant>
        <vt:i4>170</vt:i4>
      </vt:variant>
      <vt:variant>
        <vt:i4>0</vt:i4>
      </vt:variant>
      <vt:variant>
        <vt:i4>5</vt:i4>
      </vt:variant>
      <vt:variant>
        <vt:lpwstr/>
      </vt:variant>
      <vt:variant>
        <vt:lpwstr>_Toc173508653</vt:lpwstr>
      </vt:variant>
      <vt:variant>
        <vt:i4>1572916</vt:i4>
      </vt:variant>
      <vt:variant>
        <vt:i4>164</vt:i4>
      </vt:variant>
      <vt:variant>
        <vt:i4>0</vt:i4>
      </vt:variant>
      <vt:variant>
        <vt:i4>5</vt:i4>
      </vt:variant>
      <vt:variant>
        <vt:lpwstr/>
      </vt:variant>
      <vt:variant>
        <vt:lpwstr>_Toc173508652</vt:lpwstr>
      </vt:variant>
      <vt:variant>
        <vt:i4>1572916</vt:i4>
      </vt:variant>
      <vt:variant>
        <vt:i4>158</vt:i4>
      </vt:variant>
      <vt:variant>
        <vt:i4>0</vt:i4>
      </vt:variant>
      <vt:variant>
        <vt:i4>5</vt:i4>
      </vt:variant>
      <vt:variant>
        <vt:lpwstr/>
      </vt:variant>
      <vt:variant>
        <vt:lpwstr>_Toc173508651</vt:lpwstr>
      </vt:variant>
      <vt:variant>
        <vt:i4>1572916</vt:i4>
      </vt:variant>
      <vt:variant>
        <vt:i4>152</vt:i4>
      </vt:variant>
      <vt:variant>
        <vt:i4>0</vt:i4>
      </vt:variant>
      <vt:variant>
        <vt:i4>5</vt:i4>
      </vt:variant>
      <vt:variant>
        <vt:lpwstr/>
      </vt:variant>
      <vt:variant>
        <vt:lpwstr>_Toc173508650</vt:lpwstr>
      </vt:variant>
      <vt:variant>
        <vt:i4>1638452</vt:i4>
      </vt:variant>
      <vt:variant>
        <vt:i4>146</vt:i4>
      </vt:variant>
      <vt:variant>
        <vt:i4>0</vt:i4>
      </vt:variant>
      <vt:variant>
        <vt:i4>5</vt:i4>
      </vt:variant>
      <vt:variant>
        <vt:lpwstr/>
      </vt:variant>
      <vt:variant>
        <vt:lpwstr>_Toc173508649</vt:lpwstr>
      </vt:variant>
      <vt:variant>
        <vt:i4>1638452</vt:i4>
      </vt:variant>
      <vt:variant>
        <vt:i4>140</vt:i4>
      </vt:variant>
      <vt:variant>
        <vt:i4>0</vt:i4>
      </vt:variant>
      <vt:variant>
        <vt:i4>5</vt:i4>
      </vt:variant>
      <vt:variant>
        <vt:lpwstr/>
      </vt:variant>
      <vt:variant>
        <vt:lpwstr>_Toc173508648</vt:lpwstr>
      </vt:variant>
      <vt:variant>
        <vt:i4>1638452</vt:i4>
      </vt:variant>
      <vt:variant>
        <vt:i4>134</vt:i4>
      </vt:variant>
      <vt:variant>
        <vt:i4>0</vt:i4>
      </vt:variant>
      <vt:variant>
        <vt:i4>5</vt:i4>
      </vt:variant>
      <vt:variant>
        <vt:lpwstr/>
      </vt:variant>
      <vt:variant>
        <vt:lpwstr>_Toc173508647</vt:lpwstr>
      </vt:variant>
      <vt:variant>
        <vt:i4>1638452</vt:i4>
      </vt:variant>
      <vt:variant>
        <vt:i4>128</vt:i4>
      </vt:variant>
      <vt:variant>
        <vt:i4>0</vt:i4>
      </vt:variant>
      <vt:variant>
        <vt:i4>5</vt:i4>
      </vt:variant>
      <vt:variant>
        <vt:lpwstr/>
      </vt:variant>
      <vt:variant>
        <vt:lpwstr>_Toc173508646</vt:lpwstr>
      </vt:variant>
      <vt:variant>
        <vt:i4>1638452</vt:i4>
      </vt:variant>
      <vt:variant>
        <vt:i4>122</vt:i4>
      </vt:variant>
      <vt:variant>
        <vt:i4>0</vt:i4>
      </vt:variant>
      <vt:variant>
        <vt:i4>5</vt:i4>
      </vt:variant>
      <vt:variant>
        <vt:lpwstr/>
      </vt:variant>
      <vt:variant>
        <vt:lpwstr>_Toc173508645</vt:lpwstr>
      </vt:variant>
      <vt:variant>
        <vt:i4>1638452</vt:i4>
      </vt:variant>
      <vt:variant>
        <vt:i4>116</vt:i4>
      </vt:variant>
      <vt:variant>
        <vt:i4>0</vt:i4>
      </vt:variant>
      <vt:variant>
        <vt:i4>5</vt:i4>
      </vt:variant>
      <vt:variant>
        <vt:lpwstr/>
      </vt:variant>
      <vt:variant>
        <vt:lpwstr>_Toc173508644</vt:lpwstr>
      </vt:variant>
      <vt:variant>
        <vt:i4>1638452</vt:i4>
      </vt:variant>
      <vt:variant>
        <vt:i4>110</vt:i4>
      </vt:variant>
      <vt:variant>
        <vt:i4>0</vt:i4>
      </vt:variant>
      <vt:variant>
        <vt:i4>5</vt:i4>
      </vt:variant>
      <vt:variant>
        <vt:lpwstr/>
      </vt:variant>
      <vt:variant>
        <vt:lpwstr>_Toc173508643</vt:lpwstr>
      </vt:variant>
      <vt:variant>
        <vt:i4>1638452</vt:i4>
      </vt:variant>
      <vt:variant>
        <vt:i4>104</vt:i4>
      </vt:variant>
      <vt:variant>
        <vt:i4>0</vt:i4>
      </vt:variant>
      <vt:variant>
        <vt:i4>5</vt:i4>
      </vt:variant>
      <vt:variant>
        <vt:lpwstr/>
      </vt:variant>
      <vt:variant>
        <vt:lpwstr>_Toc173508642</vt:lpwstr>
      </vt:variant>
      <vt:variant>
        <vt:i4>1638452</vt:i4>
      </vt:variant>
      <vt:variant>
        <vt:i4>98</vt:i4>
      </vt:variant>
      <vt:variant>
        <vt:i4>0</vt:i4>
      </vt:variant>
      <vt:variant>
        <vt:i4>5</vt:i4>
      </vt:variant>
      <vt:variant>
        <vt:lpwstr/>
      </vt:variant>
      <vt:variant>
        <vt:lpwstr>_Toc173508641</vt:lpwstr>
      </vt:variant>
      <vt:variant>
        <vt:i4>1638452</vt:i4>
      </vt:variant>
      <vt:variant>
        <vt:i4>92</vt:i4>
      </vt:variant>
      <vt:variant>
        <vt:i4>0</vt:i4>
      </vt:variant>
      <vt:variant>
        <vt:i4>5</vt:i4>
      </vt:variant>
      <vt:variant>
        <vt:lpwstr/>
      </vt:variant>
      <vt:variant>
        <vt:lpwstr>_Toc173508640</vt:lpwstr>
      </vt:variant>
      <vt:variant>
        <vt:i4>1966132</vt:i4>
      </vt:variant>
      <vt:variant>
        <vt:i4>86</vt:i4>
      </vt:variant>
      <vt:variant>
        <vt:i4>0</vt:i4>
      </vt:variant>
      <vt:variant>
        <vt:i4>5</vt:i4>
      </vt:variant>
      <vt:variant>
        <vt:lpwstr/>
      </vt:variant>
      <vt:variant>
        <vt:lpwstr>_Toc173508639</vt:lpwstr>
      </vt:variant>
      <vt:variant>
        <vt:i4>1966132</vt:i4>
      </vt:variant>
      <vt:variant>
        <vt:i4>80</vt:i4>
      </vt:variant>
      <vt:variant>
        <vt:i4>0</vt:i4>
      </vt:variant>
      <vt:variant>
        <vt:i4>5</vt:i4>
      </vt:variant>
      <vt:variant>
        <vt:lpwstr/>
      </vt:variant>
      <vt:variant>
        <vt:lpwstr>_Toc173508638</vt:lpwstr>
      </vt:variant>
      <vt:variant>
        <vt:i4>1966132</vt:i4>
      </vt:variant>
      <vt:variant>
        <vt:i4>74</vt:i4>
      </vt:variant>
      <vt:variant>
        <vt:i4>0</vt:i4>
      </vt:variant>
      <vt:variant>
        <vt:i4>5</vt:i4>
      </vt:variant>
      <vt:variant>
        <vt:lpwstr/>
      </vt:variant>
      <vt:variant>
        <vt:lpwstr>_Toc173508637</vt:lpwstr>
      </vt:variant>
      <vt:variant>
        <vt:i4>1966132</vt:i4>
      </vt:variant>
      <vt:variant>
        <vt:i4>68</vt:i4>
      </vt:variant>
      <vt:variant>
        <vt:i4>0</vt:i4>
      </vt:variant>
      <vt:variant>
        <vt:i4>5</vt:i4>
      </vt:variant>
      <vt:variant>
        <vt:lpwstr/>
      </vt:variant>
      <vt:variant>
        <vt:lpwstr>_Toc173508636</vt:lpwstr>
      </vt:variant>
      <vt:variant>
        <vt:i4>1966132</vt:i4>
      </vt:variant>
      <vt:variant>
        <vt:i4>62</vt:i4>
      </vt:variant>
      <vt:variant>
        <vt:i4>0</vt:i4>
      </vt:variant>
      <vt:variant>
        <vt:i4>5</vt:i4>
      </vt:variant>
      <vt:variant>
        <vt:lpwstr/>
      </vt:variant>
      <vt:variant>
        <vt:lpwstr>_Toc173508635</vt:lpwstr>
      </vt:variant>
      <vt:variant>
        <vt:i4>1966132</vt:i4>
      </vt:variant>
      <vt:variant>
        <vt:i4>56</vt:i4>
      </vt:variant>
      <vt:variant>
        <vt:i4>0</vt:i4>
      </vt:variant>
      <vt:variant>
        <vt:i4>5</vt:i4>
      </vt:variant>
      <vt:variant>
        <vt:lpwstr/>
      </vt:variant>
      <vt:variant>
        <vt:lpwstr>_Toc173508634</vt:lpwstr>
      </vt:variant>
      <vt:variant>
        <vt:i4>1966132</vt:i4>
      </vt:variant>
      <vt:variant>
        <vt:i4>50</vt:i4>
      </vt:variant>
      <vt:variant>
        <vt:i4>0</vt:i4>
      </vt:variant>
      <vt:variant>
        <vt:i4>5</vt:i4>
      </vt:variant>
      <vt:variant>
        <vt:lpwstr/>
      </vt:variant>
      <vt:variant>
        <vt:lpwstr>_Toc173508633</vt:lpwstr>
      </vt:variant>
      <vt:variant>
        <vt:i4>1966132</vt:i4>
      </vt:variant>
      <vt:variant>
        <vt:i4>44</vt:i4>
      </vt:variant>
      <vt:variant>
        <vt:i4>0</vt:i4>
      </vt:variant>
      <vt:variant>
        <vt:i4>5</vt:i4>
      </vt:variant>
      <vt:variant>
        <vt:lpwstr/>
      </vt:variant>
      <vt:variant>
        <vt:lpwstr>_Toc173508632</vt:lpwstr>
      </vt:variant>
      <vt:variant>
        <vt:i4>1966132</vt:i4>
      </vt:variant>
      <vt:variant>
        <vt:i4>38</vt:i4>
      </vt:variant>
      <vt:variant>
        <vt:i4>0</vt:i4>
      </vt:variant>
      <vt:variant>
        <vt:i4>5</vt:i4>
      </vt:variant>
      <vt:variant>
        <vt:lpwstr/>
      </vt:variant>
      <vt:variant>
        <vt:lpwstr>_Toc173508631</vt:lpwstr>
      </vt:variant>
      <vt:variant>
        <vt:i4>1966132</vt:i4>
      </vt:variant>
      <vt:variant>
        <vt:i4>32</vt:i4>
      </vt:variant>
      <vt:variant>
        <vt:i4>0</vt:i4>
      </vt:variant>
      <vt:variant>
        <vt:i4>5</vt:i4>
      </vt:variant>
      <vt:variant>
        <vt:lpwstr/>
      </vt:variant>
      <vt:variant>
        <vt:lpwstr>_Toc173508630</vt:lpwstr>
      </vt:variant>
      <vt:variant>
        <vt:i4>2031668</vt:i4>
      </vt:variant>
      <vt:variant>
        <vt:i4>26</vt:i4>
      </vt:variant>
      <vt:variant>
        <vt:i4>0</vt:i4>
      </vt:variant>
      <vt:variant>
        <vt:i4>5</vt:i4>
      </vt:variant>
      <vt:variant>
        <vt:lpwstr/>
      </vt:variant>
      <vt:variant>
        <vt:lpwstr>_Toc173508629</vt:lpwstr>
      </vt:variant>
      <vt:variant>
        <vt:i4>2031668</vt:i4>
      </vt:variant>
      <vt:variant>
        <vt:i4>20</vt:i4>
      </vt:variant>
      <vt:variant>
        <vt:i4>0</vt:i4>
      </vt:variant>
      <vt:variant>
        <vt:i4>5</vt:i4>
      </vt:variant>
      <vt:variant>
        <vt:lpwstr/>
      </vt:variant>
      <vt:variant>
        <vt:lpwstr>_Toc173508628</vt:lpwstr>
      </vt:variant>
      <vt:variant>
        <vt:i4>2031668</vt:i4>
      </vt:variant>
      <vt:variant>
        <vt:i4>14</vt:i4>
      </vt:variant>
      <vt:variant>
        <vt:i4>0</vt:i4>
      </vt:variant>
      <vt:variant>
        <vt:i4>5</vt:i4>
      </vt:variant>
      <vt:variant>
        <vt:lpwstr/>
      </vt:variant>
      <vt:variant>
        <vt:lpwstr>_Toc173508627</vt:lpwstr>
      </vt:variant>
      <vt:variant>
        <vt:i4>2031668</vt:i4>
      </vt:variant>
      <vt:variant>
        <vt:i4>8</vt:i4>
      </vt:variant>
      <vt:variant>
        <vt:i4>0</vt:i4>
      </vt:variant>
      <vt:variant>
        <vt:i4>5</vt:i4>
      </vt:variant>
      <vt:variant>
        <vt:lpwstr/>
      </vt:variant>
      <vt:variant>
        <vt:lpwstr>_Toc173508626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CSA-FIN-RD-0765</dc:title>
  <dc:subject>CADRe Part A</dc:subject>
  <dc:creator>Mireille Bedirian</dc:creator>
  <cp:keywords/>
  <dc:description>Draft 1.0</dc:description>
  <cp:lastModifiedBy>Bedirian, Mireille (ASC/CSA)</cp:lastModifiedBy>
  <cp:revision>88</cp:revision>
  <cp:lastPrinted>2001-05-10T16:44:00Z</cp:lastPrinted>
  <dcterms:created xsi:type="dcterms:W3CDTF">2026-05-30T14:57:00Z</dcterms:created>
  <dcterms:modified xsi:type="dcterms:W3CDTF">2026-09-17T18:05:00Z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bf8d8b6-3c0e-4e86-9041-ef5f84df773e_Enabled">
    <vt:lpwstr>true</vt:lpwstr>
  </property>
  <property fmtid="{D5CDD505-2E9C-101B-9397-08002B2CF9AE}" pid="3" name="MSIP_Label_1bf8d8b6-3c0e-4e86-9041-ef5f84df773e_SetDate">
    <vt:lpwstr>2024-08-23T19:45:49Z</vt:lpwstr>
  </property>
  <property fmtid="{D5CDD505-2E9C-101B-9397-08002B2CF9AE}" pid="4" name="MSIP_Label_1bf8d8b6-3c0e-4e86-9041-ef5f84df773e_Method">
    <vt:lpwstr>Privileged</vt:lpwstr>
  </property>
  <property fmtid="{D5CDD505-2E9C-101B-9397-08002B2CF9AE}" pid="5" name="MSIP_Label_1bf8d8b6-3c0e-4e86-9041-ef5f84df773e_Name">
    <vt:lpwstr>PROTÉGÉ B - PROTECTED B</vt:lpwstr>
  </property>
  <property fmtid="{D5CDD505-2E9C-101B-9397-08002B2CF9AE}" pid="6" name="MSIP_Label_1bf8d8b6-3c0e-4e86-9041-ef5f84df773e_SiteId">
    <vt:lpwstr>ea59922f-ea3d-4e45-ba97-caf826fb9335</vt:lpwstr>
  </property>
  <property fmtid="{D5CDD505-2E9C-101B-9397-08002B2CF9AE}" pid="7" name="MSIP_Label_1bf8d8b6-3c0e-4e86-9041-ef5f84df773e_ActionId">
    <vt:lpwstr>8a7b4d6e-6547-493c-952e-bca26c0447a3</vt:lpwstr>
  </property>
  <property fmtid="{D5CDD505-2E9C-101B-9397-08002B2CF9AE}" pid="8" name="MSIP_Label_1bf8d8b6-3c0e-4e86-9041-ef5f84df773e_ContentBits">
    <vt:lpwstr>1</vt:lpwstr>
  </property>
</Properties>
</file>