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DocNumber"/>
        <w:spacing w:after="640"/>
      </w:pPr>
      <w:r>
        <w:t>CADRe Part A • VPCS</w:t>
      </w:r>
    </w:p>
    <w:p>
      <w:pPr>
        <w:pStyle w:val="DocTitle"/>
      </w:pPr>
      <w:r>
        <w:t>Mission Cost Analysis Directorate</w:t>
      </w:r>
    </w:p>
    <w:p>
      <w:pPr>
        <w:pStyle w:val="DocTitle"/>
      </w:pPr>
      <w:r>
        <w:t>Cost Analysis Data Requirements</w:t>
      </w:r>
    </w:p>
    <w:p>
      <w:pPr>
        <w:pStyle w:val="DocTitle"/>
      </w:pPr>
      <w:r>
        <w:t>PART A</w:t>
      </w:r>
    </w:p>
    <w:p>
      <w:pPr>
        <w:pStyle w:val="DocTitle"/>
      </w:pPr>
      <w:r>
        <w:t>Virelan Protected Communications System</w:t>
      </w:r>
    </w:p>
    <w:p>
      <w:pPr>
        <w:pStyle w:val="BodyText"/>
      </w:pPr>
      <w:r>
        <w:t>Planning baseline  •  Revision 1.0  •  23 September 2026</w:t>
      </w:r>
    </w:p>
    <w:p>
      <w:pPr>
        <w:pStyle w:val="BodyText"/>
      </w:pPr>
      <w:r>
        <w:t>This mission and all named organizations and individuals are fictional.</w:t>
      </w:r>
    </w:p>
    <w:p>
      <w:r>
        <w:br w:type="page"/>
      </w:r>
    </w:p>
    <w:p>
      <w:pPr>
        <w:pStyle w:val="Heading-unnumbered"/>
      </w:pPr>
      <w:r>
        <w:t>Revision History</w:t>
      </w:r>
    </w:p>
    <w:tbl>
      <w:tblPr>
        <w:tblStyle w:val="TableGrid"/>
        <w:tblW w:type="auto" w:w="0"/>
        <w:jc w:val="center"/>
        <w:tblLayout w:type="fixed"/>
        <w:tblLook w:firstColumn="1" w:firstRow="1" w:lastColumn="0" w:lastRow="0" w:noHBand="0" w:noVBand="1" w:val="04A0"/>
      </w:tblPr>
      <w:tblGrid>
        <w:gridCol w:w="1008"/>
        <w:gridCol w:w="4608"/>
        <w:gridCol w:w="2232"/>
        <w:gridCol w:w="1584"/>
      </w:tblGrid>
      <w:tr>
        <w:trPr>
          <w:tblHeader w:val="true"/>
        </w:trPr>
        <w:tc>
          <w:tcPr>
            <w:tcW w:type="dxa" w:w="2340"/>
            <w:vAlign w:val="center"/>
            <w:shd w:fill="DDE6EF"/>
            <w:tcMar>
              <w:top w:w="90" w:type="dxa"/>
              <w:left w:w="90" w:type="dxa"/>
              <w:bottom w:w="90" w:type="dxa"/>
              <w:right w:w="90" w:type="dxa"/>
            </w:tcMar>
          </w:tcPr>
          <w:p>
            <w:pPr>
              <w:spacing w:after="0"/>
            </w:pPr>
            <w:r>
              <w:rPr>
                <w:b/>
                <w:sz w:val="16"/>
              </w:rPr>
              <w:t>Rev.</w:t>
            </w:r>
          </w:p>
        </w:tc>
        <w:tc>
          <w:tcPr>
            <w:tcW w:type="dxa" w:w="2340"/>
            <w:vAlign w:val="center"/>
            <w:shd w:fill="DDE6EF"/>
            <w:tcMar>
              <w:top w:w="90" w:type="dxa"/>
              <w:left w:w="90" w:type="dxa"/>
              <w:bottom w:w="90" w:type="dxa"/>
              <w:right w:w="90" w:type="dxa"/>
            </w:tcMar>
          </w:tcPr>
          <w:p>
            <w:pPr>
              <w:spacing w:after="0"/>
            </w:pPr>
            <w:r>
              <w:rPr>
                <w:b/>
                <w:sz w:val="16"/>
              </w:rPr>
              <w:t>Description</w:t>
            </w:r>
          </w:p>
        </w:tc>
        <w:tc>
          <w:tcPr>
            <w:tcW w:type="dxa" w:w="2340"/>
            <w:vAlign w:val="center"/>
            <w:shd w:fill="DDE6EF"/>
            <w:tcMar>
              <w:top w:w="90" w:type="dxa"/>
              <w:left w:w="90" w:type="dxa"/>
              <w:bottom w:w="90" w:type="dxa"/>
              <w:right w:w="90" w:type="dxa"/>
            </w:tcMar>
          </w:tcPr>
          <w:p>
            <w:pPr>
              <w:spacing w:after="0"/>
            </w:pPr>
            <w:r>
              <w:rPr>
                <w:b/>
                <w:sz w:val="16"/>
              </w:rPr>
              <w:t>Prepared by</w:t>
            </w:r>
          </w:p>
        </w:tc>
        <w:tc>
          <w:tcPr>
            <w:tcW w:type="dxa" w:w="2340"/>
            <w:vAlign w:val="center"/>
            <w:shd w:fill="DDE6EF"/>
            <w:tcMar>
              <w:top w:w="90" w:type="dxa"/>
              <w:left w:w="90" w:type="dxa"/>
              <w:bottom w:w="90" w:type="dxa"/>
              <w:right w:w="90" w:type="dxa"/>
            </w:tcMar>
          </w:tcPr>
          <w:p>
            <w:pPr>
              <w:spacing w:after="0"/>
            </w:pPr>
            <w:r>
              <w:rPr>
                <w:b/>
                <w:sz w:val="16"/>
              </w:rPr>
              <w:t>Date</w:t>
            </w:r>
          </w:p>
        </w:tc>
      </w:tr>
      <w:tr>
        <w:tc>
          <w:tcPr>
            <w:tcW w:type="dxa" w:w="2340"/>
            <w:vAlign w:val="center"/>
            <w:tcMar>
              <w:top w:w="90" w:type="dxa"/>
              <w:left w:w="90" w:type="dxa"/>
              <w:bottom w:w="90" w:type="dxa"/>
              <w:right w:w="90" w:type="dxa"/>
            </w:tcMar>
          </w:tcPr>
          <w:p>
            <w:pPr>
              <w:spacing w:after="0"/>
            </w:pPr>
            <w:r>
              <w:rPr>
                <w:sz w:val="16"/>
              </w:rPr>
              <w:t>1.0</w:t>
            </w:r>
          </w:p>
        </w:tc>
        <w:tc>
          <w:tcPr>
            <w:tcW w:type="dxa" w:w="2340"/>
            <w:vAlign w:val="center"/>
            <w:tcMar>
              <w:top w:w="90" w:type="dxa"/>
              <w:left w:w="90" w:type="dxa"/>
              <w:bottom w:w="90" w:type="dxa"/>
              <w:right w:w="90" w:type="dxa"/>
            </w:tcMar>
          </w:tcPr>
          <w:p>
            <w:pPr>
              <w:spacing w:after="0"/>
            </w:pPr>
            <w:r>
              <w:rPr>
                <w:sz w:val="16"/>
              </w:rPr>
              <w:t>Template aligned mission concept</w:t>
            </w:r>
          </w:p>
        </w:tc>
        <w:tc>
          <w:tcPr>
            <w:tcW w:type="dxa" w:w="2340"/>
            <w:vAlign w:val="center"/>
            <w:tcMar>
              <w:top w:w="90" w:type="dxa"/>
              <w:left w:w="90" w:type="dxa"/>
              <w:bottom w:w="90" w:type="dxa"/>
              <w:right w:w="90" w:type="dxa"/>
            </w:tcMar>
          </w:tcPr>
          <w:p>
            <w:pPr>
              <w:spacing w:after="0"/>
            </w:pPr>
            <w:r>
              <w:rPr>
                <w:sz w:val="16"/>
              </w:rPr>
              <w:t>Mission Cost Analysis Directorate</w:t>
            </w:r>
          </w:p>
        </w:tc>
        <w:tc>
          <w:tcPr>
            <w:tcW w:type="dxa" w:w="2340"/>
            <w:vAlign w:val="center"/>
            <w:tcMar>
              <w:top w:w="90" w:type="dxa"/>
              <w:left w:w="90" w:type="dxa"/>
              <w:bottom w:w="90" w:type="dxa"/>
              <w:right w:w="90" w:type="dxa"/>
            </w:tcMar>
          </w:tcPr>
          <w:p>
            <w:pPr>
              <w:spacing w:after="0"/>
            </w:pPr>
            <w:r>
              <w:rPr>
                <w:sz w:val="16"/>
              </w:rPr>
              <w:t>23 Sep 2026</w:t>
            </w:r>
          </w:p>
        </w:tc>
      </w:tr>
    </w:tbl>
    <w:p>
      <w:pPr>
        <w:pStyle w:val="TOC"/>
      </w:pPr>
      <w:r>
        <w:t>Table of Contents</w:t>
      </w:r>
    </w:p>
    <w:p>
      <w:pPr>
        <w:pStyle w:val="TOC1"/>
      </w:pPr>
      <w:r>
        <w:t>1</w:t>
        <w:tab/>
        <w:t>Introduction</w:t>
      </w:r>
    </w:p>
    <w:p>
      <w:pPr>
        <w:pStyle w:val="TOC2"/>
      </w:pPr>
      <w:r>
        <w:t>1.1</w:t>
        <w:tab/>
        <w:t>Purpose of this document</w:t>
      </w:r>
    </w:p>
    <w:p>
      <w:pPr>
        <w:pStyle w:val="TOC1"/>
      </w:pPr>
      <w:r>
        <w:t>2</w:t>
        <w:tab/>
        <w:t>General Descriptive Information</w:t>
      </w:r>
    </w:p>
    <w:p>
      <w:pPr>
        <w:pStyle w:val="TOC2"/>
      </w:pPr>
      <w:r>
        <w:t>2.1</w:t>
        <w:tab/>
        <w:t>Mission Overview</w:t>
      </w:r>
    </w:p>
    <w:p>
      <w:pPr>
        <w:pStyle w:val="TOC2"/>
      </w:pPr>
      <w:r>
        <w:t>2.2</w:t>
        <w:tab/>
        <w:t>Strategic Objectives</w:t>
      </w:r>
    </w:p>
    <w:p>
      <w:pPr>
        <w:pStyle w:val="TOC2"/>
      </w:pPr>
      <w:r>
        <w:t>2.3</w:t>
        <w:tab/>
        <w:t>Selected Mission Requirements</w:t>
      </w:r>
    </w:p>
    <w:p>
      <w:pPr>
        <w:pStyle w:val="TOC2"/>
      </w:pPr>
      <w:r>
        <w:t>2.4</w:t>
        <w:tab/>
        <w:t>High-Level Mission Architecture</w:t>
      </w:r>
    </w:p>
    <w:p>
      <w:pPr>
        <w:pStyle w:val="TOC1"/>
      </w:pPr>
      <w:r>
        <w:t>3</w:t>
        <w:tab/>
        <w:t>Space Segment Description</w:t>
      </w:r>
    </w:p>
    <w:p>
      <w:pPr>
        <w:pStyle w:val="TOC2"/>
      </w:pPr>
      <w:r>
        <w:t>3.1</w:t>
        <w:tab/>
        <w:t>Spacecraft Bus</w:t>
      </w:r>
    </w:p>
    <w:p>
      <w:pPr>
        <w:pStyle w:val="TOC2"/>
      </w:pPr>
      <w:r>
        <w:t>3.2</w:t>
        <w:tab/>
        <w:t>Payload</w:t>
      </w:r>
    </w:p>
    <w:p>
      <w:pPr>
        <w:pStyle w:val="TOC1"/>
      </w:pPr>
      <w:r>
        <w:t>4</w:t>
        <w:tab/>
        <w:t>Launch Segment Description</w:t>
      </w:r>
    </w:p>
    <w:p>
      <w:pPr>
        <w:pStyle w:val="TOC1"/>
      </w:pPr>
      <w:r>
        <w:t>5</w:t>
        <w:tab/>
        <w:t>Ground Segment and Mission Operations</w:t>
      </w:r>
    </w:p>
    <w:p>
      <w:pPr>
        <w:pStyle w:val="TOC1"/>
      </w:pPr>
      <w:r>
        <w:t>6</w:t>
        <w:tab/>
        <w:t>Systems Engineering and Project Management Approach</w:t>
      </w:r>
    </w:p>
    <w:p>
      <w:pPr>
        <w:pStyle w:val="TOC2"/>
      </w:pPr>
      <w:r>
        <w:t>6.1</w:t>
        <w:tab/>
        <w:t>TRL Levels and Heritage</w:t>
      </w:r>
    </w:p>
    <w:p>
      <w:pPr>
        <w:pStyle w:val="TOC2"/>
      </w:pPr>
      <w:r>
        <w:t>6.2</w:t>
        <w:tab/>
        <w:t>Phasing Logic and Naming Conventions</w:t>
      </w:r>
    </w:p>
    <w:p>
      <w:pPr>
        <w:pStyle w:val="TOC2"/>
      </w:pPr>
      <w:r>
        <w:t>6.3</w:t>
        <w:tab/>
        <w:t>Project Milestones</w:t>
      </w:r>
    </w:p>
    <w:p>
      <w:pPr>
        <w:pStyle w:val="TOC2"/>
      </w:pPr>
      <w:r>
        <w:t>6.4</w:t>
        <w:tab/>
        <w:t>Safety and Mission Assurance</w:t>
      </w:r>
    </w:p>
    <w:p>
      <w:pPr>
        <w:pStyle w:val="TOC2"/>
      </w:pPr>
      <w:r>
        <w:t>6.5</w:t>
        <w:tab/>
        <w:t>Prototyping Model Philosophy Qualification and Verification Strategy</w:t>
      </w:r>
    </w:p>
    <w:p>
      <w:pPr>
        <w:pStyle w:val="TOC2"/>
      </w:pPr>
      <w:r>
        <w:t>6.6</w:t>
        <w:tab/>
        <w:t>Sparing Strategy</w:t>
      </w:r>
    </w:p>
    <w:p>
      <w:pPr>
        <w:pStyle w:val="TOC2"/>
      </w:pPr>
      <w:r>
        <w:t>6.7</w:t>
        <w:tab/>
        <w:t>Risk Assessment</w:t>
      </w:r>
    </w:p>
    <w:p>
      <w:pPr>
        <w:pStyle w:val="TOC2"/>
      </w:pPr>
      <w:r>
        <w:t>6.8</w:t>
        <w:tab/>
        <w:t>Organizational Breakdown Structure</w:t>
      </w:r>
    </w:p>
    <w:p>
      <w:pPr>
        <w:pStyle w:val="Heading-unnumbered"/>
      </w:pPr>
      <w:r>
        <w:t>List of Figures</w:t>
      </w:r>
    </w:p>
    <w:p>
      <w:pPr>
        <w:pStyle w:val="TableofFigures"/>
      </w:pPr>
      <w:r>
        <w:t>Figure 1 – Virelan Protected Communications System mission architecture</w:t>
      </w:r>
    </w:p>
    <w:p>
      <w:pPr>
        <w:pStyle w:val="TableofFigures"/>
      </w:pPr>
      <w:r>
        <w:t>Figure 2 – Payload measurement and data path</w:t>
      </w:r>
    </w:p>
    <w:p>
      <w:pPr>
        <w:pStyle w:val="Heading-unnumbered"/>
      </w:pPr>
      <w:r>
        <w:t>List of Tables</w:t>
      </w:r>
    </w:p>
    <w:p>
      <w:pPr>
        <w:pStyle w:val="TableofFigures"/>
      </w:pPr>
      <w:r>
        <w:t>Table 1 – Strategic Alignment</w:t>
      </w:r>
    </w:p>
    <w:p>
      <w:pPr>
        <w:pStyle w:val="TableofFigures"/>
      </w:pPr>
      <w:r>
        <w:t>Table 2 – Selected System Requirements</w:t>
      </w:r>
    </w:p>
    <w:p>
      <w:pPr>
        <w:pStyle w:val="TableofFigures"/>
      </w:pPr>
      <w:r>
        <w:t>Table 3 – Costing Phase Crosswalk</w:t>
      </w:r>
    </w:p>
    <w:p>
      <w:pPr>
        <w:pStyle w:val="TableofFigures"/>
      </w:pPr>
      <w:r>
        <w:t>Table 4 – Planning Phase Dates</w:t>
      </w:r>
    </w:p>
    <w:p>
      <w:pPr>
        <w:pStyle w:val="TableofFigures"/>
      </w:pPr>
      <w:r>
        <w:t>Table 5 – Major Milestones</w:t>
      </w:r>
    </w:p>
    <w:p>
      <w:pPr>
        <w:pStyle w:val="TableofFigures"/>
      </w:pPr>
      <w:r>
        <w:t>Table 6 – Mission Organizations</w:t>
      </w:r>
    </w:p>
    <w:p>
      <w:pPr>
        <w:pStyle w:val="TableofFigures"/>
      </w:pPr>
      <w:r>
        <w:t>Table 7 – Industrial Partners</w:t>
      </w:r>
    </w:p>
    <w:p>
      <w:pPr>
        <w:pStyle w:val="TableofFigures"/>
      </w:pPr>
      <w:r>
        <w:t>Table 8 – Research Institutions</w:t>
      </w:r>
    </w:p>
    <w:p>
      <w:pPr>
        <w:pStyle w:val="TableofFigures"/>
      </w:pPr>
      <w:r>
        <w:t>Table 9 – Scientific Leadership</w:t>
      </w:r>
    </w:p>
    <w:p>
      <w:r>
        <w:br w:type="page"/>
      </w:r>
    </w:p>
    <w:p>
      <w:pPr>
        <w:pStyle w:val="Heading1"/>
      </w:pPr>
      <w:r>
        <w:t>Introduction</w:t>
      </w:r>
    </w:p>
    <w:p>
      <w:pPr>
        <w:pStyle w:val="Heading2"/>
      </w:pPr>
      <w:r>
        <w:t>Purpose of this document</w:t>
      </w:r>
    </w:p>
    <w:p>
      <w:pPr>
        <w:pStyle w:val="BodyText"/>
      </w:pPr>
      <w:r>
        <w:t>CADRe Part A provides a concise, standardized synopsis of the mission to support cost analysis. It consolidates the mission objectives, system requirements, architecture, delivery boundaries, operations, verification strategy, schedule and participating organizations.</w:t>
      </w:r>
    </w:p>
    <w:p>
      <w:pPr>
        <w:pStyle w:val="BodyText"/>
      </w:pPr>
      <w:r>
        <w:t>The quantitative values are planning requirements or preliminary allocations. CADRe Part B records cost element parameters, Part C controls the phase schedule and risk register, and Part D records programmatic evidence.</w:t>
      </w:r>
    </w:p>
    <w:p>
      <w:pPr>
        <w:pStyle w:val="Heading1"/>
      </w:pPr>
      <w:r>
        <w:t>General Descriptive Information</w:t>
      </w:r>
    </w:p>
    <w:p>
      <w:pPr>
        <w:pStyle w:val="Heading2"/>
      </w:pPr>
      <w:r>
        <w:t>Mission Overview</w:t>
      </w:r>
    </w:p>
    <w:p>
      <w:pPr/>
      <w:r>
        <w:t>The reference configuration is three geostationary relay satellites. Its operational environment is Three geostationary slots at nominal longitudes 40°, 160° and 280°E, each held within ±0.10° longitude and ±0.10° inclination box. The nominal duration is Seven years nominal service after six-month transfer and commissioning; ten-year design life. The flight or installed unit is sized at 1150 kg and uses 5400 W power generation or host allocation as stated in the subsystem budget.</w:t>
      </w:r>
    </w:p>
    <w:p>
      <w:pPr/>
      <w:r>
        <w:t>The design carries protected digital communications payload, steerable multi-beam antenna assembly and cryptographic command boundary. Each produces a separately calibrated record with common time, configuration and quality metadata. The science objectives are quantified in the requirement matrix below.</w:t>
      </w:r>
    </w:p>
    <w:p>
      <w:pPr>
        <w:jc w:val="center"/>
      </w:pPr>
      <w:r>
        <w:drawing>
          <wp:inline xmlns:a="http://schemas.openxmlformats.org/drawingml/2006/main" xmlns:pic="http://schemas.openxmlformats.org/drawingml/2006/picture">
            <wp:extent cx="5852160" cy="1694329"/>
            <wp:docPr id="1" name="Picture 1"/>
            <wp:cNvGraphicFramePr>
              <a:graphicFrameLocks noChangeAspect="1"/>
            </wp:cNvGraphicFramePr>
            <a:graphic>
              <a:graphicData uri="http://schemas.openxmlformats.org/drawingml/2006/picture">
                <pic:pic>
                  <pic:nvPicPr>
                    <pic:cNvPr id="0" name="VPCS_architecture.png"/>
                    <pic:cNvPicPr/>
                  </pic:nvPicPr>
                  <pic:blipFill>
                    <a:blip r:embed="rId20"/>
                    <a:stretch>
                      <a:fillRect/>
                    </a:stretch>
                  </pic:blipFill>
                  <pic:spPr>
                    <a:xfrm>
                      <a:off x="0" y="0"/>
                      <a:ext cx="5852160" cy="1694329"/>
                    </a:xfrm>
                    <a:prstGeom prst="rect"/>
                  </pic:spPr>
                </pic:pic>
              </a:graphicData>
            </a:graphic>
          </wp:inline>
        </w:drawing>
      </w:r>
    </w:p>
    <w:p>
      <w:pPr>
        <w:pStyle w:val="Caption"/>
      </w:pPr>
      <w:r>
        <w:t>Figure 1 – Virelan Protected Communications System mission architecture. Labeled boxes identify responsibility boundaries; dimensions are schematic.</w:t>
      </w:r>
    </w:p>
    <w:p>
      <w:pPr>
        <w:pStyle w:val="Heading2"/>
      </w:pPr>
      <w:r>
        <w:t>Strategic Objectives</w:t>
      </w:r>
    </w:p>
    <w:p>
      <w:pPr>
        <w:pStyle w:val="BodyText"/>
      </w:pPr>
      <w:r>
        <w:t>The mission aligns the measurement or service objectives with the sponsoring authority’s stated science, capability and operations priorities.</w:t>
      </w:r>
    </w:p>
    <w:p>
      <w:pPr>
        <w:pStyle w:val="Caption"/>
      </w:pPr>
      <w:r>
        <w:t>Table 1 – Strategic Alignment</w:t>
      </w:r>
    </w:p>
    <w:tbl>
      <w:tblPr>
        <w:tblStyle w:val="TableGrid"/>
        <w:tblW w:type="auto" w:w="0"/>
        <w:jc w:val="center"/>
        <w:tblLayout w:type="fixed"/>
        <w:tblLook w:firstColumn="1" w:firstRow="1" w:lastColumn="0" w:lastRow="0" w:noHBand="0" w:noVBand="1" w:val="04A0"/>
      </w:tblPr>
      <w:tblGrid>
        <w:gridCol w:w="1584"/>
        <w:gridCol w:w="2880"/>
        <w:gridCol w:w="4824"/>
      </w:tblGrid>
      <w:tr>
        <w:trPr>
          <w:tblHeader w:val="true"/>
        </w:trPr>
        <w:tc>
          <w:tcPr>
            <w:tcW w:type="dxa" w:w="3120"/>
            <w:vAlign w:val="center"/>
            <w:shd w:fill="DDE6EF"/>
            <w:tcMar>
              <w:top w:w="90" w:type="dxa"/>
              <w:left w:w="90" w:type="dxa"/>
              <w:bottom w:w="90" w:type="dxa"/>
              <w:right w:w="90" w:type="dxa"/>
            </w:tcMar>
          </w:tcPr>
          <w:p>
            <w:pPr>
              <w:spacing w:after="0"/>
            </w:pPr>
            <w:r>
              <w:rPr>
                <w:b/>
                <w:sz w:val="16"/>
              </w:rPr>
              <w:t>Priority</w:t>
            </w:r>
          </w:p>
        </w:tc>
        <w:tc>
          <w:tcPr>
            <w:tcW w:type="dxa" w:w="3120"/>
            <w:vAlign w:val="center"/>
            <w:shd w:fill="DDE6EF"/>
            <w:tcMar>
              <w:top w:w="90" w:type="dxa"/>
              <w:left w:w="90" w:type="dxa"/>
              <w:bottom w:w="90" w:type="dxa"/>
              <w:right w:w="90" w:type="dxa"/>
            </w:tcMar>
          </w:tcPr>
          <w:p>
            <w:pPr>
              <w:spacing w:after="0"/>
            </w:pPr>
            <w:r>
              <w:rPr>
                <w:b/>
                <w:sz w:val="16"/>
              </w:rPr>
              <w:t>Strategic goal</w:t>
            </w:r>
          </w:p>
        </w:tc>
        <w:tc>
          <w:tcPr>
            <w:tcW w:type="dxa" w:w="3120"/>
            <w:vAlign w:val="center"/>
            <w:shd w:fill="DDE6EF"/>
            <w:tcMar>
              <w:top w:w="90" w:type="dxa"/>
              <w:left w:w="90" w:type="dxa"/>
              <w:bottom w:w="90" w:type="dxa"/>
              <w:right w:w="90" w:type="dxa"/>
            </w:tcMar>
          </w:tcPr>
          <w:p>
            <w:pPr>
              <w:spacing w:after="0"/>
            </w:pPr>
            <w:r>
              <w:rPr>
                <w:b/>
                <w:sz w:val="16"/>
              </w:rPr>
              <w:t>Mission contribution</w:t>
            </w:r>
          </w:p>
        </w:tc>
      </w:tr>
      <w:tr>
        <w:tc>
          <w:tcPr>
            <w:tcW w:type="dxa" w:w="3120"/>
            <w:vAlign w:val="center"/>
            <w:tcMar>
              <w:top w:w="90" w:type="dxa"/>
              <w:left w:w="90" w:type="dxa"/>
              <w:bottom w:w="90" w:type="dxa"/>
              <w:right w:w="90" w:type="dxa"/>
            </w:tcMar>
          </w:tcPr>
          <w:p>
            <w:pPr>
              <w:spacing w:after="0"/>
            </w:pPr>
            <w:r>
              <w:rPr>
                <w:sz w:val="16"/>
              </w:rPr>
              <w:t>1</w:t>
            </w:r>
          </w:p>
        </w:tc>
        <w:tc>
          <w:tcPr>
            <w:tcW w:type="dxa" w:w="3120"/>
            <w:vAlign w:val="center"/>
            <w:tcMar>
              <w:top w:w="90" w:type="dxa"/>
              <w:left w:w="90" w:type="dxa"/>
              <w:bottom w:w="90" w:type="dxa"/>
              <w:right w:w="90" w:type="dxa"/>
            </w:tcMar>
          </w:tcPr>
          <w:p>
            <w:pPr>
              <w:spacing w:after="0"/>
            </w:pPr>
            <w:r>
              <w:rPr>
                <w:sz w:val="16"/>
              </w:rPr>
              <w:t>Primary mission outcome</w:t>
            </w:r>
          </w:p>
        </w:tc>
        <w:tc>
          <w:tcPr>
            <w:tcW w:type="dxa" w:w="3120"/>
            <w:vAlign w:val="center"/>
            <w:tcMar>
              <w:top w:w="90" w:type="dxa"/>
              <w:left w:w="90" w:type="dxa"/>
              <w:bottom w:w="90" w:type="dxa"/>
              <w:right w:w="90" w:type="dxa"/>
            </w:tcMar>
          </w:tcPr>
          <w:p>
            <w:pPr>
              <w:spacing w:after="0"/>
            </w:pPr>
            <w:r>
              <w:rPr>
                <w:sz w:val="16"/>
              </w:rPr>
              <w:t>Deliver ≥2.0 Gb/s aggregate usable service per spacecraft across eight beams, ≥99.5% scheduled monthly network availability in each declared service region, and authenticated control of every protected user session.</w:t>
            </w:r>
          </w:p>
        </w:tc>
      </w:tr>
      <w:tr>
        <w:tc>
          <w:tcPr>
            <w:tcW w:type="dxa" w:w="3120"/>
            <w:vAlign w:val="center"/>
            <w:shd w:fill="F6F8FA"/>
            <w:tcMar>
              <w:top w:w="90" w:type="dxa"/>
              <w:left w:w="90" w:type="dxa"/>
              <w:bottom w:w="90" w:type="dxa"/>
              <w:right w:w="90" w:type="dxa"/>
            </w:tcMar>
          </w:tcPr>
          <w:p>
            <w:pPr>
              <w:spacing w:after="0"/>
            </w:pPr>
            <w:r>
              <w:rPr>
                <w:sz w:val="16"/>
              </w:rPr>
              <w:t>2</w:t>
            </w:r>
          </w:p>
        </w:tc>
        <w:tc>
          <w:tcPr>
            <w:tcW w:type="dxa" w:w="3120"/>
            <w:vAlign w:val="center"/>
            <w:shd w:fill="F6F8FA"/>
            <w:tcMar>
              <w:top w:w="90" w:type="dxa"/>
              <w:left w:w="90" w:type="dxa"/>
              <w:bottom w:w="90" w:type="dxa"/>
              <w:right w:w="90" w:type="dxa"/>
            </w:tcMar>
          </w:tcPr>
          <w:p>
            <w:pPr>
              <w:spacing w:after="0"/>
            </w:pPr>
            <w:r>
              <w:rPr>
                <w:sz w:val="16"/>
              </w:rPr>
              <w:t>Operational sustainability</w:t>
            </w:r>
          </w:p>
        </w:tc>
        <w:tc>
          <w:tcPr>
            <w:tcW w:type="dxa" w:w="3120"/>
            <w:vAlign w:val="center"/>
            <w:shd w:fill="F6F8FA"/>
            <w:tcMar>
              <w:top w:w="90" w:type="dxa"/>
              <w:left w:w="90" w:type="dxa"/>
              <w:bottom w:w="90" w:type="dxa"/>
              <w:right w:w="90" w:type="dxa"/>
            </w:tcMar>
          </w:tcPr>
          <w:p>
            <w:pPr>
              <w:spacing w:after="0"/>
            </w:pPr>
            <w:r>
              <w:rPr>
                <w:sz w:val="16"/>
              </w:rPr>
              <w:t>Deliver Seven years nominal service after six-month transfer and commissioning; ten-year design life. with independently accepted baseline products and contingency procedures.</w:t>
            </w:r>
          </w:p>
        </w:tc>
      </w:tr>
    </w:tbl>
    <w:p>
      <w:pPr>
        <w:pStyle w:val="Heading2"/>
      </w:pPr>
      <w:r>
        <w:t>Selected Mission Requirements</w:t>
      </w:r>
    </w:p>
    <w:p>
      <w:pPr>
        <w:pStyle w:val="BodyText"/>
      </w:pPr>
      <w:r>
        <w:t>The following selected requirements control the major cost and complexity drivers. Their verification methods and approved values belong in the controlled requirements baseline.</w:t>
      </w:r>
    </w:p>
    <w:p>
      <w:pPr>
        <w:pStyle w:val="Caption"/>
      </w:pPr>
      <w:r>
        <w:t>Table 2 – Selected System Requirements</w:t>
      </w:r>
    </w:p>
    <w:tbl>
      <w:tblPr>
        <w:tblStyle w:val="TableGrid"/>
        <w:tblW w:type="auto" w:w="0"/>
        <w:jc w:val="center"/>
        <w:tblLayout w:type="fixed"/>
        <w:tblLook w:firstColumn="1" w:firstRow="1" w:lastColumn="0" w:lastRow="0" w:noHBand="0" w:noVBand="1" w:val="04A0"/>
      </w:tblPr>
      <w:tblGrid>
        <w:gridCol w:w="2088"/>
        <w:gridCol w:w="4536"/>
        <w:gridCol w:w="2592"/>
      </w:tblGrid>
      <w:tr>
        <w:trPr>
          <w:tblHeader w:val="true"/>
        </w:trPr>
        <w:tc>
          <w:tcPr>
            <w:tcW w:type="dxa" w:w="3120"/>
            <w:vAlign w:val="center"/>
            <w:shd w:fill="DDE6EF"/>
            <w:tcMar>
              <w:top w:w="90" w:type="dxa"/>
              <w:left w:w="90" w:type="dxa"/>
              <w:bottom w:w="90" w:type="dxa"/>
              <w:right w:w="90" w:type="dxa"/>
            </w:tcMar>
          </w:tcPr>
          <w:p>
            <w:pPr>
              <w:spacing w:after="0"/>
            </w:pPr>
            <w:r>
              <w:rPr>
                <w:b/>
                <w:sz w:val="16"/>
              </w:rPr>
              <w:t>Cost and complexity driver</w:t>
            </w:r>
          </w:p>
        </w:tc>
        <w:tc>
          <w:tcPr>
            <w:tcW w:type="dxa" w:w="3120"/>
            <w:vAlign w:val="center"/>
            <w:shd w:fill="DDE6EF"/>
            <w:tcMar>
              <w:top w:w="90" w:type="dxa"/>
              <w:left w:w="90" w:type="dxa"/>
              <w:bottom w:w="90" w:type="dxa"/>
              <w:right w:w="90" w:type="dxa"/>
            </w:tcMar>
          </w:tcPr>
          <w:p>
            <w:pPr>
              <w:spacing w:after="0"/>
            </w:pPr>
            <w:r>
              <w:rPr>
                <w:b/>
                <w:sz w:val="16"/>
              </w:rPr>
              <w:t>Preliminary requirement</w:t>
            </w:r>
          </w:p>
        </w:tc>
        <w:tc>
          <w:tcPr>
            <w:tcW w:type="dxa" w:w="3120"/>
            <w:vAlign w:val="center"/>
            <w:shd w:fill="DDE6EF"/>
            <w:tcMar>
              <w:top w:w="90" w:type="dxa"/>
              <w:left w:w="90" w:type="dxa"/>
              <w:bottom w:w="90" w:type="dxa"/>
              <w:right w:w="90" w:type="dxa"/>
            </w:tcMar>
          </w:tcPr>
          <w:p>
            <w:pPr>
              <w:spacing w:after="0"/>
            </w:pPr>
            <w:r>
              <w:rPr>
                <w:b/>
                <w:sz w:val="16"/>
              </w:rPr>
              <w:t>Principal cost or complexity effect</w:t>
            </w:r>
          </w:p>
        </w:tc>
      </w:tr>
      <w:tr>
        <w:tc>
          <w:tcPr>
            <w:tcW w:type="dxa" w:w="3120"/>
            <w:vAlign w:val="center"/>
            <w:tcMar>
              <w:top w:w="90" w:type="dxa"/>
              <w:left w:w="90" w:type="dxa"/>
              <w:bottom w:w="90" w:type="dxa"/>
              <w:right w:w="90" w:type="dxa"/>
            </w:tcMar>
          </w:tcPr>
          <w:p>
            <w:pPr>
              <w:spacing w:after="0"/>
            </w:pPr>
            <w:r>
              <w:rPr>
                <w:sz w:val="16"/>
              </w:rPr>
              <w:t>Mission architecture</w:t>
            </w:r>
          </w:p>
        </w:tc>
        <w:tc>
          <w:tcPr>
            <w:tcW w:type="dxa" w:w="3120"/>
            <w:vAlign w:val="center"/>
            <w:tcMar>
              <w:top w:w="90" w:type="dxa"/>
              <w:left w:w="90" w:type="dxa"/>
              <w:bottom w:w="90" w:type="dxa"/>
              <w:right w:w="90" w:type="dxa"/>
            </w:tcMar>
          </w:tcPr>
          <w:p>
            <w:pPr>
              <w:spacing w:after="0"/>
            </w:pPr>
            <w:r>
              <w:rPr>
                <w:sz w:val="16"/>
              </w:rPr>
              <w:t>Three geostationary relay satellites; 3 unit(s).</w:t>
            </w:r>
          </w:p>
        </w:tc>
        <w:tc>
          <w:tcPr>
            <w:tcW w:type="dxa" w:w="3120"/>
            <w:vAlign w:val="center"/>
            <w:tcMar>
              <w:top w:w="90" w:type="dxa"/>
              <w:left w:w="90" w:type="dxa"/>
              <w:bottom w:w="90" w:type="dxa"/>
              <w:right w:w="90" w:type="dxa"/>
            </w:tcMar>
          </w:tcPr>
          <w:p>
            <w:pPr>
              <w:spacing w:after="0"/>
            </w:pPr>
            <w:r>
              <w:rPr>
                <w:sz w:val="16"/>
              </w:rPr>
              <w:t>Flight hardware allocation, interface control and acceptance testing.</w:t>
            </w:r>
          </w:p>
        </w:tc>
      </w:tr>
      <w:tr>
        <w:tc>
          <w:tcPr>
            <w:tcW w:type="dxa" w:w="3120"/>
            <w:vAlign w:val="center"/>
            <w:shd w:fill="F6F8FA"/>
            <w:tcMar>
              <w:top w:w="90" w:type="dxa"/>
              <w:left w:w="90" w:type="dxa"/>
              <w:bottom w:w="90" w:type="dxa"/>
              <w:right w:w="90" w:type="dxa"/>
            </w:tcMar>
          </w:tcPr>
          <w:p>
            <w:pPr>
              <w:spacing w:after="0"/>
            </w:pPr>
            <w:r>
              <w:rPr>
                <w:sz w:val="16"/>
              </w:rPr>
              <w:t>Operating environment</w:t>
            </w:r>
          </w:p>
        </w:tc>
        <w:tc>
          <w:tcPr>
            <w:tcW w:type="dxa" w:w="3120"/>
            <w:vAlign w:val="center"/>
            <w:shd w:fill="F6F8FA"/>
            <w:tcMar>
              <w:top w:w="90" w:type="dxa"/>
              <w:left w:w="90" w:type="dxa"/>
              <w:bottom w:w="90" w:type="dxa"/>
              <w:right w:w="90" w:type="dxa"/>
            </w:tcMar>
          </w:tcPr>
          <w:p>
            <w:pPr>
              <w:spacing w:after="0"/>
            </w:pPr>
            <w:r>
              <w:rPr>
                <w:sz w:val="16"/>
              </w:rPr>
              <w:t>Three geostationary slots at nominal longitudes 40°, 160° and 280°E, each held within ±0.10° longitude and ±0.10° inclination box.</w:t>
            </w:r>
          </w:p>
        </w:tc>
        <w:tc>
          <w:tcPr>
            <w:tcW w:type="dxa" w:w="3120"/>
            <w:vAlign w:val="center"/>
            <w:shd w:fill="F6F8FA"/>
            <w:tcMar>
              <w:top w:w="90" w:type="dxa"/>
              <w:left w:w="90" w:type="dxa"/>
              <w:bottom w:w="90" w:type="dxa"/>
              <w:right w:w="90" w:type="dxa"/>
            </w:tcMar>
          </w:tcPr>
          <w:p>
            <w:pPr>
              <w:spacing w:after="0"/>
            </w:pPr>
            <w:r>
              <w:rPr>
                <w:sz w:val="16"/>
              </w:rPr>
              <w:t>Flight hardware allocation, interface control and acceptance testing.</w:t>
            </w:r>
          </w:p>
        </w:tc>
      </w:tr>
      <w:tr>
        <w:tc>
          <w:tcPr>
            <w:tcW w:type="dxa" w:w="3120"/>
            <w:vAlign w:val="center"/>
            <w:tcMar>
              <w:top w:w="90" w:type="dxa"/>
              <w:left w:w="90" w:type="dxa"/>
              <w:bottom w:w="90" w:type="dxa"/>
              <w:right w:w="90" w:type="dxa"/>
            </w:tcMar>
          </w:tcPr>
          <w:p>
            <w:pPr>
              <w:spacing w:after="0"/>
            </w:pPr>
            <w:r>
              <w:rPr>
                <w:sz w:val="16"/>
              </w:rPr>
              <w:t>Mission duration</w:t>
            </w:r>
          </w:p>
        </w:tc>
        <w:tc>
          <w:tcPr>
            <w:tcW w:type="dxa" w:w="3120"/>
            <w:vAlign w:val="center"/>
            <w:tcMar>
              <w:top w:w="90" w:type="dxa"/>
              <w:left w:w="90" w:type="dxa"/>
              <w:bottom w:w="90" w:type="dxa"/>
              <w:right w:w="90" w:type="dxa"/>
            </w:tcMar>
          </w:tcPr>
          <w:p>
            <w:pPr>
              <w:spacing w:after="0"/>
            </w:pPr>
            <w:r>
              <w:rPr>
                <w:sz w:val="16"/>
              </w:rPr>
              <w:t>Seven years nominal service after six-month transfer and commissioning; ten-year design life.</w:t>
            </w:r>
          </w:p>
        </w:tc>
        <w:tc>
          <w:tcPr>
            <w:tcW w:type="dxa" w:w="3120"/>
            <w:vAlign w:val="center"/>
            <w:tcMar>
              <w:top w:w="90" w:type="dxa"/>
              <w:left w:w="90" w:type="dxa"/>
              <w:bottom w:w="90" w:type="dxa"/>
              <w:right w:w="90" w:type="dxa"/>
            </w:tcMar>
          </w:tcPr>
          <w:p>
            <w:pPr>
              <w:spacing w:after="0"/>
            </w:pPr>
            <w:r>
              <w:rPr>
                <w:sz w:val="16"/>
              </w:rPr>
              <w:t>Parts screening, redundancy, spares and operations staffing.</w:t>
            </w:r>
          </w:p>
        </w:tc>
      </w:tr>
      <w:tr>
        <w:tc>
          <w:tcPr>
            <w:tcW w:type="dxa" w:w="3120"/>
            <w:vAlign w:val="center"/>
            <w:shd w:fill="F6F8FA"/>
            <w:tcMar>
              <w:top w:w="90" w:type="dxa"/>
              <w:left w:w="90" w:type="dxa"/>
              <w:bottom w:w="90" w:type="dxa"/>
              <w:right w:w="90" w:type="dxa"/>
            </w:tcMar>
          </w:tcPr>
          <w:p>
            <w:pPr>
              <w:spacing w:after="0"/>
            </w:pPr>
            <w:r>
              <w:rPr>
                <w:sz w:val="16"/>
              </w:rPr>
              <w:t>Unit mass</w:t>
            </w:r>
          </w:p>
        </w:tc>
        <w:tc>
          <w:tcPr>
            <w:tcW w:type="dxa" w:w="3120"/>
            <w:vAlign w:val="center"/>
            <w:shd w:fill="F6F8FA"/>
            <w:tcMar>
              <w:top w:w="90" w:type="dxa"/>
              <w:left w:w="90" w:type="dxa"/>
              <w:bottom w:w="90" w:type="dxa"/>
              <w:right w:w="90" w:type="dxa"/>
            </w:tcMar>
          </w:tcPr>
          <w:p>
            <w:pPr>
              <w:spacing w:after="0"/>
            </w:pPr>
            <w:r>
              <w:rPr>
                <w:sz w:val="16"/>
              </w:rPr>
              <w:t>≤1150 kg as delivered or at launch, including the budgeted contents.</w:t>
            </w:r>
          </w:p>
        </w:tc>
        <w:tc>
          <w:tcPr>
            <w:tcW w:type="dxa" w:w="3120"/>
            <w:vAlign w:val="center"/>
            <w:shd w:fill="F6F8FA"/>
            <w:tcMar>
              <w:top w:w="90" w:type="dxa"/>
              <w:left w:w="90" w:type="dxa"/>
              <w:bottom w:w="90" w:type="dxa"/>
              <w:right w:w="90" w:type="dxa"/>
            </w:tcMar>
          </w:tcPr>
          <w:p>
            <w:pPr>
              <w:spacing w:after="0"/>
            </w:pPr>
            <w:r>
              <w:rPr>
                <w:sz w:val="16"/>
              </w:rPr>
              <w:t>Launch capacity, structure, separation hardware and qualification loads.</w:t>
            </w:r>
          </w:p>
        </w:tc>
      </w:tr>
      <w:tr>
        <w:tc>
          <w:tcPr>
            <w:tcW w:type="dxa" w:w="3120"/>
            <w:vAlign w:val="center"/>
            <w:tcMar>
              <w:top w:w="90" w:type="dxa"/>
              <w:left w:w="90" w:type="dxa"/>
              <w:bottom w:w="90" w:type="dxa"/>
              <w:right w:w="90" w:type="dxa"/>
            </w:tcMar>
          </w:tcPr>
          <w:p>
            <w:pPr>
              <w:spacing w:after="0"/>
            </w:pPr>
            <w:r>
              <w:rPr>
                <w:sz w:val="16"/>
              </w:rPr>
              <w:t>Payload allocation</w:t>
            </w:r>
          </w:p>
        </w:tc>
        <w:tc>
          <w:tcPr>
            <w:tcW w:type="dxa" w:w="3120"/>
            <w:vAlign w:val="center"/>
            <w:tcMar>
              <w:top w:w="90" w:type="dxa"/>
              <w:left w:w="90" w:type="dxa"/>
              <w:bottom w:w="90" w:type="dxa"/>
              <w:right w:w="90" w:type="dxa"/>
            </w:tcMar>
          </w:tcPr>
          <w:p>
            <w:pPr>
              <w:spacing w:after="0"/>
            </w:pPr>
            <w:r>
              <w:rPr>
                <w:sz w:val="16"/>
              </w:rPr>
              <w:t>≤180 kg, with definitions controlled by the mass table.</w:t>
            </w:r>
          </w:p>
        </w:tc>
        <w:tc>
          <w:tcPr>
            <w:tcW w:type="dxa" w:w="3120"/>
            <w:vAlign w:val="center"/>
            <w:tcMar>
              <w:top w:w="90" w:type="dxa"/>
              <w:left w:w="90" w:type="dxa"/>
              <w:bottom w:w="90" w:type="dxa"/>
              <w:right w:w="90" w:type="dxa"/>
            </w:tcMar>
          </w:tcPr>
          <w:p>
            <w:pPr>
              <w:spacing w:after="0"/>
            </w:pPr>
            <w:r>
              <w:rPr>
                <w:sz w:val="16"/>
              </w:rPr>
              <w:t>Launch capacity, structure, separation hardware and qualification loads.</w:t>
            </w:r>
          </w:p>
        </w:tc>
      </w:tr>
      <w:tr>
        <w:tc>
          <w:tcPr>
            <w:tcW w:type="dxa" w:w="3120"/>
            <w:vAlign w:val="center"/>
            <w:shd w:fill="F6F8FA"/>
            <w:tcMar>
              <w:top w:w="90" w:type="dxa"/>
              <w:left w:w="90" w:type="dxa"/>
              <w:bottom w:w="90" w:type="dxa"/>
              <w:right w:w="90" w:type="dxa"/>
            </w:tcMar>
          </w:tcPr>
          <w:p>
            <w:pPr>
              <w:spacing w:after="0"/>
            </w:pPr>
            <w:r>
              <w:rPr>
                <w:sz w:val="16"/>
              </w:rPr>
              <w:t>Power generation / provision</w:t>
            </w:r>
          </w:p>
        </w:tc>
        <w:tc>
          <w:tcPr>
            <w:tcW w:type="dxa" w:w="3120"/>
            <w:vAlign w:val="center"/>
            <w:shd w:fill="F6F8FA"/>
            <w:tcMar>
              <w:top w:w="90" w:type="dxa"/>
              <w:left w:w="90" w:type="dxa"/>
              <w:bottom w:w="90" w:type="dxa"/>
              <w:right w:w="90" w:type="dxa"/>
            </w:tcMar>
          </w:tcPr>
          <w:p>
            <w:pPr>
              <w:spacing w:after="0"/>
            </w:pPr>
            <w:r>
              <w:rPr>
                <w:sz w:val="16"/>
              </w:rPr>
              <w:t>5400 W at specified reference; nominal 3200 W and peak 4700 W.</w:t>
            </w:r>
          </w:p>
        </w:tc>
        <w:tc>
          <w:tcPr>
            <w:tcW w:type="dxa" w:w="3120"/>
            <w:vAlign w:val="center"/>
            <w:shd w:fill="F6F8FA"/>
            <w:tcMar>
              <w:top w:w="90" w:type="dxa"/>
              <w:left w:w="90" w:type="dxa"/>
              <w:bottom w:w="90" w:type="dxa"/>
              <w:right w:w="90" w:type="dxa"/>
            </w:tcMar>
          </w:tcPr>
          <w:p>
            <w:pPr>
              <w:spacing w:after="0"/>
            </w:pPr>
            <w:r>
              <w:rPr>
                <w:sz w:val="16"/>
              </w:rPr>
              <w:t>Generation, storage, power distribution, thermal rejection and eclipse margin.</w:t>
            </w:r>
          </w:p>
        </w:tc>
      </w:tr>
      <w:tr>
        <w:tc>
          <w:tcPr>
            <w:tcW w:type="dxa" w:w="3120"/>
            <w:vAlign w:val="center"/>
            <w:tcMar>
              <w:top w:w="90" w:type="dxa"/>
              <w:left w:w="90" w:type="dxa"/>
              <w:bottom w:w="90" w:type="dxa"/>
              <w:right w:w="90" w:type="dxa"/>
            </w:tcMar>
          </w:tcPr>
          <w:p>
            <w:pPr>
              <w:spacing w:after="0"/>
            </w:pPr>
            <w:r>
              <w:rPr>
                <w:sz w:val="16"/>
              </w:rPr>
              <w:t>Primary measurement</w:t>
            </w:r>
          </w:p>
        </w:tc>
        <w:tc>
          <w:tcPr>
            <w:tcW w:type="dxa" w:w="3120"/>
            <w:vAlign w:val="center"/>
            <w:tcMar>
              <w:top w:w="90" w:type="dxa"/>
              <w:left w:w="90" w:type="dxa"/>
              <w:bottom w:w="90" w:type="dxa"/>
              <w:right w:w="90" w:type="dxa"/>
            </w:tcMar>
          </w:tcPr>
          <w:p>
            <w:pPr>
              <w:spacing w:after="0"/>
            </w:pPr>
            <w:r>
              <w:rPr>
                <w:sz w:val="16"/>
              </w:rPr>
              <w:t>Deliver ≥2.0 Gb/s aggregate usable service per spacecraft across eight beams, ≥99.5% scheduled monthly network availability in each declared service region, and authenticated control of every protected user session.</w:t>
            </w:r>
          </w:p>
        </w:tc>
        <w:tc>
          <w:tcPr>
            <w:tcW w:type="dxa" w:w="3120"/>
            <w:vAlign w:val="center"/>
            <w:tcMar>
              <w:top w:w="90" w:type="dxa"/>
              <w:left w:w="90" w:type="dxa"/>
              <w:bottom w:w="90" w:type="dxa"/>
              <w:right w:w="90" w:type="dxa"/>
            </w:tcMar>
          </w:tcPr>
          <w:p>
            <w:pPr>
              <w:spacing w:after="0"/>
            </w:pPr>
            <w:r>
              <w:rPr>
                <w:sz w:val="16"/>
              </w:rPr>
              <w:t>Parts screening, redundancy, spares and operations staffing.</w:t>
            </w:r>
          </w:p>
        </w:tc>
      </w:tr>
      <w:tr>
        <w:tc>
          <w:tcPr>
            <w:tcW w:type="dxa" w:w="3120"/>
            <w:vAlign w:val="center"/>
            <w:shd w:fill="F6F8FA"/>
            <w:tcMar>
              <w:top w:w="90" w:type="dxa"/>
              <w:left w:w="90" w:type="dxa"/>
              <w:bottom w:w="90" w:type="dxa"/>
              <w:right w:w="90" w:type="dxa"/>
            </w:tcMar>
          </w:tcPr>
          <w:p>
            <w:pPr>
              <w:spacing w:after="0"/>
            </w:pPr>
            <w:r>
              <w:rPr>
                <w:sz w:val="16"/>
              </w:rPr>
              <w:t>Instrument 1</w:t>
            </w:r>
          </w:p>
        </w:tc>
        <w:tc>
          <w:tcPr>
            <w:tcW w:type="dxa" w:w="3120"/>
            <w:vAlign w:val="center"/>
            <w:shd w:fill="F6F8FA"/>
            <w:tcMar>
              <w:top w:w="90" w:type="dxa"/>
              <w:left w:w="90" w:type="dxa"/>
              <w:bottom w:w="90" w:type="dxa"/>
              <w:right w:w="90" w:type="dxa"/>
            </w:tcMar>
          </w:tcPr>
          <w:p>
            <w:pPr>
              <w:spacing w:after="0"/>
            </w:pPr>
            <w:r>
              <w:rPr>
                <w:sz w:val="16"/>
              </w:rPr>
              <w:t>180 kg hosted communications allocation including channelization and authentication; eight 125 MHz channels with 250 Mb/s usable throughput each.</w:t>
            </w:r>
          </w:p>
        </w:tc>
        <w:tc>
          <w:tcPr>
            <w:tcW w:type="dxa" w:w="3120"/>
            <w:vAlign w:val="center"/>
            <w:shd w:fill="F6F8FA"/>
            <w:tcMar>
              <w:top w:w="90" w:type="dxa"/>
              <w:left w:w="90" w:type="dxa"/>
              <w:bottom w:w="90" w:type="dxa"/>
              <w:right w:w="90" w:type="dxa"/>
            </w:tcMar>
          </w:tcPr>
          <w:p>
            <w:pPr>
              <w:spacing w:after="0"/>
            </w:pPr>
            <w:r>
              <w:rPr>
                <w:sz w:val="16"/>
              </w:rPr>
              <w:t>Recorder capacity, RF equipment, ground contacts and archive processing.</w:t>
            </w:r>
          </w:p>
        </w:tc>
      </w:tr>
      <w:tr>
        <w:tc>
          <w:tcPr>
            <w:tcW w:type="dxa" w:w="3120"/>
            <w:vAlign w:val="center"/>
            <w:tcMar>
              <w:top w:w="90" w:type="dxa"/>
              <w:left w:w="90" w:type="dxa"/>
              <w:bottom w:w="90" w:type="dxa"/>
              <w:right w:w="90" w:type="dxa"/>
            </w:tcMar>
          </w:tcPr>
          <w:p>
            <w:pPr>
              <w:spacing w:after="0"/>
            </w:pPr>
            <w:r>
              <w:rPr>
                <w:sz w:val="16"/>
              </w:rPr>
              <w:t>Instrument 2</w:t>
            </w:r>
          </w:p>
        </w:tc>
        <w:tc>
          <w:tcPr>
            <w:tcW w:type="dxa" w:w="3120"/>
            <w:vAlign w:val="center"/>
            <w:tcMar>
              <w:top w:w="90" w:type="dxa"/>
              <w:left w:w="90" w:type="dxa"/>
              <w:bottom w:w="90" w:type="dxa"/>
              <w:right w:w="90" w:type="dxa"/>
            </w:tcMar>
          </w:tcPr>
          <w:p>
            <w:pPr>
              <w:spacing w:after="0"/>
            </w:pPr>
            <w:r>
              <w:rPr>
                <w:sz w:val="16"/>
              </w:rPr>
              <w:t>Two deployable reflectors per spacecraft; eight steerable spot beams with ≥0.2° commandable beam-centre placement accuracy after calibration.</w:t>
            </w:r>
          </w:p>
        </w:tc>
        <w:tc>
          <w:tcPr>
            <w:tcW w:type="dxa" w:w="3120"/>
            <w:vAlign w:val="center"/>
            <w:tcMar>
              <w:top w:w="90" w:type="dxa"/>
              <w:left w:w="90" w:type="dxa"/>
              <w:bottom w:w="90" w:type="dxa"/>
              <w:right w:w="90" w:type="dxa"/>
            </w:tcMar>
          </w:tcPr>
          <w:p>
            <w:pPr>
              <w:spacing w:after="0"/>
            </w:pPr>
            <w:r>
              <w:rPr>
                <w:sz w:val="16"/>
              </w:rPr>
              <w:t>Detector performance, calibration, metrology and end-to-end verification.</w:t>
            </w:r>
          </w:p>
        </w:tc>
      </w:tr>
      <w:tr>
        <w:tc>
          <w:tcPr>
            <w:tcW w:type="dxa" w:w="3120"/>
            <w:vAlign w:val="center"/>
            <w:shd w:fill="F6F8FA"/>
            <w:tcMar>
              <w:top w:w="90" w:type="dxa"/>
              <w:left w:w="90" w:type="dxa"/>
              <w:bottom w:w="90" w:type="dxa"/>
              <w:right w:w="90" w:type="dxa"/>
            </w:tcMar>
          </w:tcPr>
          <w:p>
            <w:pPr>
              <w:spacing w:after="0"/>
            </w:pPr>
            <w:r>
              <w:rPr>
                <w:sz w:val="16"/>
              </w:rPr>
              <w:t>Instrument 3</w:t>
            </w:r>
          </w:p>
        </w:tc>
        <w:tc>
          <w:tcPr>
            <w:tcW w:type="dxa" w:w="3120"/>
            <w:vAlign w:val="center"/>
            <w:shd w:fill="F6F8FA"/>
            <w:tcMar>
              <w:top w:w="90" w:type="dxa"/>
              <w:left w:w="90" w:type="dxa"/>
              <w:bottom w:w="90" w:type="dxa"/>
              <w:right w:w="90" w:type="dxa"/>
            </w:tcMar>
          </w:tcPr>
          <w:p>
            <w:pPr>
              <w:spacing w:after="0"/>
            </w:pPr>
            <w:r>
              <w:rPr>
                <w:sz w:val="16"/>
              </w:rPr>
              <w:t>Two isolated security processors per spacecraft; 256-bit symmetric session key material; key rotation ≤24 h and immediate authenticated revocation capability.</w:t>
            </w:r>
          </w:p>
        </w:tc>
        <w:tc>
          <w:tcPr>
            <w:tcW w:type="dxa" w:w="3120"/>
            <w:vAlign w:val="center"/>
            <w:shd w:fill="F6F8FA"/>
            <w:tcMar>
              <w:top w:w="90" w:type="dxa"/>
              <w:left w:w="90" w:type="dxa"/>
              <w:bottom w:w="90" w:type="dxa"/>
              <w:right w:w="90" w:type="dxa"/>
            </w:tcMar>
          </w:tcPr>
          <w:p>
            <w:pPr>
              <w:spacing w:after="0"/>
            </w:pPr>
            <w:r>
              <w:rPr>
                <w:sz w:val="16"/>
              </w:rPr>
              <w:t>Flight hardware allocation, interface control and acceptance testing.</w:t>
            </w:r>
          </w:p>
        </w:tc>
      </w:tr>
      <w:tr>
        <w:tc>
          <w:tcPr>
            <w:tcW w:type="dxa" w:w="3120"/>
            <w:vAlign w:val="center"/>
            <w:tcMar>
              <w:top w:w="90" w:type="dxa"/>
              <w:left w:w="90" w:type="dxa"/>
              <w:bottom w:w="90" w:type="dxa"/>
              <w:right w:w="90" w:type="dxa"/>
            </w:tcMar>
          </w:tcPr>
          <w:p>
            <w:pPr>
              <w:spacing w:after="0"/>
            </w:pPr>
            <w:r>
              <w:rPr>
                <w:sz w:val="16"/>
              </w:rPr>
              <w:t>Pointing or positioning</w:t>
            </w:r>
          </w:p>
        </w:tc>
        <w:tc>
          <w:tcPr>
            <w:tcW w:type="dxa" w:w="3120"/>
            <w:vAlign w:val="center"/>
            <w:tcMar>
              <w:top w:w="90" w:type="dxa"/>
              <w:left w:w="90" w:type="dxa"/>
              <w:bottom w:w="90" w:type="dxa"/>
              <w:right w:w="90" w:type="dxa"/>
            </w:tcMar>
          </w:tcPr>
          <w:p>
            <w:pPr>
              <w:spacing w:after="0"/>
            </w:pPr>
            <w:r>
              <w:rPr>
                <w:sz w:val="16"/>
              </w:rPr>
              <w:t>Dual star trackers, four reaction wheels, Sun sensors and thrusters; antenna boresight knowledge ≤0.05° (95th percentile); longitude and inclination each within ±0.10°.</w:t>
            </w:r>
          </w:p>
        </w:tc>
        <w:tc>
          <w:tcPr>
            <w:tcW w:type="dxa" w:w="3120"/>
            <w:vAlign w:val="center"/>
            <w:tcMar>
              <w:top w:w="90" w:type="dxa"/>
              <w:left w:w="90" w:type="dxa"/>
              <w:bottom w:w="90" w:type="dxa"/>
              <w:right w:w="90" w:type="dxa"/>
            </w:tcMar>
          </w:tcPr>
          <w:p>
            <w:pPr>
              <w:spacing w:after="0"/>
            </w:pPr>
            <w:r>
              <w:rPr>
                <w:sz w:val="16"/>
              </w:rPr>
              <w:t>Flight hardware allocation, interface control and acceptance testing.</w:t>
            </w:r>
          </w:p>
        </w:tc>
      </w:tr>
      <w:tr>
        <w:tc>
          <w:tcPr>
            <w:tcW w:type="dxa" w:w="3120"/>
            <w:vAlign w:val="center"/>
            <w:shd w:fill="F6F8FA"/>
            <w:tcMar>
              <w:top w:w="90" w:type="dxa"/>
              <w:left w:w="90" w:type="dxa"/>
              <w:bottom w:w="90" w:type="dxa"/>
              <w:right w:w="90" w:type="dxa"/>
            </w:tcMar>
          </w:tcPr>
          <w:p>
            <w:pPr>
              <w:spacing w:after="0"/>
            </w:pPr>
            <w:r>
              <w:rPr>
                <w:sz w:val="16"/>
              </w:rPr>
              <w:t>Mission-data volume</w:t>
            </w:r>
          </w:p>
        </w:tc>
        <w:tc>
          <w:tcPr>
            <w:tcW w:type="dxa" w:w="3120"/>
            <w:vAlign w:val="center"/>
            <w:shd w:fill="F6F8FA"/>
            <w:tcMar>
              <w:top w:w="90" w:type="dxa"/>
              <w:left w:w="90" w:type="dxa"/>
              <w:bottom w:w="90" w:type="dxa"/>
              <w:right w:w="90" w:type="dxa"/>
            </w:tcMar>
          </w:tcPr>
          <w:p>
            <w:pPr>
              <w:spacing w:after="0"/>
            </w:pPr>
            <w:r>
              <w:rPr>
                <w:sz w:val="16"/>
              </w:rPr>
              <w:t>18 GB/day per spacecraft of encrypted network logs and housekeeping; user traffic is relayed rather than archived onboard</w:t>
            </w:r>
          </w:p>
        </w:tc>
        <w:tc>
          <w:tcPr>
            <w:tcW w:type="dxa" w:w="3120"/>
            <w:vAlign w:val="center"/>
            <w:shd w:fill="F6F8FA"/>
            <w:tcMar>
              <w:top w:w="90" w:type="dxa"/>
              <w:left w:w="90" w:type="dxa"/>
              <w:bottom w:w="90" w:type="dxa"/>
              <w:right w:w="90" w:type="dxa"/>
            </w:tcMar>
          </w:tcPr>
          <w:p>
            <w:pPr>
              <w:spacing w:after="0"/>
            </w:pPr>
            <w:r>
              <w:rPr>
                <w:sz w:val="16"/>
              </w:rPr>
              <w:t>Launch capacity, structure, separation hardware and qualification loads.</w:t>
            </w:r>
          </w:p>
        </w:tc>
      </w:tr>
    </w:tbl>
    <w:p>
      <w:pPr>
        <w:pStyle w:val="Heading2"/>
      </w:pPr>
      <w:r>
        <w:t>High-Level Mission Architecture</w:t>
      </w:r>
    </w:p>
    <w:p>
      <w:pPr>
        <w:pStyle w:val="BodyText"/>
      </w:pPr>
      <w:r>
        <w:t>The architecture separates oversight, space or deployed hardware, launch or delivery, ground services, operations and science or user exploitation.</w:t>
      </w:r>
    </w:p>
    <w:p>
      <w:pPr>
        <w:pStyle w:val="BodyText"/>
      </w:pPr>
      <w:r>
        <w:t>Avranel Space Communications Directorate owns system requirements, procurement, risk and mission acceptance.</w:t>
      </w:r>
    </w:p>
    <w:p>
      <w:pPr>
        <w:pStyle w:val="BodyText"/>
      </w:pPr>
      <w:r>
        <w:t>Qelvoria Orbital Systems owns the integrated unit, interfaces and system-level verification.</w:t>
      </w:r>
    </w:p>
    <w:p>
      <w:pPr>
        <w:pStyle w:val="BodyText"/>
      </w:pPr>
      <w:r>
        <w:t>Sorevex Signal Engineering delivers the measurement equipment and calibration evidence.</w:t>
      </w:r>
    </w:p>
    <w:p>
      <w:pPr>
        <w:pStyle w:val="BodyText"/>
      </w:pPr>
      <w:r>
        <w:t>Lundrith Launch Consortium delivers the unit to its destination and verifies interface conditions.</w:t>
      </w:r>
    </w:p>
    <w:p>
      <w:pPr>
        <w:pStyle w:val="BodyText"/>
      </w:pPr>
      <w:r>
        <w:t>Pervalin Gateway Services supplies receiving, networking and ground-service capacity.</w:t>
      </w:r>
    </w:p>
    <w:p>
      <w:pPr>
        <w:pStyle w:val="BodyText"/>
      </w:pPr>
      <w:r>
        <w:t>Tervalis Network Operations Institute produces, validates and archives the calibrated mission products.</w:t>
      </w:r>
    </w:p>
    <w:p>
      <w:pPr>
        <w:pStyle w:val="Heading1"/>
      </w:pPr>
      <w:r>
        <w:t>Space Segment Description</w:t>
      </w:r>
    </w:p>
    <w:p>
      <w:pPr/>
      <w:r>
        <w:t>The reference configuration is three geostationary relay satellites. Its operational environment is Three geostationary slots at nominal longitudes 40°, 160° and 280°E, each held within ±0.10° longitude and ±0.10° inclination box. The nominal duration is Seven years nominal service after six-month transfer and commissioning; ten-year design life. The flight or installed unit is sized at 1150 kg and uses 5400 W power generation or host allocation as stated in the subsystem budget. The segment boundary includes the integrated unit and its mission-specific payload, interfaces, spares and verification articles.</w:t>
      </w:r>
    </w:p>
    <w:p>
      <w:pPr>
        <w:pStyle w:val="Heading2"/>
      </w:pPr>
      <w:r>
        <w:t>Spacecraft Bus</w:t>
      </w:r>
    </w:p>
    <w:p>
      <w:pPr/>
      <w:r>
        <w:t>The integrated unit provides structural restraint, power, command and data handling, thermal protection, equipment control and the communication interface appropriate to Three geostationary slots at nominal longitudes 40°, 160° and 280°E, each held within ±0.10° longitude and ±0.10° inclination box. The design shall carry configuration identifiers and independent acceptance records for every delivered unit.</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allocation / target</w:t>
            </w:r>
          </w:p>
        </w:tc>
      </w:tr>
      <w:tr>
        <w:tc>
          <w:tcPr>
            <w:tcW w:type="dxa" w:w="4680"/>
            <w:vAlign w:val="center"/>
            <w:tcMar>
              <w:top w:w="90" w:type="dxa"/>
              <w:left w:w="90" w:type="dxa"/>
              <w:bottom w:w="90" w:type="dxa"/>
              <w:right w:w="90" w:type="dxa"/>
            </w:tcMar>
          </w:tcPr>
          <w:p>
            <w:pPr>
              <w:spacing w:after="0"/>
            </w:pPr>
            <w:r>
              <w:rPr>
                <w:sz w:val="16"/>
              </w:rPr>
              <w:t>Unit mass</w:t>
            </w:r>
          </w:p>
        </w:tc>
        <w:tc>
          <w:tcPr>
            <w:tcW w:type="dxa" w:w="4680"/>
            <w:vAlign w:val="center"/>
            <w:tcMar>
              <w:top w:w="90" w:type="dxa"/>
              <w:left w:w="90" w:type="dxa"/>
              <w:bottom w:w="90" w:type="dxa"/>
              <w:right w:w="90" w:type="dxa"/>
            </w:tcMar>
          </w:tcPr>
          <w:p>
            <w:pPr>
              <w:spacing w:after="0"/>
            </w:pPr>
            <w:r>
              <w:rPr>
                <w:sz w:val="16"/>
              </w:rPr>
              <w:t>1150 kg</w:t>
            </w:r>
          </w:p>
        </w:tc>
      </w:tr>
      <w:tr>
        <w:tc>
          <w:tcPr>
            <w:tcW w:type="dxa" w:w="4680"/>
            <w:vAlign w:val="center"/>
            <w:shd w:fill="F6F8FA"/>
            <w:tcMar>
              <w:top w:w="90" w:type="dxa"/>
              <w:left w:w="90" w:type="dxa"/>
              <w:bottom w:w="90" w:type="dxa"/>
              <w:right w:w="90" w:type="dxa"/>
            </w:tcMar>
          </w:tcPr>
          <w:p>
            <w:pPr>
              <w:spacing w:after="0"/>
            </w:pPr>
            <w:r>
              <w:rPr>
                <w:sz w:val="16"/>
              </w:rPr>
              <w:t>Mass composition</w:t>
            </w:r>
          </w:p>
        </w:tc>
        <w:tc>
          <w:tcPr>
            <w:tcW w:type="dxa" w:w="4680"/>
            <w:vAlign w:val="center"/>
            <w:shd w:fill="F6F8FA"/>
            <w:tcMar>
              <w:top w:w="90" w:type="dxa"/>
              <w:left w:w="90" w:type="dxa"/>
              <w:bottom w:w="90" w:type="dxa"/>
              <w:right w:w="90" w:type="dxa"/>
            </w:tcMar>
          </w:tcPr>
          <w:p>
            <w:pPr>
              <w:spacing w:after="0"/>
            </w:pPr>
            <w:r>
              <w:rPr>
                <w:sz w:val="16"/>
              </w:rPr>
              <w:t>420 kg dry bus + 180 kg communications payload + 550 kg bipropellant = 1,150 kg</w:t>
            </w:r>
          </w:p>
        </w:tc>
      </w:tr>
      <w:tr>
        <w:tc>
          <w:tcPr>
            <w:tcW w:type="dxa" w:w="4680"/>
            <w:vAlign w:val="center"/>
            <w:tcMar>
              <w:top w:w="90" w:type="dxa"/>
              <w:left w:w="90" w:type="dxa"/>
              <w:bottom w:w="90" w:type="dxa"/>
              <w:right w:w="90" w:type="dxa"/>
            </w:tcMar>
          </w:tcPr>
          <w:p>
            <w:pPr>
              <w:spacing w:after="0"/>
            </w:pPr>
            <w:r>
              <w:rPr>
                <w:sz w:val="16"/>
              </w:rPr>
              <w:t>Payload / experiment allocation</w:t>
            </w:r>
          </w:p>
        </w:tc>
        <w:tc>
          <w:tcPr>
            <w:tcW w:type="dxa" w:w="4680"/>
            <w:vAlign w:val="center"/>
            <w:tcMar>
              <w:top w:w="90" w:type="dxa"/>
              <w:left w:w="90" w:type="dxa"/>
              <w:bottom w:w="90" w:type="dxa"/>
              <w:right w:w="90" w:type="dxa"/>
            </w:tcMar>
          </w:tcPr>
          <w:p>
            <w:pPr>
              <w:spacing w:after="0"/>
            </w:pPr>
            <w:r>
              <w:rPr>
                <w:sz w:val="16"/>
              </w:rPr>
              <w:t>180 kg</w:t>
            </w:r>
          </w:p>
        </w:tc>
      </w:tr>
      <w:tr>
        <w:tc>
          <w:tcPr>
            <w:tcW w:type="dxa" w:w="4680"/>
            <w:vAlign w:val="center"/>
            <w:shd w:fill="F6F8FA"/>
            <w:tcMar>
              <w:top w:w="90" w:type="dxa"/>
              <w:left w:w="90" w:type="dxa"/>
              <w:bottom w:w="90" w:type="dxa"/>
              <w:right w:w="90" w:type="dxa"/>
            </w:tcMar>
          </w:tcPr>
          <w:p>
            <w:pPr>
              <w:spacing w:after="0"/>
            </w:pPr>
            <w:r>
              <w:rPr>
                <w:sz w:val="16"/>
              </w:rPr>
              <w:t>Generation / provision</w:t>
            </w:r>
          </w:p>
        </w:tc>
        <w:tc>
          <w:tcPr>
            <w:tcW w:type="dxa" w:w="4680"/>
            <w:vAlign w:val="center"/>
            <w:shd w:fill="F6F8FA"/>
            <w:tcMar>
              <w:top w:w="90" w:type="dxa"/>
              <w:left w:w="90" w:type="dxa"/>
              <w:bottom w:w="90" w:type="dxa"/>
              <w:right w:w="90" w:type="dxa"/>
            </w:tcMar>
          </w:tcPr>
          <w:p>
            <w:pPr>
              <w:spacing w:after="0"/>
            </w:pPr>
            <w:r>
              <w:rPr>
                <w:sz w:val="16"/>
              </w:rPr>
              <w:t>5400 W reference</w:t>
            </w:r>
          </w:p>
        </w:tc>
      </w:tr>
      <w:tr>
        <w:tc>
          <w:tcPr>
            <w:tcW w:type="dxa" w:w="4680"/>
            <w:vAlign w:val="center"/>
            <w:tcMar>
              <w:top w:w="90" w:type="dxa"/>
              <w:left w:w="90" w:type="dxa"/>
              <w:bottom w:w="90" w:type="dxa"/>
              <w:right w:w="90" w:type="dxa"/>
            </w:tcMar>
          </w:tcPr>
          <w:p>
            <w:pPr>
              <w:spacing w:after="0"/>
            </w:pPr>
            <w:r>
              <w:rPr>
                <w:sz w:val="16"/>
              </w:rPr>
              <w:t>Nominal / peak demand</w:t>
            </w:r>
          </w:p>
        </w:tc>
        <w:tc>
          <w:tcPr>
            <w:tcW w:type="dxa" w:w="4680"/>
            <w:vAlign w:val="center"/>
            <w:tcMar>
              <w:top w:w="90" w:type="dxa"/>
              <w:left w:w="90" w:type="dxa"/>
              <w:bottom w:w="90" w:type="dxa"/>
              <w:right w:w="90" w:type="dxa"/>
            </w:tcMar>
          </w:tcPr>
          <w:p>
            <w:pPr>
              <w:spacing w:after="0"/>
            </w:pPr>
            <w:r>
              <w:rPr>
                <w:sz w:val="16"/>
              </w:rPr>
              <w:t>3200 W / 4700 W</w:t>
            </w:r>
          </w:p>
        </w:tc>
      </w:tr>
      <w:tr>
        <w:tc>
          <w:tcPr>
            <w:tcW w:type="dxa" w:w="4680"/>
            <w:vAlign w:val="center"/>
            <w:shd w:fill="F6F8FA"/>
            <w:tcMar>
              <w:top w:w="90" w:type="dxa"/>
              <w:left w:w="90" w:type="dxa"/>
              <w:bottom w:w="90" w:type="dxa"/>
              <w:right w:w="90" w:type="dxa"/>
            </w:tcMar>
          </w:tcPr>
          <w:p>
            <w:pPr>
              <w:spacing w:after="0"/>
            </w:pPr>
            <w:r>
              <w:rPr>
                <w:sz w:val="16"/>
              </w:rPr>
              <w:t>Storage</w:t>
            </w:r>
          </w:p>
        </w:tc>
        <w:tc>
          <w:tcPr>
            <w:tcW w:type="dxa" w:w="4680"/>
            <w:vAlign w:val="center"/>
            <w:shd w:fill="F6F8FA"/>
            <w:tcMar>
              <w:top w:w="90" w:type="dxa"/>
              <w:left w:w="90" w:type="dxa"/>
              <w:bottom w:w="90" w:type="dxa"/>
              <w:right w:w="90" w:type="dxa"/>
            </w:tcMar>
          </w:tcPr>
          <w:p>
            <w:pPr>
              <w:spacing w:after="0"/>
            </w:pPr>
            <w:r>
              <w:rPr>
                <w:sz w:val="16"/>
              </w:rPr>
              <w:t>256 GB usable</w:t>
            </w:r>
          </w:p>
        </w:tc>
      </w:tr>
      <w:tr>
        <w:tc>
          <w:tcPr>
            <w:tcW w:type="dxa" w:w="4680"/>
            <w:vAlign w:val="center"/>
            <w:tcMar>
              <w:top w:w="90" w:type="dxa"/>
              <w:left w:w="90" w:type="dxa"/>
              <w:bottom w:w="90" w:type="dxa"/>
              <w:right w:w="90" w:type="dxa"/>
            </w:tcMar>
          </w:tcPr>
          <w:p>
            <w:pPr>
              <w:spacing w:after="0"/>
            </w:pPr>
            <w:r>
              <w:rPr>
                <w:sz w:val="16"/>
              </w:rPr>
              <w:t>Autonomy</w:t>
            </w:r>
          </w:p>
        </w:tc>
        <w:tc>
          <w:tcPr>
            <w:tcW w:type="dxa" w:w="4680"/>
            <w:vAlign w:val="center"/>
            <w:tcMar>
              <w:top w:w="90" w:type="dxa"/>
              <w:left w:w="90" w:type="dxa"/>
              <w:bottom w:w="90" w:type="dxa"/>
              <w:right w:w="90" w:type="dxa"/>
            </w:tcMar>
          </w:tcPr>
          <w:p>
            <w:pPr>
              <w:spacing w:after="0"/>
            </w:pPr>
            <w:r>
              <w:rPr>
                <w:sz w:val="16"/>
              </w:rPr>
              <w:t>≥72 h safe configuration with applicable external power</w:t>
            </w:r>
          </w:p>
        </w:tc>
      </w:tr>
      <w:tr>
        <w:tc>
          <w:tcPr>
            <w:tcW w:type="dxa" w:w="4680"/>
            <w:vAlign w:val="center"/>
            <w:shd w:fill="F6F8FA"/>
            <w:tcMar>
              <w:top w:w="90" w:type="dxa"/>
              <w:left w:w="90" w:type="dxa"/>
              <w:bottom w:w="90" w:type="dxa"/>
              <w:right w:w="90" w:type="dxa"/>
            </w:tcMar>
          </w:tcPr>
          <w:p>
            <w:pPr>
              <w:spacing w:after="0"/>
            </w:pPr>
            <w:r>
              <w:rPr>
                <w:sz w:val="16"/>
              </w:rPr>
              <w:t>Maneuver / mobility</w:t>
            </w:r>
          </w:p>
        </w:tc>
        <w:tc>
          <w:tcPr>
            <w:tcW w:type="dxa" w:w="4680"/>
            <w:vAlign w:val="center"/>
            <w:shd w:fill="F6F8FA"/>
            <w:tcMar>
              <w:top w:w="90" w:type="dxa"/>
              <w:left w:w="90" w:type="dxa"/>
              <w:bottom w:w="90" w:type="dxa"/>
              <w:right w:w="90" w:type="dxa"/>
            </w:tcMar>
          </w:tcPr>
          <w:p>
            <w:pPr>
              <w:spacing w:after="0"/>
            </w:pPr>
            <w:r>
              <w:rPr>
                <w:sz w:val="16"/>
              </w:rPr>
              <w:t>≥1,850 m/s orbit raising and station keeping; 550 kg storable bipropellant at 320 s yields ~2,040 m/s ideal at 1,150 kg initial mass</w:t>
            </w:r>
          </w:p>
        </w:tc>
      </w:tr>
      <w:tr>
        <w:tc>
          <w:tcPr>
            <w:tcW w:type="dxa" w:w="4680"/>
            <w:vAlign w:val="center"/>
            <w:tcMar>
              <w:top w:w="90" w:type="dxa"/>
              <w:left w:w="90" w:type="dxa"/>
              <w:bottom w:w="90" w:type="dxa"/>
              <w:right w:w="90" w:type="dxa"/>
            </w:tcMar>
          </w:tcPr>
          <w:p>
            <w:pPr>
              <w:spacing w:after="0"/>
            </w:pPr>
            <w:r>
              <w:rPr>
                <w:sz w:val="16"/>
              </w:rPr>
              <w:t>Delivery</w:t>
            </w:r>
          </w:p>
        </w:tc>
        <w:tc>
          <w:tcPr>
            <w:tcW w:type="dxa" w:w="4680"/>
            <w:vAlign w:val="center"/>
            <w:tcMar>
              <w:top w:w="90" w:type="dxa"/>
              <w:left w:w="90" w:type="dxa"/>
              <w:bottom w:w="90" w:type="dxa"/>
              <w:right w:w="90" w:type="dxa"/>
            </w:tcMar>
          </w:tcPr>
          <w:p>
            <w:pPr>
              <w:spacing w:after="0"/>
            </w:pPr>
            <w:r>
              <w:rPr>
                <w:sz w:val="16"/>
              </w:rPr>
              <w:t>Three separate launches; each 1,150 kg spacecraft + 150 kg adaptor = 1,300 kg to GTO, with service capability ≥1,500 kg per launch</w:t>
            </w:r>
          </w:p>
        </w:tc>
      </w:tr>
      <w:tr>
        <w:tc>
          <w:tcPr>
            <w:tcW w:type="dxa" w:w="4680"/>
            <w:vAlign w:val="center"/>
            <w:shd w:fill="F6F8FA"/>
            <w:tcMar>
              <w:top w:w="90" w:type="dxa"/>
              <w:left w:w="90" w:type="dxa"/>
              <w:bottom w:w="90" w:type="dxa"/>
              <w:right w:w="90" w:type="dxa"/>
            </w:tcMar>
          </w:tcPr>
          <w:p>
            <w:pPr>
              <w:spacing w:after="0"/>
            </w:pPr>
            <w:r>
              <w:rPr>
                <w:sz w:val="16"/>
              </w:rPr>
              <w:t>Design life</w:t>
            </w:r>
          </w:p>
        </w:tc>
        <w:tc>
          <w:tcPr>
            <w:tcW w:type="dxa" w:w="4680"/>
            <w:vAlign w:val="center"/>
            <w:shd w:fill="F6F8FA"/>
            <w:tcMar>
              <w:top w:w="90" w:type="dxa"/>
              <w:left w:w="90" w:type="dxa"/>
              <w:bottom w:w="90" w:type="dxa"/>
              <w:right w:w="90" w:type="dxa"/>
            </w:tcMar>
          </w:tcPr>
          <w:p>
            <w:pPr>
              <w:spacing w:after="0"/>
            </w:pPr>
            <w:r>
              <w:rPr>
                <w:sz w:val="16"/>
              </w:rPr>
              <w:t>Seven years nominal service after six-month transfer and commissioning; ten-year design life.</w:t>
            </w:r>
          </w:p>
        </w:tc>
      </w:tr>
    </w:tbl>
    <w:p>
      <w:pPr>
        <w:pStyle w:val="Heading3"/>
      </w:pPr>
      <w:r>
        <w:t>Structural Subsystem</w:t>
      </w:r>
    </w:p>
    <w:p>
      <w:pPr/>
      <w:r>
        <w:t>The structural design is sized for 1150 kg delivery mass and the qualified interface loads. The launch or cargo provider controls final vibration, shock and handling cases; a 6 g axial and 2 g lateral quasi-static concept check is retained until that interface is defined. Enclosures, hinges, restraints and contained fluids receive separate local load paths.</w:t>
      </w:r>
    </w:p>
    <w:p>
      <w:pPr/>
      <w:r>
        <w:t>The configuration model records mass properties, lifting points, contamination boundaries, access envelopes and center of gravity before acceptance. Instrument alignment and enclosure sealing are measured before and after environmental testing. The project shall document whether the delivery carrier, lander or host provides final restraint hardware.</w:t>
      </w:r>
    </w:p>
    <w:p>
      <w:pPr>
        <w:pStyle w:val="Heading3"/>
      </w:pPr>
      <w:r>
        <w:t>Electrical Power Subsystem</w:t>
      </w:r>
    </w:p>
    <w:p>
      <w:pPr/>
      <w:r>
        <w:t>Nominal allocation: 5400 W generation or host provision, 3200 W operating demand, 4700 W short-duration peak. These values describe distinct operating cases. The system power margin is assessed at the worst insolation, eclipse or host-service case, not by comparing only nameplate generation and nominal demand.</w:t>
      </w:r>
    </w:p>
    <w:p>
      <w:pPr/>
      <w:r>
        <w:t>Power distribution uses protected 28 V or the host-qualified equivalent. Independent current telemetry and latching protection isolate a failed load. Battery or host reserve is sized from the longest commanded safe-mode, transfer, eclipse or night interval rather than from an arbitrary percentage of nominal energy.</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vAlign w:val="center"/>
            <w:shd w:fill="DDE6EF"/>
            <w:tcMar>
              <w:top w:w="90" w:type="dxa"/>
              <w:left w:w="90" w:type="dxa"/>
              <w:bottom w:w="90" w:type="dxa"/>
              <w:right w:w="90" w:type="dxa"/>
            </w:tcMar>
          </w:tcPr>
          <w:p>
            <w:pPr>
              <w:spacing w:after="0"/>
            </w:pPr>
            <w:r>
              <w:rPr>
                <w:b/>
                <w:sz w:val="16"/>
              </w:rPr>
              <w:t>Reference generation</w:t>
            </w:r>
          </w:p>
        </w:tc>
        <w:tc>
          <w:tcPr>
            <w:tcW w:type="dxa" w:w="3120"/>
            <w:vAlign w:val="center"/>
            <w:shd w:fill="DDE6EF"/>
            <w:tcMar>
              <w:top w:w="90" w:type="dxa"/>
              <w:left w:w="90" w:type="dxa"/>
              <w:bottom w:w="90" w:type="dxa"/>
              <w:right w:w="90" w:type="dxa"/>
            </w:tcMar>
          </w:tcPr>
          <w:p>
            <w:pPr>
              <w:spacing w:after="0"/>
            </w:pPr>
            <w:r>
              <w:rPr>
                <w:b/>
                <w:sz w:val="16"/>
              </w:rPr>
              <w:t>Distribution and storage</w:t>
            </w:r>
          </w:p>
        </w:tc>
        <w:tc>
          <w:tcPr>
            <w:tcW w:type="dxa" w:w="3120"/>
            <w:vAlign w:val="center"/>
            <w:shd w:fill="DDE6EF"/>
            <w:tcMar>
              <w:top w:w="90" w:type="dxa"/>
              <w:left w:w="90" w:type="dxa"/>
              <w:bottom w:w="90" w:type="dxa"/>
              <w:right w:w="90" w:type="dxa"/>
            </w:tcMar>
          </w:tcPr>
          <w:p>
            <w:pPr>
              <w:spacing w:after="0"/>
            </w:pPr>
            <w:r>
              <w:rPr>
                <w:b/>
                <w:sz w:val="16"/>
              </w:rPr>
              <w:t>Protected loads</w:t>
            </w:r>
          </w:p>
        </w:tc>
      </w:tr>
      <w:tr>
        <w:tc>
          <w:tcPr>
            <w:tcW w:type="dxa" w:w="3120"/>
            <w:vAlign w:val="center"/>
            <w:tcMar>
              <w:top w:w="90" w:type="dxa"/>
              <w:left w:w="90" w:type="dxa"/>
              <w:bottom w:w="90" w:type="dxa"/>
              <w:right w:w="90" w:type="dxa"/>
            </w:tcMar>
          </w:tcPr>
          <w:p>
            <w:pPr>
              <w:spacing w:after="0"/>
            </w:pPr>
            <w:r>
              <w:rPr>
                <w:sz w:val="16"/>
              </w:rPr>
              <w:t>5400 W baseline</w:t>
            </w:r>
          </w:p>
        </w:tc>
        <w:tc>
          <w:tcPr>
            <w:tcW w:type="dxa" w:w="3120"/>
            <w:vAlign w:val="center"/>
            <w:tcMar>
              <w:top w:w="90" w:type="dxa"/>
              <w:left w:w="90" w:type="dxa"/>
              <w:bottom w:w="90" w:type="dxa"/>
              <w:right w:w="90" w:type="dxa"/>
            </w:tcMar>
          </w:tcPr>
          <w:p>
            <w:pPr>
              <w:spacing w:after="0"/>
            </w:pPr>
            <w:r>
              <w:rPr>
                <w:sz w:val="16"/>
              </w:rPr>
              <w:t>Regulated bus, protected battery/host service</w:t>
            </w:r>
          </w:p>
        </w:tc>
        <w:tc>
          <w:tcPr>
            <w:tcW w:type="dxa" w:w="3120"/>
            <w:vAlign w:val="center"/>
            <w:tcMar>
              <w:top w:w="90" w:type="dxa"/>
              <w:left w:w="90" w:type="dxa"/>
              <w:bottom w:w="90" w:type="dxa"/>
              <w:right w:w="90" w:type="dxa"/>
            </w:tcMar>
          </w:tcPr>
          <w:p>
            <w:pPr>
              <w:spacing w:after="0"/>
            </w:pPr>
            <w:r>
              <w:rPr>
                <w:sz w:val="16"/>
              </w:rPr>
              <w:t>3200 W nominal / 4700 W peak</w:t>
            </w:r>
          </w:p>
        </w:tc>
      </w:tr>
    </w:tbl>
    <w:p>
      <w:pPr>
        <w:pStyle w:val="Heading3"/>
      </w:pPr>
      <w:r>
        <w:t>Command and Data Handling</w:t>
      </w:r>
    </w:p>
    <w:p>
      <w:pPr/>
      <w:r>
        <w:t>A redundant or monitored controller executes time-tagged operations, instrument interlocks, fault detection and protected storage. The local allocation is 256 GB usable. A storage analysis includes the worst observation burst, delayed contact, software overhead, file-system reserve and corrected-memory events.</w:t>
      </w:r>
    </w:p>
    <w:p>
      <w:pPr/>
      <w:r>
        <w:t>Every science record carries absolute time, equipment serial number, calibration-set ID, operating mode and validity flags. Loss of link initiates a controlled safe state that preserves source data and performs scheduled reacquisition. A corrupted parameter upload must not silently change instrument calibration or safety limits.</w:t>
      </w:r>
    </w:p>
    <w:p>
      <w:pPr/>
      <w:r>
        <w:t>Flight and process software controls the following functions:</w:t>
      </w:r>
    </w:p>
    <w:p>
      <w:pPr>
        <w:pStyle w:val="BodyText"/>
      </w:pPr>
      <w:r>
        <w:t>receive and execute authorized commands;</w:t>
      </w:r>
    </w:p>
    <w:p>
      <w:pPr>
        <w:pStyle w:val="BodyText"/>
      </w:pPr>
      <w:r>
        <w:t>collect health telemetry and time-correlated payload packets;</w:t>
      </w:r>
    </w:p>
    <w:p>
      <w:pPr>
        <w:pStyle w:val="BodyText"/>
      </w:pPr>
      <w:r>
        <w:t>manage 256 GB usable storage and priority records;</w:t>
      </w:r>
    </w:p>
    <w:p>
      <w:pPr>
        <w:pStyle w:val="BodyText"/>
      </w:pPr>
      <w:r>
        <w:t>switch to a safe mode after undervoltage, overtemperature or watchdog failure;</w:t>
      </w:r>
    </w:p>
    <w:p>
      <w:pPr>
        <w:pStyle w:val="BodyText"/>
      </w:pPr>
      <w:r>
        <w:t>retain the last accepted software and configuration baseline;</w:t>
      </w:r>
    </w:p>
    <w:p>
      <w:pPr>
        <w:pStyle w:val="BodyText"/>
      </w:pPr>
      <w:r>
        <w:t>reacquire the ground or host link after a missed contact; and</w:t>
      </w:r>
    </w:p>
    <w:p>
      <w:pPr>
        <w:pStyle w:val="BodyText"/>
      </w:pPr>
      <w:r>
        <w:t>report data quality and calibration status with each product.</w:t>
      </w:r>
    </w:p>
    <w:p>
      <w:pPr/>
      <w:r>
        <w:t>A mission-data model checks the 18 GB/day per spacecraft of encrypted network logs and housekeeping; user traffic is relayed rather than archived onboard planning case against memory capacity, contact availability and the required processing latency. Raw records are retained until integrity checks and ingest acknowledgement complete.</w:t>
      </w:r>
    </w:p>
    <w:p>
      <w:pPr>
        <w:pStyle w:val="Heading3"/>
      </w:pPr>
      <w:r>
        <w:t>Thermal Subsystem</w:t>
      </w:r>
    </w:p>
    <w:p>
      <w:pPr/>
      <w:r>
        <w:t>Geostationary eclipse hot/cold cases; payload electronics maintained 5–40 °C; 2.8 m² radiator area reference with payload heat rejection sized to ≥2.3 kW.</w:t>
      </w:r>
    </w:p>
    <w:p>
      <w:pPr/>
      <w:r>
        <w:t>The thermal design shall close with numerical hot and cold cases and shall separately report radiator, insulation, heater and sensor allocations. Instrument calibration is repeated across the qualified operating temperature range. Safe-mode heating and peak-mode waste heat are independently assessed.</w:t>
      </w:r>
    </w:p>
    <w:p>
      <w:pPr/>
      <w:r>
        <w:t>Thermal verification considers heat from 4700 W peak electrical input, the nominal 3200 W mode, external heat flux, enclosure conduction and the passive or active rejection path. The final instrument uncertainty budget includes temperature-driven bias and gradients.</w:t>
      </w:r>
    </w:p>
    <w:p>
      <w:pPr/>
      <w:r>
        <w:t>The thermal test programme shall establish:</w:t>
      </w:r>
    </w:p>
    <w:p>
      <w:pPr>
        <w:pStyle w:val="BodyText"/>
      </w:pPr>
      <w:r>
        <w:t>steady and transient operating limits of each component;</w:t>
      </w:r>
    </w:p>
    <w:p>
      <w:pPr>
        <w:pStyle w:val="BodyText"/>
      </w:pPr>
      <w:r>
        <w:t>heater and cooler demand in cold and hot cases;</w:t>
      </w:r>
    </w:p>
    <w:p>
      <w:pPr>
        <w:pStyle w:val="BodyText"/>
      </w:pPr>
      <w:r>
        <w:t>radiator or host heat-rejection sizing;</w:t>
      </w:r>
    </w:p>
    <w:p>
      <w:pPr>
        <w:pStyle w:val="BodyText"/>
      </w:pPr>
      <w:r>
        <w:t>calibration stability across the qualified temperature range; and</w:t>
      </w:r>
    </w:p>
    <w:p>
      <w:pPr>
        <w:pStyle w:val="BodyText"/>
      </w:pPr>
      <w:r>
        <w:t>safe survival during a commanded outage.</w:t>
      </w:r>
    </w:p>
    <w:p>
      <w:pPr>
        <w:pStyle w:val="Heading3"/>
      </w:pPr>
      <w:r>
        <w:t>Attitude Determination and Control Subsystem</w:t>
      </w:r>
    </w:p>
    <w:p>
      <w:pPr/>
      <w:r>
        <w:t>Dual star trackers, four reaction wheels, Sun sensors and thrusters; antenna boresight knowledge ≤0.05° (95th percentile); longitude and inclination each within ±0.10°.</w:t>
      </w:r>
    </w:p>
    <w:p>
      <w:pPr/>
      <w:r>
        <w:t>The reference control architecture separates safe/recovery, measurement, communications and maneuver or servicing modes. A commanded transition requires validated sensor state and resource availability. For hosted equipment, mechanical positioning takes the place of free-flight attitude determination, while retaining an equivalent repeatability verification requirement.</w:t>
      </w:r>
    </w:p>
    <w:p>
      <w:pPr/>
      <w:r>
        <w:t>The control design maintains a mode and pointing error budget. It distinguishes knowledge of where the instrument looked from closed-loop control accuracy, including disturbance rejection and post-facto reconstruction. Engineering tests separately verify sensor alignment, actuator range and degraded operations after a failed sensor or wheel.</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Control element A</w:t>
            </w:r>
          </w:p>
        </w:tc>
        <w:tc>
          <w:tcPr>
            <w:tcW w:type="dxa" w:w="4680"/>
            <w:vAlign w:val="center"/>
            <w:shd w:fill="DDE6EF"/>
            <w:tcMar>
              <w:top w:w="90" w:type="dxa"/>
              <w:left w:w="90" w:type="dxa"/>
              <w:bottom w:w="90" w:type="dxa"/>
              <w:right w:w="90" w:type="dxa"/>
            </w:tcMar>
          </w:tcPr>
          <w:p>
            <w:pPr>
              <w:spacing w:after="0"/>
            </w:pPr>
            <w:r>
              <w:rPr>
                <w:b/>
                <w:sz w:val="16"/>
              </w:rPr>
              <w:t>Control element B</w:t>
            </w:r>
          </w:p>
        </w:tc>
      </w:tr>
      <w:tr>
        <w:tc>
          <w:tcPr>
            <w:tcW w:type="dxa" w:w="4680"/>
            <w:vAlign w:val="center"/>
            <w:tcMar>
              <w:top w:w="90" w:type="dxa"/>
              <w:left w:w="90" w:type="dxa"/>
              <w:bottom w:w="90" w:type="dxa"/>
              <w:right w:w="90" w:type="dxa"/>
            </w:tcMar>
          </w:tcPr>
          <w:p>
            <w:pPr>
              <w:spacing w:after="0"/>
            </w:pPr>
            <w:r>
              <w:rPr>
                <w:sz w:val="16"/>
              </w:rPr>
              <w:t>Primary position/attitude reference</w:t>
            </w:r>
          </w:p>
        </w:tc>
        <w:tc>
          <w:tcPr>
            <w:tcW w:type="dxa" w:w="4680"/>
            <w:vAlign w:val="center"/>
            <w:tcMar>
              <w:top w:w="90" w:type="dxa"/>
              <w:left w:w="90" w:type="dxa"/>
              <w:bottom w:w="90" w:type="dxa"/>
              <w:right w:w="90" w:type="dxa"/>
            </w:tcMar>
          </w:tcPr>
          <w:p>
            <w:pPr>
              <w:spacing w:after="0"/>
            </w:pPr>
            <w:r>
              <w:rPr>
                <w:sz w:val="16"/>
              </w:rPr>
              <w:t>Independent cross-check and health monitor</w:t>
            </w:r>
          </w:p>
        </w:tc>
      </w:tr>
      <w:tr>
        <w:tc>
          <w:tcPr>
            <w:tcW w:type="dxa" w:w="4680"/>
            <w:vAlign w:val="center"/>
            <w:shd w:fill="F6F8FA"/>
            <w:tcMar>
              <w:top w:w="90" w:type="dxa"/>
              <w:left w:w="90" w:type="dxa"/>
              <w:bottom w:w="90" w:type="dxa"/>
              <w:right w:w="90" w:type="dxa"/>
            </w:tcMar>
          </w:tcPr>
          <w:p>
            <w:pPr>
              <w:spacing w:after="0"/>
            </w:pPr>
            <w:r>
              <w:rPr>
                <w:sz w:val="16"/>
              </w:rPr>
              <w:t>Science or process pointing</w:t>
            </w:r>
          </w:p>
        </w:tc>
        <w:tc>
          <w:tcPr>
            <w:tcW w:type="dxa" w:w="4680"/>
            <w:vAlign w:val="center"/>
            <w:shd w:fill="F6F8FA"/>
            <w:tcMar>
              <w:top w:w="90" w:type="dxa"/>
              <w:left w:w="90" w:type="dxa"/>
              <w:bottom w:w="90" w:type="dxa"/>
              <w:right w:w="90" w:type="dxa"/>
            </w:tcMar>
          </w:tcPr>
          <w:p>
            <w:pPr>
              <w:spacing w:after="0"/>
            </w:pPr>
            <w:r>
              <w:rPr>
                <w:sz w:val="16"/>
              </w:rPr>
              <w:t>Safe-mode or host restraint</w:t>
            </w:r>
          </w:p>
        </w:tc>
      </w:tr>
      <w:tr>
        <w:tc>
          <w:tcPr>
            <w:tcW w:type="dxa" w:w="4680"/>
            <w:vAlign w:val="center"/>
            <w:tcMar>
              <w:top w:w="90" w:type="dxa"/>
              <w:left w:w="90" w:type="dxa"/>
              <w:bottom w:w="90" w:type="dxa"/>
              <w:right w:w="90" w:type="dxa"/>
            </w:tcMar>
          </w:tcPr>
          <w:p>
            <w:pPr>
              <w:spacing w:after="0"/>
            </w:pPr>
            <w:r>
              <w:rPr>
                <w:sz w:val="16"/>
              </w:rPr>
              <w:t>Actuator / positioning hardware</w:t>
            </w:r>
          </w:p>
        </w:tc>
        <w:tc>
          <w:tcPr>
            <w:tcW w:type="dxa" w:w="4680"/>
            <w:vAlign w:val="center"/>
            <w:tcMar>
              <w:top w:w="90" w:type="dxa"/>
              <w:left w:w="90" w:type="dxa"/>
              <w:bottom w:w="90" w:type="dxa"/>
              <w:right w:w="90" w:type="dxa"/>
            </w:tcMar>
          </w:tcPr>
          <w:p>
            <w:pPr>
              <w:spacing w:after="0"/>
            </w:pPr>
            <w:r>
              <w:rPr>
                <w:sz w:val="16"/>
              </w:rPr>
              <w:t>Feedback telemetry</w:t>
            </w:r>
          </w:p>
        </w:tc>
      </w:tr>
      <w:tr>
        <w:tc>
          <w:tcPr>
            <w:tcW w:type="dxa" w:w="4680"/>
            <w:vAlign w:val="center"/>
            <w:shd w:fill="F6F8FA"/>
            <w:tcMar>
              <w:top w:w="90" w:type="dxa"/>
              <w:left w:w="90" w:type="dxa"/>
              <w:bottom w:w="90" w:type="dxa"/>
              <w:right w:w="90" w:type="dxa"/>
            </w:tcMar>
          </w:tcPr>
          <w:p>
            <w:pPr>
              <w:spacing w:after="0"/>
            </w:pPr>
            <w:r>
              <w:rPr>
                <w:sz w:val="16"/>
              </w:rPr>
              <w:t>Alignment calibration</w:t>
            </w:r>
          </w:p>
        </w:tc>
        <w:tc>
          <w:tcPr>
            <w:tcW w:type="dxa" w:w="4680"/>
            <w:vAlign w:val="center"/>
            <w:shd w:fill="F6F8FA"/>
            <w:tcMar>
              <w:top w:w="90" w:type="dxa"/>
              <w:left w:w="90" w:type="dxa"/>
              <w:bottom w:w="90" w:type="dxa"/>
              <w:right w:w="90" w:type="dxa"/>
            </w:tcMar>
          </w:tcPr>
          <w:p>
            <w:pPr>
              <w:spacing w:after="0"/>
            </w:pPr>
            <w:r>
              <w:rPr>
                <w:sz w:val="16"/>
              </w:rPr>
              <w:t>Post-test acceptance evidence</w:t>
            </w:r>
          </w:p>
        </w:tc>
      </w:tr>
    </w:tbl>
    <w:p>
      <w:pPr>
        <w:pStyle w:val="Heading3"/>
      </w:pPr>
      <w:r>
        <w:t>Propulsion Subsystem</w:t>
      </w:r>
    </w:p>
    <w:p>
      <w:pPr/>
      <w:r>
        <w:t>550 kg storable bipropellant at 320 s effective Isp provides ~2,040 m/s ideal Δv; 1,850 m/s allocation leaves ~190 m/s before performance and residual allowances.</w:t>
      </w:r>
    </w:p>
    <w:p>
      <w:pPr/>
      <w:r>
        <w:t>Any maneuver, descent or mobility not carried by the delivered unit is assigned explicitly to the launch or cargo provider. If propulsion is installed, the flight reserve includes residuals, thrust and specific-impulse dispersion, navigation error and unusable propellant. No requirement is treated as closed by nominal rocket-equation capability alone.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vAlign w:val="center"/>
            <w:shd w:fill="DDE6EF"/>
            <w:tcMar>
              <w:top w:w="90" w:type="dxa"/>
              <w:left w:w="90" w:type="dxa"/>
              <w:bottom w:w="90" w:type="dxa"/>
              <w:right w:w="90" w:type="dxa"/>
            </w:tcMar>
          </w:tcPr>
          <w:p>
            <w:pPr>
              <w:spacing w:after="0"/>
            </w:pPr>
            <w:r>
              <w:rPr>
                <w:b/>
                <w:sz w:val="16"/>
              </w:rPr>
              <w:t>Parameter</w:t>
            </w:r>
          </w:p>
        </w:tc>
        <w:tc>
          <w:tcPr>
            <w:tcW w:type="dxa" w:w="3120"/>
            <w:vAlign w:val="center"/>
            <w:shd w:fill="DDE6EF"/>
            <w:tcMar>
              <w:top w:w="90" w:type="dxa"/>
              <w:left w:w="90" w:type="dxa"/>
              <w:bottom w:w="90" w:type="dxa"/>
              <w:right w:w="90" w:type="dxa"/>
            </w:tcMar>
          </w:tcPr>
          <w:p>
            <w:pPr>
              <w:spacing w:after="0"/>
            </w:pPr>
            <w:r>
              <w:rPr>
                <w:b/>
                <w:sz w:val="16"/>
              </w:rPr>
              <w:t>Reference value</w:t>
            </w:r>
          </w:p>
        </w:tc>
        <w:tc>
          <w:tcPr>
            <w:tcW w:type="dxa" w:w="3120"/>
            <w:vAlign w:val="center"/>
            <w:shd w:fill="DDE6EF"/>
            <w:tcMar>
              <w:top w:w="90" w:type="dxa"/>
              <w:left w:w="90" w:type="dxa"/>
              <w:bottom w:w="90" w:type="dxa"/>
              <w:right w:w="90" w:type="dxa"/>
            </w:tcMar>
          </w:tcPr>
          <w:p>
            <w:pPr>
              <w:spacing w:after="0"/>
            </w:pPr>
            <w:r>
              <w:rPr>
                <w:b/>
                <w:sz w:val="16"/>
              </w:rPr>
              <w:t>Units</w:t>
            </w:r>
          </w:p>
        </w:tc>
      </w:tr>
      <w:tr>
        <w:tc>
          <w:tcPr>
            <w:tcW w:type="dxa" w:w="3120"/>
            <w:vAlign w:val="center"/>
            <w:tcMar>
              <w:top w:w="90" w:type="dxa"/>
              <w:left w:w="90" w:type="dxa"/>
              <w:bottom w:w="90" w:type="dxa"/>
              <w:right w:w="90" w:type="dxa"/>
            </w:tcMar>
          </w:tcPr>
          <w:p>
            <w:pPr>
              <w:spacing w:after="0"/>
            </w:pPr>
            <w:r>
              <w:rPr>
                <w:sz w:val="16"/>
              </w:rPr>
              <w:t>Propulsion type</w:t>
            </w:r>
          </w:p>
        </w:tc>
        <w:tc>
          <w:tcPr>
            <w:tcW w:type="dxa" w:w="3120"/>
            <w:vAlign w:val="center"/>
            <w:tcMar>
              <w:top w:w="90" w:type="dxa"/>
              <w:left w:w="90" w:type="dxa"/>
              <w:bottom w:w="90" w:type="dxa"/>
              <w:right w:w="90" w:type="dxa"/>
            </w:tcMar>
          </w:tcPr>
          <w:p>
            <w:pPr>
              <w:spacing w:after="0"/>
            </w:pPr>
            <w:r>
              <w:rPr>
                <w:sz w:val="16"/>
              </w:rPr>
              <w:t>Installed or external; see baseline</w:t>
            </w:r>
          </w:p>
        </w:tc>
        <w:tc>
          <w:tcPr>
            <w:tcW w:type="dxa" w:w="3120"/>
            <w:vAlign w:val="center"/>
            <w:tcMar>
              <w:top w:w="90" w:type="dxa"/>
              <w:left w:w="90" w:type="dxa"/>
              <w:bottom w:w="90" w:type="dxa"/>
              <w:right w:w="90" w:type="dxa"/>
            </w:tcMar>
          </w:tcPr>
          <w:p>
            <w:pPr>
              <w:spacing w:after="0"/>
            </w:pPr>
            <w:r>
              <w:rPr>
                <w:sz w:val="16"/>
              </w:rPr>
              <w:t>—</w:t>
            </w:r>
          </w:p>
        </w:tc>
      </w:tr>
      <w:tr>
        <w:tc>
          <w:tcPr>
            <w:tcW w:type="dxa" w:w="3120"/>
            <w:vAlign w:val="center"/>
            <w:shd w:fill="F6F8FA"/>
            <w:tcMar>
              <w:top w:w="90" w:type="dxa"/>
              <w:left w:w="90" w:type="dxa"/>
              <w:bottom w:w="90" w:type="dxa"/>
              <w:right w:w="90" w:type="dxa"/>
            </w:tcMar>
          </w:tcPr>
          <w:p>
            <w:pPr>
              <w:spacing w:after="0"/>
            </w:pPr>
            <w:r>
              <w:rPr>
                <w:sz w:val="16"/>
              </w:rPr>
              <w:t>Initial unit mass</w:t>
            </w:r>
          </w:p>
        </w:tc>
        <w:tc>
          <w:tcPr>
            <w:tcW w:type="dxa" w:w="3120"/>
            <w:vAlign w:val="center"/>
            <w:shd w:fill="F6F8FA"/>
            <w:tcMar>
              <w:top w:w="90" w:type="dxa"/>
              <w:left w:w="90" w:type="dxa"/>
              <w:bottom w:w="90" w:type="dxa"/>
              <w:right w:w="90" w:type="dxa"/>
            </w:tcMar>
          </w:tcPr>
          <w:p>
            <w:pPr>
              <w:spacing w:after="0"/>
            </w:pPr>
            <w:r>
              <w:rPr>
                <w:sz w:val="16"/>
              </w:rPr>
              <w:t>1150</w:t>
            </w:r>
          </w:p>
        </w:tc>
        <w:tc>
          <w:tcPr>
            <w:tcW w:type="dxa" w:w="3120"/>
            <w:vAlign w:val="center"/>
            <w:shd w:fill="F6F8FA"/>
            <w:tcMar>
              <w:top w:w="90" w:type="dxa"/>
              <w:left w:w="90" w:type="dxa"/>
              <w:bottom w:w="90" w:type="dxa"/>
              <w:right w:w="90" w:type="dxa"/>
            </w:tcMar>
          </w:tcPr>
          <w:p>
            <w:pPr>
              <w:spacing w:after="0"/>
            </w:pPr>
            <w:r>
              <w:rPr>
                <w:sz w:val="16"/>
              </w:rPr>
              <w:t>kg</w:t>
            </w:r>
          </w:p>
        </w:tc>
      </w:tr>
      <w:tr>
        <w:tc>
          <w:tcPr>
            <w:tcW w:type="dxa" w:w="3120"/>
            <w:vAlign w:val="center"/>
            <w:tcMar>
              <w:top w:w="90" w:type="dxa"/>
              <w:left w:w="90" w:type="dxa"/>
              <w:bottom w:w="90" w:type="dxa"/>
              <w:right w:w="90" w:type="dxa"/>
            </w:tcMar>
          </w:tcPr>
          <w:p>
            <w:pPr>
              <w:spacing w:after="0"/>
            </w:pPr>
            <w:r>
              <w:rPr>
                <w:sz w:val="16"/>
              </w:rPr>
              <w:t>Reference performance</w:t>
            </w:r>
          </w:p>
        </w:tc>
        <w:tc>
          <w:tcPr>
            <w:tcW w:type="dxa" w:w="3120"/>
            <w:vAlign w:val="center"/>
            <w:tcMar>
              <w:top w:w="90" w:type="dxa"/>
              <w:left w:w="90" w:type="dxa"/>
              <w:bottom w:w="90" w:type="dxa"/>
              <w:right w:w="90" w:type="dxa"/>
            </w:tcMar>
          </w:tcPr>
          <w:p>
            <w:pPr>
              <w:spacing w:after="0"/>
            </w:pPr>
            <w:r>
              <w:rPr>
                <w:sz w:val="16"/>
              </w:rPr>
              <w:t>≥1,850 m/s orbit raising and station keeping; 550 kg storable bipropellant at 320 s yields ~2,040 m/s ideal at 1,150 kg initial mass</w:t>
            </w:r>
          </w:p>
        </w:tc>
        <w:tc>
          <w:tcPr>
            <w:tcW w:type="dxa" w:w="3120"/>
            <w:vAlign w:val="center"/>
            <w:tcMar>
              <w:top w:w="90" w:type="dxa"/>
              <w:left w:w="90" w:type="dxa"/>
              <w:bottom w:w="90" w:type="dxa"/>
              <w:right w:w="90" w:type="dxa"/>
            </w:tcMar>
          </w:tcPr>
          <w:p>
            <w:pPr>
              <w:spacing w:after="0"/>
            </w:pPr>
            <w:r>
              <w:rPr>
                <w:sz w:val="16"/>
              </w:rPr>
              <w:t>m/s or N/A</w:t>
            </w:r>
          </w:p>
        </w:tc>
      </w:tr>
      <w:tr>
        <w:tc>
          <w:tcPr>
            <w:tcW w:type="dxa" w:w="3120"/>
            <w:vAlign w:val="center"/>
            <w:shd w:fill="F6F8FA"/>
            <w:tcMar>
              <w:top w:w="90" w:type="dxa"/>
              <w:left w:w="90" w:type="dxa"/>
              <w:bottom w:w="90" w:type="dxa"/>
              <w:right w:w="90" w:type="dxa"/>
            </w:tcMar>
          </w:tcPr>
          <w:p>
            <w:pPr>
              <w:spacing w:after="0"/>
            </w:pPr>
            <w:r>
              <w:rPr>
                <w:sz w:val="16"/>
              </w:rPr>
              <w:t>Fuel / propellant allocation</w:t>
            </w:r>
          </w:p>
        </w:tc>
        <w:tc>
          <w:tcPr>
            <w:tcW w:type="dxa" w:w="3120"/>
            <w:vAlign w:val="center"/>
            <w:shd w:fill="F6F8FA"/>
            <w:tcMar>
              <w:top w:w="90" w:type="dxa"/>
              <w:left w:w="90" w:type="dxa"/>
              <w:bottom w:w="90" w:type="dxa"/>
              <w:right w:w="90" w:type="dxa"/>
            </w:tcMar>
          </w:tcPr>
          <w:p>
            <w:pPr>
              <w:spacing w:after="0"/>
            </w:pPr>
            <w:r>
              <w:rPr>
                <w:sz w:val="16"/>
              </w:rPr>
              <w:t>550 kg storable bipropellant at 320 s effective Isp provides ~2,040 m/s ideal Δv</w:t>
            </w:r>
          </w:p>
        </w:tc>
        <w:tc>
          <w:tcPr>
            <w:tcW w:type="dxa" w:w="3120"/>
            <w:vAlign w:val="center"/>
            <w:shd w:fill="F6F8FA"/>
            <w:tcMar>
              <w:top w:w="90" w:type="dxa"/>
              <w:left w:w="90" w:type="dxa"/>
              <w:bottom w:w="90" w:type="dxa"/>
              <w:right w:w="90" w:type="dxa"/>
            </w:tcMar>
          </w:tcPr>
          <w:p>
            <w:pPr>
              <w:spacing w:after="0"/>
            </w:pPr>
            <w:r>
              <w:rPr>
                <w:sz w:val="16"/>
              </w:rPr>
              <w:t>kg / description</w:t>
            </w:r>
          </w:p>
        </w:tc>
      </w:tr>
      <w:tr>
        <w:tc>
          <w:tcPr>
            <w:tcW w:type="dxa" w:w="3120"/>
            <w:vAlign w:val="center"/>
            <w:tcMar>
              <w:top w:w="90" w:type="dxa"/>
              <w:left w:w="90" w:type="dxa"/>
              <w:bottom w:w="90" w:type="dxa"/>
              <w:right w:w="90" w:type="dxa"/>
            </w:tcMar>
          </w:tcPr>
          <w:p>
            <w:pPr>
              <w:spacing w:after="0"/>
            </w:pPr>
            <w:r>
              <w:rPr>
                <w:sz w:val="16"/>
              </w:rPr>
              <w:t>Performance reserve</w:t>
            </w:r>
          </w:p>
        </w:tc>
        <w:tc>
          <w:tcPr>
            <w:tcW w:type="dxa" w:w="3120"/>
            <w:vAlign w:val="center"/>
            <w:tcMar>
              <w:top w:w="90" w:type="dxa"/>
              <w:left w:w="90" w:type="dxa"/>
              <w:bottom w:w="90" w:type="dxa"/>
              <w:right w:w="90" w:type="dxa"/>
            </w:tcMar>
          </w:tcPr>
          <w:p>
            <w:pPr>
              <w:spacing w:after="0"/>
            </w:pPr>
            <w:r>
              <w:rPr>
                <w:sz w:val="16"/>
              </w:rPr>
              <w:t>Verify at PDR</w:t>
            </w:r>
          </w:p>
        </w:tc>
        <w:tc>
          <w:tcPr>
            <w:tcW w:type="dxa" w:w="3120"/>
            <w:vAlign w:val="center"/>
            <w:tcMar>
              <w:top w:w="90" w:type="dxa"/>
              <w:left w:w="90" w:type="dxa"/>
              <w:bottom w:w="90" w:type="dxa"/>
              <w:right w:w="90" w:type="dxa"/>
            </w:tcMar>
          </w:tcPr>
          <w:p>
            <w:pPr>
              <w:spacing w:after="0"/>
            </w:pPr>
            <w:r>
              <w:rPr>
                <w:sz w:val="16"/>
              </w:rPr>
              <w:t>m/s</w:t>
            </w:r>
          </w:p>
        </w:tc>
      </w:tr>
      <w:tr>
        <w:tc>
          <w:tcPr>
            <w:tcW w:type="dxa" w:w="3120"/>
            <w:vAlign w:val="center"/>
            <w:shd w:fill="F6F8FA"/>
            <w:tcMar>
              <w:top w:w="90" w:type="dxa"/>
              <w:left w:w="90" w:type="dxa"/>
              <w:bottom w:w="90" w:type="dxa"/>
              <w:right w:w="90" w:type="dxa"/>
            </w:tcMar>
          </w:tcPr>
          <w:p>
            <w:pPr>
              <w:spacing w:after="0"/>
            </w:pPr>
            <w:r>
              <w:rPr>
                <w:sz w:val="16"/>
              </w:rPr>
              <w:t>Residual accounting</w:t>
            </w:r>
          </w:p>
        </w:tc>
        <w:tc>
          <w:tcPr>
            <w:tcW w:type="dxa" w:w="3120"/>
            <w:vAlign w:val="center"/>
            <w:shd w:fill="F6F8FA"/>
            <w:tcMar>
              <w:top w:w="90" w:type="dxa"/>
              <w:left w:w="90" w:type="dxa"/>
              <w:bottom w:w="90" w:type="dxa"/>
              <w:right w:w="90" w:type="dxa"/>
            </w:tcMar>
          </w:tcPr>
          <w:p>
            <w:pPr>
              <w:spacing w:after="0"/>
            </w:pPr>
            <w:r>
              <w:rPr>
                <w:sz w:val="16"/>
              </w:rPr>
              <w:t>Required in final mass budget</w:t>
            </w:r>
          </w:p>
        </w:tc>
        <w:tc>
          <w:tcPr>
            <w:tcW w:type="dxa" w:w="3120"/>
            <w:vAlign w:val="center"/>
            <w:shd w:fill="F6F8FA"/>
            <w:tcMar>
              <w:top w:w="90" w:type="dxa"/>
              <w:left w:w="90" w:type="dxa"/>
              <w:bottom w:w="90" w:type="dxa"/>
              <w:right w:w="90" w:type="dxa"/>
            </w:tcMar>
          </w:tcPr>
          <w:p>
            <w:pPr>
              <w:spacing w:after="0"/>
            </w:pPr>
            <w:r>
              <w:rPr>
                <w:sz w:val="16"/>
              </w:rPr>
              <w:t>kg</w:t>
            </w:r>
          </w:p>
        </w:tc>
      </w:tr>
    </w:tbl>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Maneuver / mobility element</w:t>
            </w:r>
          </w:p>
        </w:tc>
        <w:tc>
          <w:tcPr>
            <w:tcW w:type="dxa" w:w="4680"/>
            <w:vAlign w:val="center"/>
            <w:shd w:fill="DDE6EF"/>
            <w:tcMar>
              <w:top w:w="90" w:type="dxa"/>
              <w:left w:w="90" w:type="dxa"/>
              <w:bottom w:w="90" w:type="dxa"/>
              <w:right w:w="90" w:type="dxa"/>
            </w:tcMar>
          </w:tcPr>
          <w:p>
            <w:pPr>
              <w:spacing w:after="0"/>
            </w:pPr>
            <w:r>
              <w:rPr>
                <w:b/>
                <w:sz w:val="16"/>
              </w:rPr>
              <w:t>Allocation / assumption</w:t>
            </w:r>
          </w:p>
        </w:tc>
      </w:tr>
      <w:tr>
        <w:tc>
          <w:tcPr>
            <w:tcW w:type="dxa" w:w="4680"/>
            <w:vAlign w:val="center"/>
            <w:tcMar>
              <w:top w:w="90" w:type="dxa"/>
              <w:left w:w="90" w:type="dxa"/>
              <w:bottom w:w="90" w:type="dxa"/>
              <w:right w:w="90" w:type="dxa"/>
            </w:tcMar>
          </w:tcPr>
          <w:p>
            <w:pPr>
              <w:spacing w:after="0"/>
            </w:pPr>
            <w:r>
              <w:rPr>
                <w:sz w:val="16"/>
              </w:rPr>
              <w:t>Initial injection or landing</w:t>
            </w:r>
          </w:p>
        </w:tc>
        <w:tc>
          <w:tcPr>
            <w:tcW w:type="dxa" w:w="4680"/>
            <w:vAlign w:val="center"/>
            <w:tcMar>
              <w:top w:w="90" w:type="dxa"/>
              <w:left w:w="90" w:type="dxa"/>
              <w:bottom w:w="90" w:type="dxa"/>
              <w:right w:w="90" w:type="dxa"/>
            </w:tcMar>
          </w:tcPr>
          <w:p>
            <w:pPr>
              <w:spacing w:after="0"/>
            </w:pPr>
            <w:r>
              <w:rPr>
                <w:sz w:val="16"/>
              </w:rPr>
              <w:t>Included in contracted service unless stated otherwise</w:t>
            </w:r>
          </w:p>
        </w:tc>
      </w:tr>
      <w:tr>
        <w:tc>
          <w:tcPr>
            <w:tcW w:type="dxa" w:w="4680"/>
            <w:vAlign w:val="center"/>
            <w:shd w:fill="F6F8FA"/>
            <w:tcMar>
              <w:top w:w="90" w:type="dxa"/>
              <w:left w:w="90" w:type="dxa"/>
              <w:bottom w:w="90" w:type="dxa"/>
              <w:right w:w="90" w:type="dxa"/>
            </w:tcMar>
          </w:tcPr>
          <w:p>
            <w:pPr>
              <w:spacing w:after="0"/>
            </w:pPr>
            <w:r>
              <w:rPr>
                <w:sz w:val="16"/>
              </w:rPr>
              <w:t>Operational maintenance</w:t>
            </w:r>
          </w:p>
        </w:tc>
        <w:tc>
          <w:tcPr>
            <w:tcW w:type="dxa" w:w="4680"/>
            <w:vAlign w:val="center"/>
            <w:shd w:fill="F6F8FA"/>
            <w:tcMar>
              <w:top w:w="90" w:type="dxa"/>
              <w:left w:w="90" w:type="dxa"/>
              <w:bottom w:w="90" w:type="dxa"/>
              <w:right w:w="90" w:type="dxa"/>
            </w:tcMar>
          </w:tcPr>
          <w:p>
            <w:pPr>
              <w:spacing w:after="0"/>
            </w:pPr>
            <w:r>
              <w:rPr>
                <w:sz w:val="16"/>
              </w:rPr>
              <w:t>GTO-to-geostationary transfer followed by seven-year longitude/inclination control; three slots separated by about 120°.</w:t>
            </w:r>
          </w:p>
        </w:tc>
      </w:tr>
      <w:tr>
        <w:tc>
          <w:tcPr>
            <w:tcW w:type="dxa" w:w="4680"/>
            <w:vAlign w:val="center"/>
            <w:tcMar>
              <w:top w:w="90" w:type="dxa"/>
              <w:left w:w="90" w:type="dxa"/>
              <w:bottom w:w="90" w:type="dxa"/>
              <w:right w:w="90" w:type="dxa"/>
            </w:tcMar>
          </w:tcPr>
          <w:p>
            <w:pPr>
              <w:spacing w:after="0"/>
            </w:pPr>
            <w:r>
              <w:rPr>
                <w:sz w:val="16"/>
              </w:rPr>
              <w:t>Navigation and correction</w:t>
            </w:r>
          </w:p>
        </w:tc>
        <w:tc>
          <w:tcPr>
            <w:tcW w:type="dxa" w:w="4680"/>
            <w:vAlign w:val="center"/>
            <w:tcMar>
              <w:top w:w="90" w:type="dxa"/>
              <w:left w:w="90" w:type="dxa"/>
              <w:bottom w:w="90" w:type="dxa"/>
              <w:right w:w="90" w:type="dxa"/>
            </w:tcMar>
          </w:tcPr>
          <w:p>
            <w:pPr>
              <w:spacing w:after="0"/>
            </w:pPr>
            <w:r>
              <w:rPr>
                <w:sz w:val="16"/>
              </w:rPr>
              <w:t>≥1,850 m/s orbit raising and station keeping; 550 kg storable bipropellant at 320 s yields ~2,040 m/s ideal at 1,150 kg initial mass</w:t>
            </w:r>
          </w:p>
        </w:tc>
      </w:tr>
      <w:tr>
        <w:tc>
          <w:tcPr>
            <w:tcW w:type="dxa" w:w="4680"/>
            <w:vAlign w:val="center"/>
            <w:shd w:fill="F6F8FA"/>
            <w:tcMar>
              <w:top w:w="90" w:type="dxa"/>
              <w:left w:w="90" w:type="dxa"/>
              <w:bottom w:w="90" w:type="dxa"/>
              <w:right w:w="90" w:type="dxa"/>
            </w:tcMar>
          </w:tcPr>
          <w:p>
            <w:pPr>
              <w:spacing w:after="0"/>
            </w:pPr>
            <w:r>
              <w:rPr>
                <w:sz w:val="16"/>
              </w:rPr>
              <w:t>Contingency and residuals</w:t>
            </w:r>
          </w:p>
        </w:tc>
        <w:tc>
          <w:tcPr>
            <w:tcW w:type="dxa" w:w="4680"/>
            <w:vAlign w:val="center"/>
            <w:shd w:fill="F6F8FA"/>
            <w:tcMar>
              <w:top w:w="90" w:type="dxa"/>
              <w:left w:w="90" w:type="dxa"/>
              <w:bottom w:w="90" w:type="dxa"/>
              <w:right w:w="90" w:type="dxa"/>
            </w:tcMar>
          </w:tcPr>
          <w:p>
            <w:pPr>
              <w:spacing w:after="0"/>
            </w:pPr>
            <w:r>
              <w:rPr>
                <w:sz w:val="16"/>
              </w:rPr>
              <w:t>Explicit reserve controlled in Part B / Part C</w:t>
            </w:r>
          </w:p>
        </w:tc>
      </w:tr>
      <w:tr>
        <w:tc>
          <w:tcPr>
            <w:tcW w:type="dxa" w:w="4680"/>
            <w:vAlign w:val="center"/>
            <w:tcMar>
              <w:top w:w="90" w:type="dxa"/>
              <w:left w:w="90" w:type="dxa"/>
              <w:bottom w:w="90" w:type="dxa"/>
              <w:right w:w="90" w:type="dxa"/>
            </w:tcMar>
          </w:tcPr>
          <w:p>
            <w:pPr>
              <w:spacing w:after="0"/>
            </w:pPr>
            <w:r>
              <w:rPr>
                <w:sz w:val="16"/>
              </w:rPr>
              <w:t>Total capability</w:t>
            </w:r>
          </w:p>
        </w:tc>
        <w:tc>
          <w:tcPr>
            <w:tcW w:type="dxa" w:w="4680"/>
            <w:vAlign w:val="center"/>
            <w:tcMar>
              <w:top w:w="90" w:type="dxa"/>
              <w:left w:w="90" w:type="dxa"/>
              <w:bottom w:w="90" w:type="dxa"/>
              <w:right w:w="90" w:type="dxa"/>
            </w:tcMar>
          </w:tcPr>
          <w:p>
            <w:pPr>
              <w:spacing w:after="0"/>
            </w:pPr>
            <w:r>
              <w:rPr>
                <w:sz w:val="16"/>
              </w:rPr>
              <w:t>Reconcile with 550 kg storable bipropellant at 320 s effective Isp provides ~2,040 m/s ideal Δv; 1,850 m/s all</w:t>
            </w:r>
          </w:p>
        </w:tc>
      </w:tr>
    </w:tbl>
    <w:p>
      <w:pPr>
        <w:pStyle w:val="Heading3"/>
      </w:pPr>
      <w:r>
        <w:t>Telemetry, Tracking and Command</w:t>
      </w:r>
    </w:p>
    <w:p>
      <w:pPr/>
      <w:r>
        <w:t>Each of eight beams carries 125 MHz × 2.0 net bit/s/Hz = 250 Mb/s; eight beams yield 2.0 Gb/s usable per spacecraft after coding allocation. Gateway capacity is separately sized.</w:t>
      </w:r>
    </w:p>
    <w:p>
      <w:pPr/>
      <w:r>
        <w:t>The final link assessment shall include transmitter power, antenna gain or host data-service rate, geometry, coding, weather where relevant and a minimum allocated margin. Distinguish command/control packets, health telemetry, raw measurements and user or science products. A link outage analysis is required before ground-service capacity is baselined.</w:t>
      </w:r>
    </w:p>
    <w:p>
      <w:pPr/>
      <w:r>
        <w:t>The communications baseline includes Ka-class user links with eight 125 MHz beams at 250 Mb/s usable throughput each; 20/30 GHz class reference frequencies subject to assignment. The contact budget carries acquisition, engineering telemetry, protocol framing, retransmission and unavailable weather or host periods. The sizing check compares usable transferred bytes per contact with 18 GB/day per spacecraft of encrypted network logs and housekeeping; user traffic is relayed rather than archived onboard and any higher burst case.</w:t>
      </w:r>
    </w:p>
    <w:p>
      <w:pPr/>
      <w:r>
        <w:t>A separate low-rate command path or host maintenance interface shall support diagnosis after the prime mission-data path becomes unavailable. No unauthenticated measurement data can alter safety-critical command parameters.</w:t>
      </w:r>
    </w:p>
    <w:p>
      <w:pPr>
        <w:pStyle w:val="Heading2"/>
      </w:pPr>
      <w:r>
        <w:t>Payload</w:t>
      </w:r>
    </w:p>
    <w:p>
      <w:pPr/>
      <w:r>
        <w:t>The payload or process equipment is divided into protected digital communications payload, steerable multi-beam antenna assembly and cryptographic command boundary. Each element has a separate delivered mass, operating load, mode list, failure assessment and calibration requirement.</w:t>
      </w:r>
    </w:p>
    <w:p>
      <w:pPr>
        <w:pStyle w:val="Heading3"/>
      </w:pPr>
      <w:r>
        <w:t>Protected digital communications payload</w:t>
      </w:r>
    </w:p>
    <w:p>
      <w:pPr/>
      <w:r>
        <w:t>180 kg hosted communications allocation including channelization and authentication; eight 125 MHz channels with 250 Mb/s usable throughput each.</w:t>
      </w:r>
    </w:p>
    <w:p>
      <w:pPr/>
      <w:r>
        <w:t>The element is accepted by a traced performance test across the specified environment. Detector or process response, temporal stability, alignment and throughput are measured, not inferred from component labels. Operational anomalies are flagged in the Level 1 record.</w:t>
      </w:r>
    </w:p>
    <w:p>
      <w:pPr/>
      <w:r>
        <w:t>The technical budget traces the stated measurement scale to a physical sampling process and detector or process limits. The performance model shall state coverage, dynamic range, timing, throughput, noise, calibration interval and data-rejection logic. Acceptance reports both the verified central value and its uncertainty.</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requirement / target</w:t>
            </w:r>
          </w:p>
        </w:tc>
      </w:tr>
      <w:tr>
        <w:tc>
          <w:tcPr>
            <w:tcW w:type="dxa" w:w="4680"/>
            <w:vAlign w:val="center"/>
            <w:tcMar>
              <w:top w:w="90" w:type="dxa"/>
              <w:left w:w="90" w:type="dxa"/>
              <w:bottom w:w="90" w:type="dxa"/>
              <w:right w:w="90" w:type="dxa"/>
            </w:tcMar>
          </w:tcPr>
          <w:p>
            <w:pPr>
              <w:spacing w:after="0"/>
            </w:pPr>
            <w:r>
              <w:rPr>
                <w:sz w:val="16"/>
              </w:rPr>
              <w:t>Primary function</w:t>
            </w:r>
          </w:p>
        </w:tc>
        <w:tc>
          <w:tcPr>
            <w:tcW w:type="dxa" w:w="4680"/>
            <w:vAlign w:val="center"/>
            <w:tcMar>
              <w:top w:w="90" w:type="dxa"/>
              <w:left w:w="90" w:type="dxa"/>
              <w:bottom w:w="90" w:type="dxa"/>
              <w:right w:w="90" w:type="dxa"/>
            </w:tcMar>
          </w:tcPr>
          <w:p>
            <w:pPr>
              <w:spacing w:after="0"/>
            </w:pPr>
            <w:r>
              <w:rPr>
                <w:sz w:val="16"/>
              </w:rPr>
              <w:t>Protected digital communications payload</w:t>
            </w:r>
          </w:p>
        </w:tc>
      </w:tr>
      <w:tr>
        <w:tc>
          <w:tcPr>
            <w:tcW w:type="dxa" w:w="4680"/>
            <w:vAlign w:val="center"/>
            <w:shd w:fill="F6F8FA"/>
            <w:tcMar>
              <w:top w:w="90" w:type="dxa"/>
              <w:left w:w="90" w:type="dxa"/>
              <w:bottom w:w="90" w:type="dxa"/>
              <w:right w:w="90" w:type="dxa"/>
            </w:tcMar>
          </w:tcPr>
          <w:p>
            <w:pPr>
              <w:spacing w:after="0"/>
            </w:pPr>
            <w:r>
              <w:rPr>
                <w:sz w:val="16"/>
              </w:rPr>
              <w:t>Measured performance</w:t>
            </w:r>
          </w:p>
        </w:tc>
        <w:tc>
          <w:tcPr>
            <w:tcW w:type="dxa" w:w="4680"/>
            <w:vAlign w:val="center"/>
            <w:shd w:fill="F6F8FA"/>
            <w:tcMar>
              <w:top w:w="90" w:type="dxa"/>
              <w:left w:w="90" w:type="dxa"/>
              <w:bottom w:w="90" w:type="dxa"/>
              <w:right w:w="90" w:type="dxa"/>
            </w:tcMar>
          </w:tcPr>
          <w:p>
            <w:pPr>
              <w:spacing w:after="0"/>
            </w:pPr>
            <w:r>
              <w:rPr>
                <w:sz w:val="16"/>
              </w:rPr>
              <w:t>180 kg hosted communications allocation including channelization and authentication; eight 125 MHz channels with 250 Mb/s usable throughput each.</w:t>
            </w:r>
          </w:p>
        </w:tc>
      </w:tr>
      <w:tr>
        <w:tc>
          <w:tcPr>
            <w:tcW w:type="dxa" w:w="4680"/>
            <w:vAlign w:val="center"/>
            <w:tcMar>
              <w:top w:w="90" w:type="dxa"/>
              <w:left w:w="90" w:type="dxa"/>
              <w:bottom w:w="90" w:type="dxa"/>
              <w:right w:w="90" w:type="dxa"/>
            </w:tcMar>
          </w:tcPr>
          <w:p>
            <w:pPr>
              <w:spacing w:after="0"/>
            </w:pPr>
            <w:r>
              <w:rPr>
                <w:sz w:val="16"/>
              </w:rPr>
              <w:t>Unit-level calibration</w:t>
            </w:r>
          </w:p>
        </w:tc>
        <w:tc>
          <w:tcPr>
            <w:tcW w:type="dxa" w:w="4680"/>
            <w:vAlign w:val="center"/>
            <w:tcMar>
              <w:top w:w="90" w:type="dxa"/>
              <w:left w:w="90" w:type="dxa"/>
              <w:bottom w:w="90" w:type="dxa"/>
              <w:right w:w="90" w:type="dxa"/>
            </w:tcMar>
          </w:tcPr>
          <w:p>
            <w:pPr>
              <w:spacing w:after="0"/>
            </w:pPr>
            <w:r>
              <w:rPr>
                <w:sz w:val="16"/>
              </w:rPr>
              <w:t>Before integration and after environmental qualification</w:t>
            </w:r>
          </w:p>
        </w:tc>
      </w:tr>
      <w:tr>
        <w:tc>
          <w:tcPr>
            <w:tcW w:type="dxa" w:w="4680"/>
            <w:vAlign w:val="center"/>
            <w:shd w:fill="F6F8FA"/>
            <w:tcMar>
              <w:top w:w="90" w:type="dxa"/>
              <w:left w:w="90" w:type="dxa"/>
              <w:bottom w:w="90" w:type="dxa"/>
              <w:right w:w="90" w:type="dxa"/>
            </w:tcMar>
          </w:tcPr>
          <w:p>
            <w:pPr>
              <w:spacing w:after="0"/>
            </w:pPr>
            <w:r>
              <w:rPr>
                <w:sz w:val="16"/>
              </w:rPr>
              <w:t>Electrical interface</w:t>
            </w:r>
          </w:p>
        </w:tc>
        <w:tc>
          <w:tcPr>
            <w:tcW w:type="dxa" w:w="4680"/>
            <w:vAlign w:val="center"/>
            <w:shd w:fill="F6F8FA"/>
            <w:tcMar>
              <w:top w:w="90" w:type="dxa"/>
              <w:left w:w="90" w:type="dxa"/>
              <w:bottom w:w="90" w:type="dxa"/>
              <w:right w:w="90" w:type="dxa"/>
            </w:tcMar>
          </w:tcPr>
          <w:p>
            <w:pPr>
              <w:spacing w:after="0"/>
            </w:pPr>
            <w:r>
              <w:rPr>
                <w:sz w:val="16"/>
              </w:rPr>
              <w:t>Protected distribution and commanded safe state</w:t>
            </w:r>
          </w:p>
        </w:tc>
      </w:tr>
      <w:tr>
        <w:tc>
          <w:tcPr>
            <w:tcW w:type="dxa" w:w="4680"/>
            <w:vAlign w:val="center"/>
            <w:tcMar>
              <w:top w:w="90" w:type="dxa"/>
              <w:left w:w="90" w:type="dxa"/>
              <w:bottom w:w="90" w:type="dxa"/>
              <w:right w:w="90" w:type="dxa"/>
            </w:tcMar>
          </w:tcPr>
          <w:p>
            <w:pPr>
              <w:spacing w:after="0"/>
            </w:pPr>
            <w:r>
              <w:rPr>
                <w:sz w:val="16"/>
              </w:rPr>
              <w:t>Data interface</w:t>
            </w:r>
          </w:p>
        </w:tc>
        <w:tc>
          <w:tcPr>
            <w:tcW w:type="dxa" w:w="4680"/>
            <w:vAlign w:val="center"/>
            <w:tcMar>
              <w:top w:w="90" w:type="dxa"/>
              <w:left w:w="90" w:type="dxa"/>
              <w:bottom w:w="90" w:type="dxa"/>
              <w:right w:w="90" w:type="dxa"/>
            </w:tcMar>
          </w:tcPr>
          <w:p>
            <w:pPr>
              <w:spacing w:after="0"/>
            </w:pPr>
            <w:r>
              <w:rPr>
                <w:sz w:val="16"/>
              </w:rPr>
              <w:t>Time-tagged raw records plus status and quality flags</w:t>
            </w:r>
          </w:p>
        </w:tc>
      </w:tr>
      <w:tr>
        <w:tc>
          <w:tcPr>
            <w:tcW w:type="dxa" w:w="4680"/>
            <w:vAlign w:val="center"/>
            <w:shd w:fill="F6F8FA"/>
            <w:tcMar>
              <w:top w:w="90" w:type="dxa"/>
              <w:left w:w="90" w:type="dxa"/>
              <w:bottom w:w="90" w:type="dxa"/>
              <w:right w:w="90" w:type="dxa"/>
            </w:tcMar>
          </w:tcPr>
          <w:p>
            <w:pPr>
              <w:spacing w:after="0"/>
            </w:pPr>
            <w:r>
              <w:rPr>
                <w:sz w:val="16"/>
              </w:rPr>
              <w:t>Environmental tolerance</w:t>
            </w:r>
          </w:p>
        </w:tc>
        <w:tc>
          <w:tcPr>
            <w:tcW w:type="dxa" w:w="4680"/>
            <w:vAlign w:val="center"/>
            <w:shd w:fill="F6F8FA"/>
            <w:tcMar>
              <w:top w:w="90" w:type="dxa"/>
              <w:left w:w="90" w:type="dxa"/>
              <w:bottom w:w="90" w:type="dxa"/>
              <w:right w:w="90" w:type="dxa"/>
            </w:tcMar>
          </w:tcPr>
          <w:p>
            <w:pPr>
              <w:spacing w:after="0"/>
            </w:pPr>
            <w:r>
              <w:rPr>
                <w:sz w:val="16"/>
              </w:rPr>
              <w:t>Geostationary eclipse hot/cold cases; payload electronics maintained 5–40 °C; 2.8 m² radiator area reference with payload heat rejection sized to ≥2.3 kW.</w:t>
            </w:r>
          </w:p>
        </w:tc>
      </w:tr>
      <w:tr>
        <w:tc>
          <w:tcPr>
            <w:tcW w:type="dxa" w:w="4680"/>
            <w:vAlign w:val="center"/>
            <w:tcMar>
              <w:top w:w="90" w:type="dxa"/>
              <w:left w:w="90" w:type="dxa"/>
              <w:bottom w:w="90" w:type="dxa"/>
              <w:right w:w="90" w:type="dxa"/>
            </w:tcMar>
          </w:tcPr>
          <w:p>
            <w:pPr>
              <w:spacing w:after="0"/>
            </w:pPr>
            <w:r>
              <w:rPr>
                <w:sz w:val="16"/>
              </w:rPr>
              <w:t>Mass accounting</w:t>
            </w:r>
          </w:p>
        </w:tc>
        <w:tc>
          <w:tcPr>
            <w:tcW w:type="dxa" w:w="4680"/>
            <w:vAlign w:val="center"/>
            <w:tcMar>
              <w:top w:w="90" w:type="dxa"/>
              <w:left w:w="90" w:type="dxa"/>
              <w:bottom w:w="90" w:type="dxa"/>
              <w:right w:w="90" w:type="dxa"/>
            </w:tcMar>
          </w:tcPr>
          <w:p>
            <w:pPr>
              <w:spacing w:after="0"/>
            </w:pPr>
            <w:r>
              <w:rPr>
                <w:sz w:val="16"/>
              </w:rPr>
              <w:t>Within 180 kg payload or experiment allocation</w:t>
            </w:r>
          </w:p>
        </w:tc>
      </w:tr>
      <w:tr>
        <w:tc>
          <w:tcPr>
            <w:tcW w:type="dxa" w:w="4680"/>
            <w:vAlign w:val="center"/>
            <w:shd w:fill="F6F8FA"/>
            <w:tcMar>
              <w:top w:w="90" w:type="dxa"/>
              <w:left w:w="90" w:type="dxa"/>
              <w:bottom w:w="90" w:type="dxa"/>
              <w:right w:w="90" w:type="dxa"/>
            </w:tcMar>
          </w:tcPr>
          <w:p>
            <w:pPr>
              <w:spacing w:after="0"/>
            </w:pPr>
            <w:r>
              <w:rPr>
                <w:sz w:val="16"/>
              </w:rPr>
              <w:t>Verification</w:t>
            </w:r>
          </w:p>
        </w:tc>
        <w:tc>
          <w:tcPr>
            <w:tcW w:type="dxa" w:w="4680"/>
            <w:vAlign w:val="center"/>
            <w:shd w:fill="F6F8FA"/>
            <w:tcMar>
              <w:top w:w="90" w:type="dxa"/>
              <w:left w:w="90" w:type="dxa"/>
              <w:bottom w:w="90" w:type="dxa"/>
              <w:right w:w="90" w:type="dxa"/>
            </w:tcMar>
          </w:tcPr>
          <w:p>
            <w:pPr>
              <w:spacing w:after="0"/>
            </w:pPr>
            <w:r>
              <w:rPr>
                <w:sz w:val="16"/>
              </w:rPr>
              <w:t>Test against mission-level success criterion</w:t>
            </w:r>
          </w:p>
        </w:tc>
      </w:tr>
      <w:tr>
        <w:tc>
          <w:tcPr>
            <w:tcW w:type="dxa" w:w="4680"/>
            <w:vAlign w:val="center"/>
            <w:tcMar>
              <w:top w:w="90" w:type="dxa"/>
              <w:left w:w="90" w:type="dxa"/>
              <w:bottom w:w="90" w:type="dxa"/>
              <w:right w:w="90" w:type="dxa"/>
            </w:tcMar>
          </w:tcPr>
          <w:p>
            <w:pPr>
              <w:spacing w:after="0"/>
            </w:pPr>
            <w:r>
              <w:rPr>
                <w:sz w:val="16"/>
              </w:rPr>
              <w:t>Operations mode</w:t>
            </w:r>
          </w:p>
        </w:tc>
        <w:tc>
          <w:tcPr>
            <w:tcW w:type="dxa" w:w="4680"/>
            <w:vAlign w:val="center"/>
            <w:tcMar>
              <w:top w:w="90" w:type="dxa"/>
              <w:left w:w="90" w:type="dxa"/>
              <w:bottom w:w="90" w:type="dxa"/>
              <w:right w:w="90" w:type="dxa"/>
            </w:tcMar>
          </w:tcPr>
          <w:p>
            <w:pPr>
              <w:spacing w:after="0"/>
            </w:pPr>
            <w:r>
              <w:rPr>
                <w:sz w:val="16"/>
              </w:rPr>
              <w:t>Only when power, thermal and link margins permit</w:t>
            </w:r>
          </w:p>
        </w:tc>
      </w:tr>
      <w:tr>
        <w:tc>
          <w:tcPr>
            <w:tcW w:type="dxa" w:w="4680"/>
            <w:vAlign w:val="center"/>
            <w:shd w:fill="F6F8FA"/>
            <w:tcMar>
              <w:top w:w="90" w:type="dxa"/>
              <w:left w:w="90" w:type="dxa"/>
              <w:bottom w:w="90" w:type="dxa"/>
              <w:right w:w="90" w:type="dxa"/>
            </w:tcMar>
          </w:tcPr>
          <w:p>
            <w:pPr>
              <w:spacing w:after="0"/>
            </w:pPr>
            <w:r>
              <w:rPr>
                <w:sz w:val="16"/>
              </w:rPr>
              <w:t>Fault response</w:t>
            </w:r>
          </w:p>
        </w:tc>
        <w:tc>
          <w:tcPr>
            <w:tcW w:type="dxa" w:w="4680"/>
            <w:vAlign w:val="center"/>
            <w:shd w:fill="F6F8FA"/>
            <w:tcMar>
              <w:top w:w="90" w:type="dxa"/>
              <w:left w:w="90" w:type="dxa"/>
              <w:bottom w:w="90" w:type="dxa"/>
              <w:right w:w="90" w:type="dxa"/>
            </w:tcMar>
          </w:tcPr>
          <w:p>
            <w:pPr>
              <w:spacing w:after="0"/>
            </w:pPr>
            <w:r>
              <w:rPr>
                <w:sz w:val="16"/>
              </w:rPr>
              <w:t>Isolate and report without affecting safe-mode command</w:t>
            </w:r>
          </w:p>
        </w:tc>
      </w:tr>
    </w:tbl>
    <w:p>
      <w:pPr>
        <w:pStyle w:val="Heading3"/>
      </w:pPr>
      <w:r>
        <w:t>Steerable multi-beam antenna assembly</w:t>
      </w:r>
    </w:p>
    <w:p>
      <w:pPr/>
      <w:r>
        <w:t>Two deployable reflectors per spacecraft; eight steerable spot beams with ≥0.2° commandable beam-centre placement accuracy after calibration.</w:t>
      </w:r>
    </w:p>
    <w:p>
      <w:pPr/>
      <w:r>
        <w:t>This measurement or process provides an independent check on the primary result. The ground model shall retain geometric, thermal and instrumental uncertainty, including changes caused by the spacecraft or host.</w:t>
      </w:r>
    </w:p>
    <w:p>
      <w:pPr/>
      <w:r>
        <w:t>For Virelan Protected Communications System, complementarity is intentional: one channel measures a different physical quantity or provides a contextual state. Processing shall preserve the raw evidence, identify retrieval assumptions and reject inconsistent cross-calibration before product release.</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requirement / target</w:t>
            </w:r>
          </w:p>
        </w:tc>
      </w:tr>
      <w:tr>
        <w:tc>
          <w:tcPr>
            <w:tcW w:type="dxa" w:w="4680"/>
            <w:vAlign w:val="center"/>
            <w:tcMar>
              <w:top w:w="90" w:type="dxa"/>
              <w:left w:w="90" w:type="dxa"/>
              <w:bottom w:w="90" w:type="dxa"/>
              <w:right w:w="90" w:type="dxa"/>
            </w:tcMar>
          </w:tcPr>
          <w:p>
            <w:pPr>
              <w:spacing w:after="0"/>
            </w:pPr>
            <w:r>
              <w:rPr>
                <w:sz w:val="16"/>
              </w:rPr>
              <w:t>Function</w:t>
            </w:r>
          </w:p>
        </w:tc>
        <w:tc>
          <w:tcPr>
            <w:tcW w:type="dxa" w:w="4680"/>
            <w:vAlign w:val="center"/>
            <w:tcMar>
              <w:top w:w="90" w:type="dxa"/>
              <w:left w:w="90" w:type="dxa"/>
              <w:bottom w:w="90" w:type="dxa"/>
              <w:right w:w="90" w:type="dxa"/>
            </w:tcMar>
          </w:tcPr>
          <w:p>
            <w:pPr>
              <w:spacing w:after="0"/>
            </w:pPr>
            <w:r>
              <w:rPr>
                <w:sz w:val="16"/>
              </w:rPr>
              <w:t>Steerable multi-beam antenna assembly</w:t>
            </w:r>
          </w:p>
        </w:tc>
      </w:tr>
      <w:tr>
        <w:tc>
          <w:tcPr>
            <w:tcW w:type="dxa" w:w="4680"/>
            <w:vAlign w:val="center"/>
            <w:shd w:fill="F6F8FA"/>
            <w:tcMar>
              <w:top w:w="90" w:type="dxa"/>
              <w:left w:w="90" w:type="dxa"/>
              <w:bottom w:w="90" w:type="dxa"/>
              <w:right w:w="90" w:type="dxa"/>
            </w:tcMar>
          </w:tcPr>
          <w:p>
            <w:pPr>
              <w:spacing w:after="0"/>
            </w:pPr>
            <w:r>
              <w:rPr>
                <w:sz w:val="16"/>
              </w:rPr>
              <w:t>Performance</w:t>
            </w:r>
          </w:p>
        </w:tc>
        <w:tc>
          <w:tcPr>
            <w:tcW w:type="dxa" w:w="4680"/>
            <w:vAlign w:val="center"/>
            <w:shd w:fill="F6F8FA"/>
            <w:tcMar>
              <w:top w:w="90" w:type="dxa"/>
              <w:left w:w="90" w:type="dxa"/>
              <w:bottom w:w="90" w:type="dxa"/>
              <w:right w:w="90" w:type="dxa"/>
            </w:tcMar>
          </w:tcPr>
          <w:p>
            <w:pPr>
              <w:spacing w:after="0"/>
            </w:pPr>
            <w:r>
              <w:rPr>
                <w:sz w:val="16"/>
              </w:rPr>
              <w:t>Two deployable reflectors per spacecraft; eight steerable spot beams with ≥0.2° commandable beam-centre placement accuracy after calibration.</w:t>
            </w:r>
          </w:p>
        </w:tc>
      </w:tr>
      <w:tr>
        <w:tc>
          <w:tcPr>
            <w:tcW w:type="dxa" w:w="4680"/>
            <w:vAlign w:val="center"/>
            <w:tcMar>
              <w:top w:w="90" w:type="dxa"/>
              <w:left w:w="90" w:type="dxa"/>
              <w:bottom w:w="90" w:type="dxa"/>
              <w:right w:w="90" w:type="dxa"/>
            </w:tcMar>
          </w:tcPr>
          <w:p>
            <w:pPr>
              <w:spacing w:after="0"/>
            </w:pPr>
            <w:r>
              <w:rPr>
                <w:sz w:val="16"/>
              </w:rPr>
              <w:t>Mass</w:t>
            </w:r>
          </w:p>
        </w:tc>
        <w:tc>
          <w:tcPr>
            <w:tcW w:type="dxa" w:w="4680"/>
            <w:vAlign w:val="center"/>
            <w:tcMar>
              <w:top w:w="90" w:type="dxa"/>
              <w:left w:w="90" w:type="dxa"/>
              <w:bottom w:w="90" w:type="dxa"/>
              <w:right w:w="90" w:type="dxa"/>
            </w:tcMar>
          </w:tcPr>
          <w:p>
            <w:pPr>
              <w:spacing w:after="0"/>
            </w:pPr>
            <w:r>
              <w:rPr>
                <w:sz w:val="16"/>
              </w:rPr>
              <w:t>Included in payload/experiment allocation</w:t>
            </w:r>
          </w:p>
        </w:tc>
      </w:tr>
      <w:tr>
        <w:tc>
          <w:tcPr>
            <w:tcW w:type="dxa" w:w="4680"/>
            <w:vAlign w:val="center"/>
            <w:shd w:fill="F6F8FA"/>
            <w:tcMar>
              <w:top w:w="90" w:type="dxa"/>
              <w:left w:w="90" w:type="dxa"/>
              <w:bottom w:w="90" w:type="dxa"/>
              <w:right w:w="90" w:type="dxa"/>
            </w:tcMar>
          </w:tcPr>
          <w:p>
            <w:pPr>
              <w:spacing w:after="0"/>
            </w:pPr>
            <w:r>
              <w:rPr>
                <w:sz w:val="16"/>
              </w:rPr>
              <w:t>Power</w:t>
            </w:r>
          </w:p>
        </w:tc>
        <w:tc>
          <w:tcPr>
            <w:tcW w:type="dxa" w:w="4680"/>
            <w:vAlign w:val="center"/>
            <w:shd w:fill="F6F8FA"/>
            <w:tcMar>
              <w:top w:w="90" w:type="dxa"/>
              <w:left w:w="90" w:type="dxa"/>
              <w:bottom w:w="90" w:type="dxa"/>
              <w:right w:w="90" w:type="dxa"/>
            </w:tcMar>
          </w:tcPr>
          <w:p>
            <w:pPr>
              <w:spacing w:after="0"/>
            </w:pPr>
            <w:r>
              <w:rPr>
                <w:sz w:val="16"/>
              </w:rPr>
              <w:t>Mode specific; close against peak load</w:t>
            </w:r>
          </w:p>
        </w:tc>
      </w:tr>
      <w:tr>
        <w:tc>
          <w:tcPr>
            <w:tcW w:type="dxa" w:w="4680"/>
            <w:vAlign w:val="center"/>
            <w:tcMar>
              <w:top w:w="90" w:type="dxa"/>
              <w:left w:w="90" w:type="dxa"/>
              <w:bottom w:w="90" w:type="dxa"/>
              <w:right w:w="90" w:type="dxa"/>
            </w:tcMar>
          </w:tcPr>
          <w:p>
            <w:pPr>
              <w:spacing w:after="0"/>
            </w:pPr>
            <w:r>
              <w:rPr>
                <w:sz w:val="16"/>
              </w:rPr>
              <w:t>Field / process geometry</w:t>
            </w:r>
          </w:p>
        </w:tc>
        <w:tc>
          <w:tcPr>
            <w:tcW w:type="dxa" w:w="4680"/>
            <w:vAlign w:val="center"/>
            <w:tcMar>
              <w:top w:w="90" w:type="dxa"/>
              <w:left w:w="90" w:type="dxa"/>
              <w:bottom w:w="90" w:type="dxa"/>
              <w:right w:w="90" w:type="dxa"/>
            </w:tcMar>
          </w:tcPr>
          <w:p>
            <w:pPr>
              <w:spacing w:after="0"/>
            </w:pPr>
            <w:r>
              <w:rPr>
                <w:sz w:val="16"/>
              </w:rPr>
              <w:t>Three geostationary slots at nominal longitudes 40°, 160° and 280°E, each held within ±0.10° longitude and ±0.10° inclination box.</w:t>
            </w:r>
          </w:p>
        </w:tc>
      </w:tr>
      <w:tr>
        <w:tc>
          <w:tcPr>
            <w:tcW w:type="dxa" w:w="4680"/>
            <w:vAlign w:val="center"/>
            <w:shd w:fill="F6F8FA"/>
            <w:tcMar>
              <w:top w:w="90" w:type="dxa"/>
              <w:left w:w="90" w:type="dxa"/>
              <w:bottom w:w="90" w:type="dxa"/>
              <w:right w:w="90" w:type="dxa"/>
            </w:tcMar>
          </w:tcPr>
          <w:p>
            <w:pPr>
              <w:spacing w:after="0"/>
            </w:pPr>
            <w:r>
              <w:rPr>
                <w:sz w:val="16"/>
              </w:rPr>
              <w:t>Timing</w:t>
            </w:r>
          </w:p>
        </w:tc>
        <w:tc>
          <w:tcPr>
            <w:tcW w:type="dxa" w:w="4680"/>
            <w:vAlign w:val="center"/>
            <w:shd w:fill="F6F8FA"/>
            <w:tcMar>
              <w:top w:w="90" w:type="dxa"/>
              <w:left w:w="90" w:type="dxa"/>
              <w:bottom w:w="90" w:type="dxa"/>
              <w:right w:w="90" w:type="dxa"/>
            </w:tcMar>
          </w:tcPr>
          <w:p>
            <w:pPr>
              <w:spacing w:after="0"/>
            </w:pPr>
            <w:r>
              <w:rPr>
                <w:sz w:val="16"/>
              </w:rPr>
              <w:t>Synchronized to system command clock</w:t>
            </w:r>
          </w:p>
        </w:tc>
      </w:tr>
      <w:tr>
        <w:tc>
          <w:tcPr>
            <w:tcW w:type="dxa" w:w="4680"/>
            <w:vAlign w:val="center"/>
            <w:tcMar>
              <w:top w:w="90" w:type="dxa"/>
              <w:left w:w="90" w:type="dxa"/>
              <w:bottom w:w="90" w:type="dxa"/>
              <w:right w:w="90" w:type="dxa"/>
            </w:tcMar>
          </w:tcPr>
          <w:p>
            <w:pPr>
              <w:spacing w:after="0"/>
            </w:pPr>
            <w:r>
              <w:rPr>
                <w:sz w:val="16"/>
              </w:rPr>
              <w:t>Calibration</w:t>
            </w:r>
          </w:p>
        </w:tc>
        <w:tc>
          <w:tcPr>
            <w:tcW w:type="dxa" w:w="4680"/>
            <w:vAlign w:val="center"/>
            <w:tcMar>
              <w:top w:w="90" w:type="dxa"/>
              <w:left w:w="90" w:type="dxa"/>
              <w:bottom w:w="90" w:type="dxa"/>
              <w:right w:w="90" w:type="dxa"/>
            </w:tcMar>
          </w:tcPr>
          <w:p>
            <w:pPr>
              <w:spacing w:after="0"/>
            </w:pPr>
            <w:r>
              <w:rPr>
                <w:sz w:val="16"/>
              </w:rPr>
              <w:t>At acceptance and by scheduled in-operation reference</w:t>
            </w:r>
          </w:p>
        </w:tc>
      </w:tr>
      <w:tr>
        <w:tc>
          <w:tcPr>
            <w:tcW w:type="dxa" w:w="4680"/>
            <w:vAlign w:val="center"/>
            <w:shd w:fill="F6F8FA"/>
            <w:tcMar>
              <w:top w:w="90" w:type="dxa"/>
              <w:left w:w="90" w:type="dxa"/>
              <w:bottom w:w="90" w:type="dxa"/>
              <w:right w:w="90" w:type="dxa"/>
            </w:tcMar>
          </w:tcPr>
          <w:p>
            <w:pPr>
              <w:spacing w:after="0"/>
            </w:pPr>
            <w:r>
              <w:rPr>
                <w:sz w:val="16"/>
              </w:rPr>
              <w:t>Data volume</w:t>
            </w:r>
          </w:p>
        </w:tc>
        <w:tc>
          <w:tcPr>
            <w:tcW w:type="dxa" w:w="4680"/>
            <w:vAlign w:val="center"/>
            <w:shd w:fill="F6F8FA"/>
            <w:tcMar>
              <w:top w:w="90" w:type="dxa"/>
              <w:left w:w="90" w:type="dxa"/>
              <w:bottom w:w="90" w:type="dxa"/>
              <w:right w:w="90" w:type="dxa"/>
            </w:tcMar>
          </w:tcPr>
          <w:p>
            <w:pPr>
              <w:spacing w:after="0"/>
            </w:pPr>
            <w:r>
              <w:rPr>
                <w:sz w:val="16"/>
              </w:rPr>
              <w:t>18 GB/day per spacecraft of encrypted network logs and housekeeping; user traffic is relayed rather than archived onboard</w:t>
            </w:r>
          </w:p>
        </w:tc>
      </w:tr>
      <w:tr>
        <w:tc>
          <w:tcPr>
            <w:tcW w:type="dxa" w:w="4680"/>
            <w:vAlign w:val="center"/>
            <w:tcMar>
              <w:top w:w="90" w:type="dxa"/>
              <w:left w:w="90" w:type="dxa"/>
              <w:bottom w:w="90" w:type="dxa"/>
              <w:right w:w="90" w:type="dxa"/>
            </w:tcMar>
          </w:tcPr>
          <w:p>
            <w:pPr>
              <w:spacing w:after="0"/>
            </w:pPr>
            <w:r>
              <w:rPr>
                <w:sz w:val="16"/>
              </w:rPr>
              <w:t>Quality masks</w:t>
            </w:r>
          </w:p>
        </w:tc>
        <w:tc>
          <w:tcPr>
            <w:tcW w:type="dxa" w:w="4680"/>
            <w:vAlign w:val="center"/>
            <w:tcMar>
              <w:top w:w="90" w:type="dxa"/>
              <w:left w:w="90" w:type="dxa"/>
              <w:bottom w:w="90" w:type="dxa"/>
              <w:right w:w="90" w:type="dxa"/>
            </w:tcMar>
          </w:tcPr>
          <w:p>
            <w:pPr>
              <w:spacing w:after="0"/>
            </w:pPr>
            <w:r>
              <w:rPr>
                <w:sz w:val="16"/>
              </w:rPr>
              <w:t>Record saturation, missing packets and calibration excursions</w:t>
            </w:r>
          </w:p>
        </w:tc>
      </w:tr>
      <w:tr>
        <w:tc>
          <w:tcPr>
            <w:tcW w:type="dxa" w:w="4680"/>
            <w:vAlign w:val="center"/>
            <w:shd w:fill="F6F8FA"/>
            <w:tcMar>
              <w:top w:w="90" w:type="dxa"/>
              <w:left w:w="90" w:type="dxa"/>
              <w:bottom w:w="90" w:type="dxa"/>
              <w:right w:w="90" w:type="dxa"/>
            </w:tcMar>
          </w:tcPr>
          <w:p>
            <w:pPr>
              <w:spacing w:after="0"/>
            </w:pPr>
            <w:r>
              <w:rPr>
                <w:sz w:val="16"/>
              </w:rPr>
              <w:t>Qualification</w:t>
            </w:r>
          </w:p>
        </w:tc>
        <w:tc>
          <w:tcPr>
            <w:tcW w:type="dxa" w:w="4680"/>
            <w:vAlign w:val="center"/>
            <w:shd w:fill="F6F8FA"/>
            <w:tcMar>
              <w:top w:w="90" w:type="dxa"/>
              <w:left w:w="90" w:type="dxa"/>
              <w:bottom w:w="90" w:type="dxa"/>
              <w:right w:w="90" w:type="dxa"/>
            </w:tcMar>
          </w:tcPr>
          <w:p>
            <w:pPr>
              <w:spacing w:after="0"/>
            </w:pPr>
            <w:r>
              <w:rPr>
                <w:sz w:val="16"/>
              </w:rPr>
              <w:t>Relevant launch, host and operational environment</w:t>
            </w:r>
          </w:p>
        </w:tc>
      </w:tr>
    </w:tbl>
    <w:p>
      <w:pPr>
        <w:pStyle w:val="Heading3"/>
      </w:pPr>
      <w:r>
        <w:t>Payload Electronics</w:t>
      </w:r>
    </w:p>
    <w:p>
      <w:pPr/>
      <w:r>
        <w:t>The payload electronics supervise instrument power, timing, detector readout, process controls, data formatting and safe-mode interlocks. Interfaces are controlled by released drawings and telemetry dictionaries. Each unit supports configuration rollback after a failed upload.</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requirement / target</w:t>
            </w:r>
          </w:p>
        </w:tc>
      </w:tr>
      <w:tr>
        <w:tc>
          <w:tcPr>
            <w:tcW w:type="dxa" w:w="4680"/>
            <w:vAlign w:val="center"/>
            <w:tcMar>
              <w:top w:w="90" w:type="dxa"/>
              <w:left w:w="90" w:type="dxa"/>
              <w:bottom w:w="90" w:type="dxa"/>
              <w:right w:w="90" w:type="dxa"/>
            </w:tcMar>
          </w:tcPr>
          <w:p>
            <w:pPr>
              <w:spacing w:after="0"/>
            </w:pPr>
            <w:r>
              <w:rPr>
                <w:sz w:val="16"/>
              </w:rPr>
              <w:t>Primary function</w:t>
            </w:r>
          </w:p>
        </w:tc>
        <w:tc>
          <w:tcPr>
            <w:tcW w:type="dxa" w:w="4680"/>
            <w:vAlign w:val="center"/>
            <w:tcMar>
              <w:top w:w="90" w:type="dxa"/>
              <w:left w:w="90" w:type="dxa"/>
              <w:bottom w:w="90" w:type="dxa"/>
              <w:right w:w="90" w:type="dxa"/>
            </w:tcMar>
          </w:tcPr>
          <w:p>
            <w:pPr>
              <w:spacing w:after="0"/>
            </w:pPr>
            <w:r>
              <w:rPr>
                <w:sz w:val="16"/>
              </w:rPr>
              <w:t>Instrument / process control and time-tagging</w:t>
            </w:r>
          </w:p>
        </w:tc>
      </w:tr>
      <w:tr>
        <w:tc>
          <w:tcPr>
            <w:tcW w:type="dxa" w:w="4680"/>
            <w:vAlign w:val="center"/>
            <w:shd w:fill="F6F8FA"/>
            <w:tcMar>
              <w:top w:w="90" w:type="dxa"/>
              <w:left w:w="90" w:type="dxa"/>
              <w:bottom w:w="90" w:type="dxa"/>
              <w:right w:w="90" w:type="dxa"/>
            </w:tcMar>
          </w:tcPr>
          <w:p>
            <w:pPr>
              <w:spacing w:after="0"/>
            </w:pPr>
            <w:r>
              <w:rPr>
                <w:sz w:val="16"/>
              </w:rPr>
              <w:t>Sensor interfaces</w:t>
            </w:r>
          </w:p>
        </w:tc>
        <w:tc>
          <w:tcPr>
            <w:tcW w:type="dxa" w:w="4680"/>
            <w:vAlign w:val="center"/>
            <w:shd w:fill="F6F8FA"/>
            <w:tcMar>
              <w:top w:w="90" w:type="dxa"/>
              <w:left w:w="90" w:type="dxa"/>
              <w:bottom w:w="90" w:type="dxa"/>
              <w:right w:w="90" w:type="dxa"/>
            </w:tcMar>
          </w:tcPr>
          <w:p>
            <w:pPr>
              <w:spacing w:after="0"/>
            </w:pPr>
            <w:r>
              <w:rPr>
                <w:sz w:val="16"/>
              </w:rPr>
              <w:t>Protected digital communications payload; Steerable multi-beam antenna assembly; Cryptographic command boundary</w:t>
            </w:r>
          </w:p>
        </w:tc>
      </w:tr>
      <w:tr>
        <w:tc>
          <w:tcPr>
            <w:tcW w:type="dxa" w:w="4680"/>
            <w:vAlign w:val="center"/>
            <w:tcMar>
              <w:top w:w="90" w:type="dxa"/>
              <w:left w:w="90" w:type="dxa"/>
              <w:bottom w:w="90" w:type="dxa"/>
              <w:right w:w="90" w:type="dxa"/>
            </w:tcMar>
          </w:tcPr>
          <w:p>
            <w:pPr>
              <w:spacing w:after="0"/>
            </w:pPr>
            <w:r>
              <w:rPr>
                <w:sz w:val="16"/>
              </w:rPr>
              <w:t>System interface</w:t>
            </w:r>
          </w:p>
        </w:tc>
        <w:tc>
          <w:tcPr>
            <w:tcW w:type="dxa" w:w="4680"/>
            <w:vAlign w:val="center"/>
            <w:tcMar>
              <w:top w:w="90" w:type="dxa"/>
              <w:left w:w="90" w:type="dxa"/>
              <w:bottom w:w="90" w:type="dxa"/>
              <w:right w:w="90" w:type="dxa"/>
            </w:tcMar>
          </w:tcPr>
          <w:p>
            <w:pPr>
              <w:spacing w:after="0"/>
            </w:pPr>
            <w:r>
              <w:rPr>
                <w:sz w:val="16"/>
              </w:rPr>
              <w:t>Protected command and local data bus</w:t>
            </w:r>
          </w:p>
        </w:tc>
      </w:tr>
      <w:tr>
        <w:tc>
          <w:tcPr>
            <w:tcW w:type="dxa" w:w="4680"/>
            <w:vAlign w:val="center"/>
            <w:shd w:fill="F6F8FA"/>
            <w:tcMar>
              <w:top w:w="90" w:type="dxa"/>
              <w:left w:w="90" w:type="dxa"/>
              <w:bottom w:w="90" w:type="dxa"/>
              <w:right w:w="90" w:type="dxa"/>
            </w:tcMar>
          </w:tcPr>
          <w:p>
            <w:pPr>
              <w:spacing w:after="0"/>
            </w:pPr>
            <w:r>
              <w:rPr>
                <w:sz w:val="16"/>
              </w:rPr>
              <w:t>Buffering</w:t>
            </w:r>
          </w:p>
        </w:tc>
        <w:tc>
          <w:tcPr>
            <w:tcW w:type="dxa" w:w="4680"/>
            <w:vAlign w:val="center"/>
            <w:shd w:fill="F6F8FA"/>
            <w:tcMar>
              <w:top w:w="90" w:type="dxa"/>
              <w:left w:w="90" w:type="dxa"/>
              <w:bottom w:w="90" w:type="dxa"/>
              <w:right w:w="90" w:type="dxa"/>
            </w:tcMar>
          </w:tcPr>
          <w:p>
            <w:pPr>
              <w:spacing w:after="0"/>
            </w:pPr>
            <w:r>
              <w:rPr>
                <w:sz w:val="16"/>
              </w:rPr>
              <w:t>256 GB usable system allocation</w:t>
            </w:r>
          </w:p>
        </w:tc>
      </w:tr>
      <w:tr>
        <w:tc>
          <w:tcPr>
            <w:tcW w:type="dxa" w:w="4680"/>
            <w:vAlign w:val="center"/>
            <w:tcMar>
              <w:top w:w="90" w:type="dxa"/>
              <w:left w:w="90" w:type="dxa"/>
              <w:bottom w:w="90" w:type="dxa"/>
              <w:right w:w="90" w:type="dxa"/>
            </w:tcMar>
          </w:tcPr>
          <w:p>
            <w:pPr>
              <w:spacing w:after="0"/>
            </w:pPr>
            <w:r>
              <w:rPr>
                <w:sz w:val="16"/>
              </w:rPr>
              <w:t>Processing</w:t>
            </w:r>
          </w:p>
        </w:tc>
        <w:tc>
          <w:tcPr>
            <w:tcW w:type="dxa" w:w="4680"/>
            <w:vAlign w:val="center"/>
            <w:tcMar>
              <w:top w:w="90" w:type="dxa"/>
              <w:left w:w="90" w:type="dxa"/>
              <w:bottom w:w="90" w:type="dxa"/>
              <w:right w:w="90" w:type="dxa"/>
            </w:tcMar>
          </w:tcPr>
          <w:p>
            <w:pPr>
              <w:spacing w:after="0"/>
            </w:pPr>
            <w:r>
              <w:rPr>
                <w:sz w:val="16"/>
              </w:rPr>
              <w:t>Lossless event flags and reversible screening where practical</w:t>
            </w:r>
          </w:p>
        </w:tc>
      </w:tr>
      <w:tr>
        <w:tc>
          <w:tcPr>
            <w:tcW w:type="dxa" w:w="4680"/>
            <w:vAlign w:val="center"/>
            <w:shd w:fill="F6F8FA"/>
            <w:tcMar>
              <w:top w:w="90" w:type="dxa"/>
              <w:left w:w="90" w:type="dxa"/>
              <w:bottom w:w="90" w:type="dxa"/>
              <w:right w:w="90" w:type="dxa"/>
            </w:tcMar>
          </w:tcPr>
          <w:p>
            <w:pPr>
              <w:spacing w:after="0"/>
            </w:pPr>
            <w:r>
              <w:rPr>
                <w:sz w:val="16"/>
              </w:rPr>
              <w:t>Timing</w:t>
            </w:r>
          </w:p>
        </w:tc>
        <w:tc>
          <w:tcPr>
            <w:tcW w:type="dxa" w:w="4680"/>
            <w:vAlign w:val="center"/>
            <w:shd w:fill="F6F8FA"/>
            <w:tcMar>
              <w:top w:w="90" w:type="dxa"/>
              <w:left w:w="90" w:type="dxa"/>
              <w:bottom w:w="90" w:type="dxa"/>
              <w:right w:w="90" w:type="dxa"/>
            </w:tcMar>
          </w:tcPr>
          <w:p>
            <w:pPr>
              <w:spacing w:after="0"/>
            </w:pPr>
            <w:r>
              <w:rPr>
                <w:sz w:val="16"/>
              </w:rPr>
              <w:t>Absolute reference and monotonically numbered records</w:t>
            </w:r>
          </w:p>
        </w:tc>
      </w:tr>
      <w:tr>
        <w:tc>
          <w:tcPr>
            <w:tcW w:type="dxa" w:w="4680"/>
            <w:vAlign w:val="center"/>
            <w:tcMar>
              <w:top w:w="90" w:type="dxa"/>
              <w:left w:w="90" w:type="dxa"/>
              <w:bottom w:w="90" w:type="dxa"/>
              <w:right w:w="90" w:type="dxa"/>
            </w:tcMar>
          </w:tcPr>
          <w:p>
            <w:pPr>
              <w:spacing w:after="0"/>
            </w:pPr>
            <w:r>
              <w:rPr>
                <w:sz w:val="16"/>
              </w:rPr>
              <w:t>Health monitoring</w:t>
            </w:r>
          </w:p>
        </w:tc>
        <w:tc>
          <w:tcPr>
            <w:tcW w:type="dxa" w:w="4680"/>
            <w:vAlign w:val="center"/>
            <w:tcMar>
              <w:top w:w="90" w:type="dxa"/>
              <w:left w:w="90" w:type="dxa"/>
              <w:bottom w:w="90" w:type="dxa"/>
              <w:right w:w="90" w:type="dxa"/>
            </w:tcMar>
          </w:tcPr>
          <w:p>
            <w:pPr>
              <w:spacing w:after="0"/>
            </w:pPr>
            <w:r>
              <w:rPr>
                <w:sz w:val="16"/>
              </w:rPr>
              <w:t>Voltage, temperature, current, reset count and status</w:t>
            </w:r>
          </w:p>
        </w:tc>
      </w:tr>
      <w:tr>
        <w:tc>
          <w:tcPr>
            <w:tcW w:type="dxa" w:w="4680"/>
            <w:vAlign w:val="center"/>
            <w:shd w:fill="F6F8FA"/>
            <w:tcMar>
              <w:top w:w="90" w:type="dxa"/>
              <w:left w:w="90" w:type="dxa"/>
              <w:bottom w:w="90" w:type="dxa"/>
              <w:right w:w="90" w:type="dxa"/>
            </w:tcMar>
          </w:tcPr>
          <w:p>
            <w:pPr>
              <w:spacing w:after="0"/>
            </w:pPr>
            <w:r>
              <w:rPr>
                <w:sz w:val="16"/>
              </w:rPr>
              <w:t>Mass</w:t>
            </w:r>
          </w:p>
        </w:tc>
        <w:tc>
          <w:tcPr>
            <w:tcW w:type="dxa" w:w="4680"/>
            <w:vAlign w:val="center"/>
            <w:shd w:fill="F6F8FA"/>
            <w:tcMar>
              <w:top w:w="90" w:type="dxa"/>
              <w:left w:w="90" w:type="dxa"/>
              <w:bottom w:w="90" w:type="dxa"/>
              <w:right w:w="90" w:type="dxa"/>
            </w:tcMar>
          </w:tcPr>
          <w:p>
            <w:pPr>
              <w:spacing w:after="0"/>
            </w:pPr>
            <w:r>
              <w:rPr>
                <w:sz w:val="16"/>
              </w:rPr>
              <w:t>Within 180 kg allocation</w:t>
            </w:r>
          </w:p>
        </w:tc>
      </w:tr>
      <w:tr>
        <w:tc>
          <w:tcPr>
            <w:tcW w:type="dxa" w:w="4680"/>
            <w:vAlign w:val="center"/>
            <w:tcMar>
              <w:top w:w="90" w:type="dxa"/>
              <w:left w:w="90" w:type="dxa"/>
              <w:bottom w:w="90" w:type="dxa"/>
              <w:right w:w="90" w:type="dxa"/>
            </w:tcMar>
          </w:tcPr>
          <w:p>
            <w:pPr>
              <w:spacing w:after="0"/>
            </w:pPr>
            <w:r>
              <w:rPr>
                <w:sz w:val="16"/>
              </w:rPr>
              <w:t>Peak electrical power</w:t>
            </w:r>
          </w:p>
        </w:tc>
        <w:tc>
          <w:tcPr>
            <w:tcW w:type="dxa" w:w="4680"/>
            <w:vAlign w:val="center"/>
            <w:tcMar>
              <w:top w:w="90" w:type="dxa"/>
              <w:left w:w="90" w:type="dxa"/>
              <w:bottom w:w="90" w:type="dxa"/>
              <w:right w:w="90" w:type="dxa"/>
            </w:tcMar>
          </w:tcPr>
          <w:p>
            <w:pPr>
              <w:spacing w:after="0"/>
            </w:pPr>
            <w:r>
              <w:rPr>
                <w:sz w:val="16"/>
              </w:rPr>
              <w:t>Included in 4700 W integrated peak</w:t>
            </w:r>
          </w:p>
        </w:tc>
      </w:tr>
      <w:tr>
        <w:tc>
          <w:tcPr>
            <w:tcW w:type="dxa" w:w="4680"/>
            <w:vAlign w:val="center"/>
            <w:shd w:fill="F6F8FA"/>
            <w:tcMar>
              <w:top w:w="90" w:type="dxa"/>
              <w:left w:w="90" w:type="dxa"/>
              <w:bottom w:w="90" w:type="dxa"/>
              <w:right w:w="90" w:type="dxa"/>
            </w:tcMar>
          </w:tcPr>
          <w:p>
            <w:pPr>
              <w:spacing w:after="0"/>
            </w:pPr>
            <w:r>
              <w:rPr>
                <w:sz w:val="16"/>
              </w:rPr>
              <w:t>Radiation / environment</w:t>
            </w:r>
          </w:p>
        </w:tc>
        <w:tc>
          <w:tcPr>
            <w:tcW w:type="dxa" w:w="4680"/>
            <w:vAlign w:val="center"/>
            <w:shd w:fill="F6F8FA"/>
            <w:tcMar>
              <w:top w:w="90" w:type="dxa"/>
              <w:left w:w="90" w:type="dxa"/>
              <w:bottom w:w="90" w:type="dxa"/>
              <w:right w:w="90" w:type="dxa"/>
            </w:tcMar>
          </w:tcPr>
          <w:p>
            <w:pPr>
              <w:spacing w:after="0"/>
            </w:pPr>
            <w:r>
              <w:rPr>
                <w:sz w:val="16"/>
              </w:rPr>
              <w:t>Qualified for Three geostationary slots at nominal longitudes 40°, 160° and 280°E, each h</w:t>
            </w:r>
          </w:p>
        </w:tc>
      </w:tr>
    </w:tbl>
    <w:p>
      <w:pPr>
        <w:pStyle w:val="Heading3"/>
      </w:pPr>
      <w:r>
        <w:t>Onboard Calibration</w:t>
      </w:r>
    </w:p>
    <w:p>
      <w:pPr/>
      <w:r>
        <w:t>Calibration is designed around traceable reference states rather than a generic check flag. A pre-deployment baseline, scheduled in-operation reference and post-anomaly verification distinguish genuine environment or biological changes from instrument drift.</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requirement / target</w:t>
            </w:r>
          </w:p>
        </w:tc>
      </w:tr>
      <w:tr>
        <w:tc>
          <w:tcPr>
            <w:tcW w:type="dxa" w:w="4680"/>
            <w:vAlign w:val="center"/>
            <w:tcMar>
              <w:top w:w="90" w:type="dxa"/>
              <w:left w:w="90" w:type="dxa"/>
              <w:bottom w:w="90" w:type="dxa"/>
              <w:right w:w="90" w:type="dxa"/>
            </w:tcMar>
          </w:tcPr>
          <w:p>
            <w:pPr>
              <w:spacing w:after="0"/>
            </w:pPr>
            <w:r>
              <w:rPr>
                <w:sz w:val="16"/>
              </w:rPr>
              <w:t>Calibration type</w:t>
            </w:r>
          </w:p>
        </w:tc>
        <w:tc>
          <w:tcPr>
            <w:tcW w:type="dxa" w:w="4680"/>
            <w:vAlign w:val="center"/>
            <w:tcMar>
              <w:top w:w="90" w:type="dxa"/>
              <w:left w:w="90" w:type="dxa"/>
              <w:bottom w:w="90" w:type="dxa"/>
              <w:right w:w="90" w:type="dxa"/>
            </w:tcMar>
          </w:tcPr>
          <w:p>
            <w:pPr>
              <w:spacing w:after="0"/>
            </w:pPr>
            <w:r>
              <w:rPr>
                <w:sz w:val="16"/>
              </w:rPr>
              <w:t>Radiometric, geometric, biological, material or electrical as applicable</w:t>
            </w:r>
          </w:p>
        </w:tc>
      </w:tr>
      <w:tr>
        <w:tc>
          <w:tcPr>
            <w:tcW w:type="dxa" w:w="4680"/>
            <w:vAlign w:val="center"/>
            <w:shd w:fill="F6F8FA"/>
            <w:tcMar>
              <w:top w:w="90" w:type="dxa"/>
              <w:left w:w="90" w:type="dxa"/>
              <w:bottom w:w="90" w:type="dxa"/>
              <w:right w:w="90" w:type="dxa"/>
            </w:tcMar>
          </w:tcPr>
          <w:p>
            <w:pPr>
              <w:spacing w:after="0"/>
            </w:pPr>
            <w:r>
              <w:rPr>
                <w:sz w:val="16"/>
              </w:rPr>
              <w:t>Primary reference</w:t>
            </w:r>
          </w:p>
        </w:tc>
        <w:tc>
          <w:tcPr>
            <w:tcW w:type="dxa" w:w="4680"/>
            <w:vAlign w:val="center"/>
            <w:shd w:fill="F6F8FA"/>
            <w:tcMar>
              <w:top w:w="90" w:type="dxa"/>
              <w:left w:w="90" w:type="dxa"/>
              <w:bottom w:w="90" w:type="dxa"/>
              <w:right w:w="90" w:type="dxa"/>
            </w:tcMar>
          </w:tcPr>
          <w:p>
            <w:pPr>
              <w:spacing w:after="0"/>
            </w:pPr>
            <w:r>
              <w:rPr>
                <w:sz w:val="16"/>
              </w:rPr>
              <w:t>Cryptographic command boundary</w:t>
            </w:r>
          </w:p>
        </w:tc>
      </w:tr>
      <w:tr>
        <w:tc>
          <w:tcPr>
            <w:tcW w:type="dxa" w:w="4680"/>
            <w:vAlign w:val="center"/>
            <w:tcMar>
              <w:top w:w="90" w:type="dxa"/>
              <w:left w:w="90" w:type="dxa"/>
              <w:bottom w:w="90" w:type="dxa"/>
              <w:right w:w="90" w:type="dxa"/>
            </w:tcMar>
          </w:tcPr>
          <w:p>
            <w:pPr>
              <w:spacing w:after="0"/>
            </w:pPr>
            <w:r>
              <w:rPr>
                <w:sz w:val="16"/>
              </w:rPr>
              <w:t>Frequency</w:t>
            </w:r>
          </w:p>
        </w:tc>
        <w:tc>
          <w:tcPr>
            <w:tcW w:type="dxa" w:w="4680"/>
            <w:vAlign w:val="center"/>
            <w:tcMar>
              <w:top w:w="90" w:type="dxa"/>
              <w:left w:w="90" w:type="dxa"/>
              <w:bottom w:w="90" w:type="dxa"/>
              <w:right w:w="90" w:type="dxa"/>
            </w:tcMar>
          </w:tcPr>
          <w:p>
            <w:pPr>
              <w:spacing w:after="0"/>
            </w:pPr>
            <w:r>
              <w:rPr>
                <w:sz w:val="16"/>
              </w:rPr>
              <w:t>At commissioning, after anomaly and on a scheduled monthly cadence</w:t>
            </w:r>
          </w:p>
        </w:tc>
      </w:tr>
      <w:tr>
        <w:tc>
          <w:tcPr>
            <w:tcW w:type="dxa" w:w="4680"/>
            <w:vAlign w:val="center"/>
            <w:shd w:fill="F6F8FA"/>
            <w:tcMar>
              <w:top w:w="90" w:type="dxa"/>
              <w:left w:w="90" w:type="dxa"/>
              <w:bottom w:w="90" w:type="dxa"/>
              <w:right w:w="90" w:type="dxa"/>
            </w:tcMar>
          </w:tcPr>
          <w:p>
            <w:pPr>
              <w:spacing w:after="0"/>
            </w:pPr>
            <w:r>
              <w:rPr>
                <w:sz w:val="16"/>
              </w:rPr>
              <w:t>Environmental dependency</w:t>
            </w:r>
          </w:p>
        </w:tc>
        <w:tc>
          <w:tcPr>
            <w:tcW w:type="dxa" w:w="4680"/>
            <w:vAlign w:val="center"/>
            <w:shd w:fill="F6F8FA"/>
            <w:tcMar>
              <w:top w:w="90" w:type="dxa"/>
              <w:left w:w="90" w:type="dxa"/>
              <w:bottom w:w="90" w:type="dxa"/>
              <w:right w:w="90" w:type="dxa"/>
            </w:tcMar>
          </w:tcPr>
          <w:p>
            <w:pPr>
              <w:spacing w:after="0"/>
            </w:pPr>
            <w:r>
              <w:rPr>
                <w:sz w:val="16"/>
              </w:rPr>
              <w:t>Geostationary eclipse hot/cold cases; payload electronics maintained 5–40 °C; 2.8 m² radiator area reference with payload heat rejection sized to ≥2.3 kW.</w:t>
            </w:r>
          </w:p>
        </w:tc>
      </w:tr>
      <w:tr>
        <w:tc>
          <w:tcPr>
            <w:tcW w:type="dxa" w:w="4680"/>
            <w:vAlign w:val="center"/>
            <w:tcMar>
              <w:top w:w="90" w:type="dxa"/>
              <w:left w:w="90" w:type="dxa"/>
              <w:bottom w:w="90" w:type="dxa"/>
              <w:right w:w="90" w:type="dxa"/>
            </w:tcMar>
          </w:tcPr>
          <w:p>
            <w:pPr>
              <w:spacing w:after="0"/>
            </w:pPr>
            <w:r>
              <w:rPr>
                <w:sz w:val="16"/>
              </w:rPr>
              <w:t>Long-term drift</w:t>
            </w:r>
          </w:p>
        </w:tc>
        <w:tc>
          <w:tcPr>
            <w:tcW w:type="dxa" w:w="4680"/>
            <w:vAlign w:val="center"/>
            <w:tcMar>
              <w:top w:w="90" w:type="dxa"/>
              <w:left w:w="90" w:type="dxa"/>
              <w:bottom w:w="90" w:type="dxa"/>
              <w:right w:w="90" w:type="dxa"/>
            </w:tcMar>
          </w:tcPr>
          <w:p>
            <w:pPr>
              <w:spacing w:after="0"/>
            </w:pPr>
            <w:r>
              <w:rPr>
                <w:sz w:val="16"/>
              </w:rPr>
              <w:t>Trend against accepted reference and flag &gt;2% unexplained change</w:t>
            </w:r>
          </w:p>
        </w:tc>
      </w:tr>
      <w:tr>
        <w:tc>
          <w:tcPr>
            <w:tcW w:type="dxa" w:w="4680"/>
            <w:vAlign w:val="center"/>
            <w:shd w:fill="F6F8FA"/>
            <w:tcMar>
              <w:top w:w="90" w:type="dxa"/>
              <w:left w:w="90" w:type="dxa"/>
              <w:bottom w:w="90" w:type="dxa"/>
              <w:right w:w="90" w:type="dxa"/>
            </w:tcMar>
          </w:tcPr>
          <w:p>
            <w:pPr>
              <w:spacing w:after="0"/>
            </w:pPr>
            <w:r>
              <w:rPr>
                <w:sz w:val="16"/>
              </w:rPr>
              <w:t>Data linkage</w:t>
            </w:r>
          </w:p>
        </w:tc>
        <w:tc>
          <w:tcPr>
            <w:tcW w:type="dxa" w:w="4680"/>
            <w:vAlign w:val="center"/>
            <w:shd w:fill="F6F8FA"/>
            <w:tcMar>
              <w:top w:w="90" w:type="dxa"/>
              <w:left w:w="90" w:type="dxa"/>
              <w:bottom w:w="90" w:type="dxa"/>
              <w:right w:w="90" w:type="dxa"/>
            </w:tcMar>
          </w:tcPr>
          <w:p>
            <w:pPr>
              <w:spacing w:after="0"/>
            </w:pPr>
            <w:r>
              <w:rPr>
                <w:sz w:val="16"/>
              </w:rPr>
              <w:t>100% released products identify applicable calibration version</w:t>
            </w:r>
          </w:p>
        </w:tc>
      </w:tr>
      <w:tr>
        <w:tc>
          <w:tcPr>
            <w:tcW w:type="dxa" w:w="4680"/>
            <w:vAlign w:val="center"/>
            <w:tcMar>
              <w:top w:w="90" w:type="dxa"/>
              <w:left w:w="90" w:type="dxa"/>
              <w:bottom w:w="90" w:type="dxa"/>
              <w:right w:w="90" w:type="dxa"/>
            </w:tcMar>
          </w:tcPr>
          <w:p>
            <w:pPr>
              <w:spacing w:after="0"/>
            </w:pPr>
            <w:r>
              <w:rPr>
                <w:sz w:val="16"/>
              </w:rPr>
              <w:t>Independent verification</w:t>
            </w:r>
          </w:p>
        </w:tc>
        <w:tc>
          <w:tcPr>
            <w:tcW w:type="dxa" w:w="4680"/>
            <w:vAlign w:val="center"/>
            <w:tcMar>
              <w:top w:w="90" w:type="dxa"/>
              <w:left w:w="90" w:type="dxa"/>
              <w:bottom w:w="90" w:type="dxa"/>
              <w:right w:w="90" w:type="dxa"/>
            </w:tcMar>
          </w:tcPr>
          <w:p>
            <w:pPr>
              <w:spacing w:after="0"/>
            </w:pPr>
            <w:r>
              <w:rPr>
                <w:sz w:val="16"/>
              </w:rPr>
              <w:t>Recheck with Steerable multi-beam antenna assembly</w:t>
            </w:r>
          </w:p>
        </w:tc>
      </w:tr>
      <w:tr>
        <w:tc>
          <w:tcPr>
            <w:tcW w:type="dxa" w:w="4680"/>
            <w:vAlign w:val="center"/>
            <w:shd w:fill="F6F8FA"/>
            <w:tcMar>
              <w:top w:w="90" w:type="dxa"/>
              <w:left w:w="90" w:type="dxa"/>
              <w:bottom w:w="90" w:type="dxa"/>
              <w:right w:w="90" w:type="dxa"/>
            </w:tcMar>
          </w:tcPr>
          <w:p>
            <w:pPr>
              <w:spacing w:after="0"/>
            </w:pPr>
            <w:r>
              <w:rPr>
                <w:sz w:val="16"/>
              </w:rPr>
              <w:t>Instrument monitoring</w:t>
            </w:r>
          </w:p>
        </w:tc>
        <w:tc>
          <w:tcPr>
            <w:tcW w:type="dxa" w:w="4680"/>
            <w:vAlign w:val="center"/>
            <w:shd w:fill="F6F8FA"/>
            <w:tcMar>
              <w:top w:w="90" w:type="dxa"/>
              <w:left w:w="90" w:type="dxa"/>
              <w:bottom w:w="90" w:type="dxa"/>
              <w:right w:w="90" w:type="dxa"/>
            </w:tcMar>
          </w:tcPr>
          <w:p>
            <w:pPr>
              <w:spacing w:after="0"/>
            </w:pPr>
            <w:r>
              <w:rPr>
                <w:sz w:val="16"/>
              </w:rPr>
              <w:t>On each operating cycle</w:t>
            </w:r>
          </w:p>
        </w:tc>
      </w:tr>
      <w:tr>
        <w:tc>
          <w:tcPr>
            <w:tcW w:type="dxa" w:w="4680"/>
            <w:vAlign w:val="center"/>
            <w:tcMar>
              <w:top w:w="90" w:type="dxa"/>
              <w:left w:w="90" w:type="dxa"/>
              <w:bottom w:w="90" w:type="dxa"/>
              <w:right w:w="90" w:type="dxa"/>
            </w:tcMar>
          </w:tcPr>
          <w:p>
            <w:pPr>
              <w:spacing w:after="0"/>
            </w:pPr>
            <w:r>
              <w:rPr>
                <w:sz w:val="16"/>
              </w:rPr>
              <w:t>Mass / power</w:t>
            </w:r>
          </w:p>
        </w:tc>
        <w:tc>
          <w:tcPr>
            <w:tcW w:type="dxa" w:w="4680"/>
            <w:vAlign w:val="center"/>
            <w:tcMar>
              <w:top w:w="90" w:type="dxa"/>
              <w:left w:w="90" w:type="dxa"/>
              <w:bottom w:w="90" w:type="dxa"/>
              <w:right w:w="90" w:type="dxa"/>
            </w:tcMar>
          </w:tcPr>
          <w:p>
            <w:pPr>
              <w:spacing w:after="0"/>
            </w:pPr>
            <w:r>
              <w:rPr>
                <w:sz w:val="16"/>
              </w:rPr>
              <w:t>Within payload and system allocations</w:t>
            </w:r>
          </w:p>
        </w:tc>
      </w:tr>
    </w:tbl>
    <w:p>
      <w:pPr>
        <w:jc w:val="center"/>
      </w:pPr>
      <w:r>
        <w:drawing>
          <wp:inline xmlns:a="http://schemas.openxmlformats.org/drawingml/2006/main" xmlns:pic="http://schemas.openxmlformats.org/drawingml/2006/picture">
            <wp:extent cx="5852160" cy="1694329"/>
            <wp:docPr id="2" name="Picture 2"/>
            <wp:cNvGraphicFramePr>
              <a:graphicFrameLocks noChangeAspect="1"/>
            </wp:cNvGraphicFramePr>
            <a:graphic>
              <a:graphicData uri="http://schemas.openxmlformats.org/drawingml/2006/picture">
                <pic:pic>
                  <pic:nvPicPr>
                    <pic:cNvPr id="0" name="VPCS_payload.png"/>
                    <pic:cNvPicPr/>
                  </pic:nvPicPr>
                  <pic:blipFill>
                    <a:blip r:embed="rId21"/>
                    <a:stretch>
                      <a:fillRect/>
                    </a:stretch>
                  </pic:blipFill>
                  <pic:spPr>
                    <a:xfrm>
                      <a:off x="0" y="0"/>
                      <a:ext cx="5852160" cy="1694329"/>
                    </a:xfrm>
                    <a:prstGeom prst="rect"/>
                  </pic:spPr>
                </pic:pic>
              </a:graphicData>
            </a:graphic>
          </wp:inline>
        </w:drawing>
      </w:r>
    </w:p>
    <w:p>
      <w:pPr>
        <w:pStyle w:val="Caption"/>
      </w:pPr>
      <w:r>
        <w:t>Figure 2 – Payload measurement and data path. Components and output interfaces are explicitly labeled.</w:t>
      </w:r>
    </w:p>
    <w:p>
      <w:pPr>
        <w:pStyle w:val="Heading1"/>
      </w:pPr>
      <w:r>
        <w:t>Launch Segment Description</w:t>
      </w:r>
    </w:p>
    <w:p>
      <w:pPr/>
      <w:r>
        <w:t>Three separate launches; each 1,150 kg spacecraft + 150 kg adaptor = 1,300 kg to GTO, with service capability ≥1,500 kg per launch</w:t>
      </w:r>
    </w:p>
    <w:p>
      <w:pPr/>
      <w:r>
        <w:t>Delivery pricing shall separately identify vehicle or carrier service, packaging and adaptor, loading and contamination controls, integration testing, range or landing support, insurance if applicable and post-delivery transition. Any mass carried by a host rather than the flight unit is shown as a separate line and is not double counted.</w:t>
      </w:r>
    </w:p>
    <w:p>
      <w:pPr/>
      <w:r>
        <w:t>The final delivery contractor verifies mechanical fit, safety, compatibility, deployment, insertion or landing dispersions and acceptance criteria. The mission team performs final health checks before the affected unit is declared operational.</w:t>
      </w:r>
    </w:p>
    <w:p>
      <w:pPr/>
      <w:r>
        <w:t>Delivery preparation includes controlled packing, shipment and receiving inspection, integrated electrical checkout, safety review, interface sign-off and a final readiness decision. The handover record separates damage observed before launch or cargo installation from anomalies in early operation.</w:t>
      </w:r>
    </w:p>
    <w:p>
      <w:pPr/>
      <w:r>
        <w:t>Any alternate provider must meet the same delivered mass, envelope, power-on sequence, schedule and injection or landing accuracy. A provider change triggers re-verification of coupled loads and mission-specific interfaces.</w:t>
      </w:r>
    </w:p>
    <w:p>
      <w:pPr>
        <w:pStyle w:val="Heading1"/>
      </w:pPr>
      <w:r>
        <w:t>Ground Segment and Mission Operations</w:t>
      </w:r>
    </w:p>
    <w:p>
      <w:pPr/>
      <w:r>
        <w:t>Three protected gateways plus one backup gateway; ≥7 Gb/s aggregate terrestrial backhaul; dual network-control sites; 150 TB audit/archive capacity.</w:t>
      </w:r>
    </w:p>
    <w:p>
      <w:pPr/>
      <w:r>
        <w:t>Each of eight beams carries 125 MHz × 2.0 net bit/s/Hz = 250 Mb/s; eight beams yield 2.0 Gb/s usable per spacecraft after coding allocation. Gateway capacity is separately sized.</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Ground Segment Element</w:t>
            </w:r>
          </w:p>
        </w:tc>
        <w:tc>
          <w:tcPr>
            <w:tcW w:type="dxa" w:w="4680"/>
            <w:vAlign w:val="center"/>
            <w:shd w:fill="DDE6EF"/>
            <w:tcMar>
              <w:top w:w="90" w:type="dxa"/>
              <w:left w:w="90" w:type="dxa"/>
              <w:bottom w:w="90" w:type="dxa"/>
              <w:right w:w="90" w:type="dxa"/>
            </w:tcMar>
          </w:tcPr>
          <w:p>
            <w:pPr>
              <w:spacing w:after="0"/>
            </w:pPr>
            <w:r>
              <w:rPr>
                <w:b/>
                <w:sz w:val="16"/>
              </w:rPr>
              <w:t>Description</w:t>
            </w:r>
          </w:p>
        </w:tc>
      </w:tr>
      <w:tr>
        <w:tc>
          <w:tcPr>
            <w:tcW w:type="dxa" w:w="4680"/>
            <w:vAlign w:val="center"/>
            <w:tcMar>
              <w:top w:w="90" w:type="dxa"/>
              <w:left w:w="90" w:type="dxa"/>
              <w:bottom w:w="90" w:type="dxa"/>
              <w:right w:w="90" w:type="dxa"/>
            </w:tcMar>
          </w:tcPr>
          <w:p>
            <w:pPr>
              <w:spacing w:after="0"/>
            </w:pPr>
            <w:r>
              <w:rPr>
                <w:sz w:val="16"/>
              </w:rPr>
              <w:t>Mission Planning System</w:t>
            </w:r>
          </w:p>
        </w:tc>
        <w:tc>
          <w:tcPr>
            <w:tcW w:type="dxa" w:w="4680"/>
            <w:vAlign w:val="center"/>
            <w:tcMar>
              <w:top w:w="90" w:type="dxa"/>
              <w:left w:w="90" w:type="dxa"/>
              <w:bottom w:w="90" w:type="dxa"/>
              <w:right w:w="90" w:type="dxa"/>
            </w:tcMar>
          </w:tcPr>
          <w:p>
            <w:pPr>
              <w:spacing w:after="0"/>
            </w:pPr>
            <w:r>
              <w:rPr>
                <w:sz w:val="16"/>
              </w:rPr>
              <w:t>Schedules commanded measurement, service or observation periods and checks resource constraints.</w:t>
            </w:r>
          </w:p>
        </w:tc>
      </w:tr>
      <w:tr>
        <w:tc>
          <w:tcPr>
            <w:tcW w:type="dxa" w:w="4680"/>
            <w:vAlign w:val="center"/>
            <w:shd w:fill="F6F8FA"/>
            <w:tcMar>
              <w:top w:w="90" w:type="dxa"/>
              <w:left w:w="90" w:type="dxa"/>
              <w:bottom w:w="90" w:type="dxa"/>
              <w:right w:w="90" w:type="dxa"/>
            </w:tcMar>
          </w:tcPr>
          <w:p>
            <w:pPr>
              <w:spacing w:after="0"/>
            </w:pPr>
            <w:r>
              <w:rPr>
                <w:sz w:val="16"/>
              </w:rPr>
              <w:t>Control System</w:t>
            </w:r>
          </w:p>
        </w:tc>
        <w:tc>
          <w:tcPr>
            <w:tcW w:type="dxa" w:w="4680"/>
            <w:vAlign w:val="center"/>
            <w:shd w:fill="F6F8FA"/>
            <w:tcMar>
              <w:top w:w="90" w:type="dxa"/>
              <w:left w:w="90" w:type="dxa"/>
              <w:bottom w:w="90" w:type="dxa"/>
              <w:right w:w="90" w:type="dxa"/>
            </w:tcMar>
          </w:tcPr>
          <w:p>
            <w:pPr>
              <w:spacing w:after="0"/>
            </w:pPr>
            <w:r>
              <w:rPr>
                <w:sz w:val="16"/>
              </w:rPr>
              <w:t>Monitors status, authorizes command, handles anomaly response and keeps configuration history.</w:t>
            </w:r>
          </w:p>
        </w:tc>
      </w:tr>
      <w:tr>
        <w:tc>
          <w:tcPr>
            <w:tcW w:type="dxa" w:w="4680"/>
            <w:vAlign w:val="center"/>
            <w:tcMar>
              <w:top w:w="90" w:type="dxa"/>
              <w:left w:w="90" w:type="dxa"/>
              <w:bottom w:w="90" w:type="dxa"/>
              <w:right w:w="90" w:type="dxa"/>
            </w:tcMar>
          </w:tcPr>
          <w:p>
            <w:pPr>
              <w:spacing w:after="0"/>
            </w:pPr>
            <w:r>
              <w:rPr>
                <w:sz w:val="16"/>
              </w:rPr>
              <w:t>Receiving Stations / Host Link</w:t>
            </w:r>
          </w:p>
        </w:tc>
        <w:tc>
          <w:tcPr>
            <w:tcW w:type="dxa" w:w="4680"/>
            <w:vAlign w:val="center"/>
            <w:tcMar>
              <w:top w:w="90" w:type="dxa"/>
              <w:left w:w="90" w:type="dxa"/>
              <w:bottom w:w="90" w:type="dxa"/>
              <w:right w:w="90" w:type="dxa"/>
            </w:tcMar>
          </w:tcPr>
          <w:p>
            <w:pPr>
              <w:spacing w:after="0"/>
            </w:pPr>
            <w:r>
              <w:rPr>
                <w:sz w:val="16"/>
              </w:rPr>
              <w:t>Three protected gateways plus one backup gateway; ≥7 Gb/s aggregate terrestrial backhaul; dual network-control sites; 150 TB audit/archive capacity.</w:t>
            </w:r>
          </w:p>
        </w:tc>
      </w:tr>
      <w:tr>
        <w:tc>
          <w:tcPr>
            <w:tcW w:type="dxa" w:w="4680"/>
            <w:vAlign w:val="center"/>
            <w:shd w:fill="F6F8FA"/>
            <w:tcMar>
              <w:top w:w="90" w:type="dxa"/>
              <w:left w:w="90" w:type="dxa"/>
              <w:bottom w:w="90" w:type="dxa"/>
              <w:right w:w="90" w:type="dxa"/>
            </w:tcMar>
          </w:tcPr>
          <w:p>
            <w:pPr>
              <w:spacing w:after="0"/>
            </w:pPr>
            <w:r>
              <w:rPr>
                <w:sz w:val="16"/>
              </w:rPr>
              <w:t>Operations Team</w:t>
            </w:r>
          </w:p>
        </w:tc>
        <w:tc>
          <w:tcPr>
            <w:tcW w:type="dxa" w:w="4680"/>
            <w:vAlign w:val="center"/>
            <w:shd w:fill="F6F8FA"/>
            <w:tcMar>
              <w:top w:w="90" w:type="dxa"/>
              <w:left w:w="90" w:type="dxa"/>
              <w:bottom w:w="90" w:type="dxa"/>
              <w:right w:w="90" w:type="dxa"/>
            </w:tcMar>
          </w:tcPr>
          <w:p>
            <w:pPr>
              <w:spacing w:after="0"/>
            </w:pPr>
            <w:r>
              <w:rPr>
                <w:sz w:val="16"/>
              </w:rPr>
              <w:t>Staffed planned operations with automated alarm and on-call response.</w:t>
            </w:r>
          </w:p>
        </w:tc>
      </w:tr>
      <w:tr>
        <w:tc>
          <w:tcPr>
            <w:tcW w:type="dxa" w:w="4680"/>
            <w:vAlign w:val="center"/>
            <w:tcMar>
              <w:top w:w="90" w:type="dxa"/>
              <w:left w:w="90" w:type="dxa"/>
              <w:bottom w:w="90" w:type="dxa"/>
              <w:right w:w="90" w:type="dxa"/>
            </w:tcMar>
          </w:tcPr>
          <w:p>
            <w:pPr>
              <w:spacing w:after="0"/>
            </w:pPr>
            <w:r>
              <w:rPr>
                <w:sz w:val="16"/>
              </w:rPr>
              <w:t>Processing and Archive</w:t>
            </w:r>
          </w:p>
        </w:tc>
        <w:tc>
          <w:tcPr>
            <w:tcW w:type="dxa" w:w="4680"/>
            <w:vAlign w:val="center"/>
            <w:tcMar>
              <w:top w:w="90" w:type="dxa"/>
              <w:left w:w="90" w:type="dxa"/>
              <w:bottom w:w="90" w:type="dxa"/>
              <w:right w:w="90" w:type="dxa"/>
            </w:tcMar>
          </w:tcPr>
          <w:p>
            <w:pPr>
              <w:spacing w:after="0"/>
            </w:pPr>
            <w:r>
              <w:rPr>
                <w:sz w:val="16"/>
              </w:rPr>
              <w:t>Level 0 packet retention; Level 1 calibration; Level 2 products with preserved lineage.</w:t>
            </w:r>
          </w:p>
        </w:tc>
      </w:tr>
      <w:tr>
        <w:tc>
          <w:tcPr>
            <w:tcW w:type="dxa" w:w="4680"/>
            <w:vAlign w:val="center"/>
            <w:shd w:fill="F6F8FA"/>
            <w:tcMar>
              <w:top w:w="90" w:type="dxa"/>
              <w:left w:w="90" w:type="dxa"/>
              <w:bottom w:w="90" w:type="dxa"/>
              <w:right w:w="90" w:type="dxa"/>
            </w:tcMar>
          </w:tcPr>
          <w:p>
            <w:pPr>
              <w:spacing w:after="0"/>
            </w:pPr>
            <w:r>
              <w:rPr>
                <w:sz w:val="16"/>
              </w:rPr>
              <w:t>Data Volume / Availability</w:t>
            </w:r>
          </w:p>
        </w:tc>
        <w:tc>
          <w:tcPr>
            <w:tcW w:type="dxa" w:w="4680"/>
            <w:vAlign w:val="center"/>
            <w:shd w:fill="F6F8FA"/>
            <w:tcMar>
              <w:top w:w="90" w:type="dxa"/>
              <w:left w:w="90" w:type="dxa"/>
              <w:bottom w:w="90" w:type="dxa"/>
              <w:right w:w="90" w:type="dxa"/>
            </w:tcMar>
          </w:tcPr>
          <w:p>
            <w:pPr>
              <w:spacing w:after="0"/>
            </w:pPr>
            <w:r>
              <w:rPr>
                <w:sz w:val="16"/>
              </w:rPr>
              <w:t>18 GB/day per spacecraft of encrypted network logs and housekeeping; user traffic is relayed rather than archived onboard; scheduled ground service availability ≥99%.</w:t>
            </w:r>
          </w:p>
        </w:tc>
      </w:tr>
    </w:tbl>
    <w:p>
      <w:pPr/>
      <w:r>
        <w:t>The daily return is 18 GB/day per spacecraft of encrypted network logs and housekeeping; user traffic is relayed rather than archived onboard. Downlink capacity and stored-data volume shall close under a minimum 48-hour missed-contact case, except where host operations impose a different approved case. Science release depends on validation, access permissions and a documented reprocessing path.</w:t>
      </w:r>
    </w:p>
    <w:p>
      <w:pPr/>
      <w:r>
        <w:t>Mission operations include daily planning, health trending, commands, flight dynamics or host status, calibrated processing, anomaly resolution and archive integrity. Nominal staffing is a planned shift with continuous alarm routing; time-critical encounters or crew procedures require separate surge coverage.</w:t>
      </w:r>
    </w:p>
    <w:p>
      <w:pPr/>
      <w:r>
        <w:t>The data archive retains source packets, released products, calibration files, algorithm version and exceptions. Capacity in Three protected gateways plus one backup gateway; ≥7 Gb/s aggregate terrestrial backhaul; dual network-control sites; 150 TB audit/archive capacity. is a planning provision that shall be verified against years of operation, replication and reprocessing.</w:t>
      </w:r>
    </w:p>
    <w:p>
      <w:pPr>
        <w:pStyle w:val="Heading1"/>
      </w:pPr>
      <w:r>
        <w:t>Systems Engineering and Project Management Approach</w:t>
      </w:r>
    </w:p>
    <w:p>
      <w:pPr>
        <w:pStyle w:val="Heading2"/>
      </w:pPr>
      <w:r>
        <w:t>TRL Levels and Heritage</w:t>
      </w:r>
    </w:p>
    <w:p>
      <w:pPr/>
      <w:r>
        <w:t>A similar component class does not establish mission-specific qualification. Critical payload, software, biological, medical or manufacturing elements target TRL 6 at PDR and TRL 8 before acceptance. The evidence register identifies the exact hardware/software configuration, environment and remaining work for each claim.</w:t>
      </w:r>
    </w:p>
    <w:p>
      <w:pPr>
        <w:pStyle w:val="Heading2"/>
      </w:pPr>
      <w:r>
        <w:t>Phasing Logic and Naming Conventions</w:t>
      </w:r>
    </w:p>
    <w:p>
      <w:pPr>
        <w:pStyle w:val="BodyText"/>
      </w:pPr>
      <w:r>
        <w:t>The costing convention separates early concept work, definition, design, subsystem manufacture and test, system integration, delivery, commissioning, nominal operations and closeout. Phase labels are mapped to the project schedule in Part C.</w:t>
      </w:r>
    </w:p>
    <w:p>
      <w:pPr>
        <w:pStyle w:val="Caption"/>
      </w:pPr>
      <w:r>
        <w:t>Table 3 – Costing Phase Crosswalk</w:t>
      </w:r>
    </w:p>
    <w:tbl>
      <w:tblPr>
        <w:tblStyle w:val="TableGrid"/>
        <w:tblW w:type="auto" w:w="0"/>
        <w:jc w:val="center"/>
        <w:tblLayout w:type="fixed"/>
        <w:tblLook w:firstColumn="1" w:firstRow="1" w:lastColumn="0" w:lastRow="0" w:noHBand="0" w:noVBand="1" w:val="04A0"/>
      </w:tblPr>
      <w:tblGrid>
        <w:gridCol w:w="1872"/>
        <w:gridCol w:w="4032"/>
        <w:gridCol w:w="3168"/>
      </w:tblGrid>
      <w:tr>
        <w:trPr>
          <w:tblHeader w:val="true"/>
        </w:trPr>
        <w:tc>
          <w:tcPr>
            <w:tcW w:type="dxa" w:w="3120"/>
            <w:vAlign w:val="center"/>
            <w:shd w:fill="DDE6EF"/>
            <w:tcMar>
              <w:top w:w="90" w:type="dxa"/>
              <w:left w:w="90" w:type="dxa"/>
              <w:bottom w:w="90" w:type="dxa"/>
              <w:right w:w="90" w:type="dxa"/>
            </w:tcMar>
          </w:tcPr>
          <w:p>
            <w:pPr>
              <w:spacing w:after="0"/>
            </w:pPr>
            <w:r>
              <w:rPr>
                <w:b/>
                <w:sz w:val="16"/>
              </w:rPr>
              <w:t>Costing nomenclature</w:t>
            </w:r>
          </w:p>
        </w:tc>
        <w:tc>
          <w:tcPr>
            <w:tcW w:type="dxa" w:w="3120"/>
            <w:vAlign w:val="center"/>
            <w:shd w:fill="DDE6EF"/>
            <w:tcMar>
              <w:top w:w="90" w:type="dxa"/>
              <w:left w:w="90" w:type="dxa"/>
              <w:bottom w:w="90" w:type="dxa"/>
              <w:right w:w="90" w:type="dxa"/>
            </w:tcMar>
          </w:tcPr>
          <w:p>
            <w:pPr>
              <w:spacing w:after="0"/>
            </w:pPr>
            <w:r>
              <w:rPr>
                <w:b/>
                <w:sz w:val="16"/>
              </w:rPr>
              <w:t>Phase description</w:t>
            </w:r>
          </w:p>
        </w:tc>
        <w:tc>
          <w:tcPr>
            <w:tcW w:type="dxa" w:w="3120"/>
            <w:vAlign w:val="center"/>
            <w:shd w:fill="DDE6EF"/>
            <w:tcMar>
              <w:top w:w="90" w:type="dxa"/>
              <w:left w:w="90" w:type="dxa"/>
              <w:bottom w:w="90" w:type="dxa"/>
              <w:right w:w="90" w:type="dxa"/>
            </w:tcMar>
          </w:tcPr>
          <w:p>
            <w:pPr>
              <w:spacing w:after="0"/>
            </w:pPr>
            <w:r>
              <w:rPr>
                <w:b/>
                <w:sz w:val="16"/>
              </w:rPr>
              <w:t>Project name</w:t>
            </w:r>
          </w:p>
        </w:tc>
      </w:tr>
      <w:tr>
        <w:tc>
          <w:tcPr>
            <w:tcW w:type="dxa" w:w="3120"/>
            <w:vAlign w:val="center"/>
            <w:tcMar>
              <w:top w:w="90" w:type="dxa"/>
              <w:left w:w="90" w:type="dxa"/>
              <w:bottom w:w="90" w:type="dxa"/>
              <w:right w:w="90" w:type="dxa"/>
            </w:tcMar>
          </w:tcPr>
          <w:p>
            <w:pPr>
              <w:spacing w:after="0"/>
            </w:pPr>
            <w:r>
              <w:rPr>
                <w:sz w:val="16"/>
              </w:rPr>
              <w:t>PREP 1</w:t>
            </w:r>
          </w:p>
        </w:tc>
        <w:tc>
          <w:tcPr>
            <w:tcW w:type="dxa" w:w="3120"/>
            <w:vAlign w:val="center"/>
            <w:tcMar>
              <w:top w:w="90" w:type="dxa"/>
              <w:left w:w="90" w:type="dxa"/>
              <w:bottom w:w="90" w:type="dxa"/>
              <w:right w:w="90" w:type="dxa"/>
            </w:tcMar>
          </w:tcPr>
          <w:p>
            <w:pPr>
              <w:spacing w:after="0"/>
            </w:pPr>
            <w:r>
              <w:rPr>
                <w:sz w:val="16"/>
              </w:rPr>
              <w:t>Pre-gate prototyping</w:t>
            </w:r>
          </w:p>
        </w:tc>
        <w:tc>
          <w:tcPr>
            <w:tcW w:type="dxa" w:w="3120"/>
            <w:vAlign w:val="center"/>
            <w:tcMar>
              <w:top w:w="90" w:type="dxa"/>
              <w:left w:w="90" w:type="dxa"/>
              <w:bottom w:w="90" w:type="dxa"/>
              <w:right w:w="90" w:type="dxa"/>
            </w:tcMar>
          </w:tcPr>
          <w:p>
            <w:pPr>
              <w:spacing w:after="0"/>
            </w:pPr>
            <w:r>
              <w:rPr>
                <w:sz w:val="16"/>
              </w:rPr>
              <w:t>Technology maturation</w:t>
            </w:r>
          </w:p>
        </w:tc>
      </w:tr>
      <w:tr>
        <w:tc>
          <w:tcPr>
            <w:tcW w:type="dxa" w:w="3120"/>
            <w:vAlign w:val="center"/>
            <w:shd w:fill="F6F8FA"/>
            <w:tcMar>
              <w:top w:w="90" w:type="dxa"/>
              <w:left w:w="90" w:type="dxa"/>
              <w:bottom w:w="90" w:type="dxa"/>
              <w:right w:w="90" w:type="dxa"/>
            </w:tcMar>
          </w:tcPr>
          <w:p>
            <w:pPr>
              <w:spacing w:after="0"/>
            </w:pPr>
            <w:r>
              <w:rPr>
                <w:sz w:val="16"/>
              </w:rPr>
              <w:t>PREP 2</w:t>
            </w:r>
          </w:p>
        </w:tc>
        <w:tc>
          <w:tcPr>
            <w:tcW w:type="dxa" w:w="3120"/>
            <w:vAlign w:val="center"/>
            <w:shd w:fill="F6F8FA"/>
            <w:tcMar>
              <w:top w:w="90" w:type="dxa"/>
              <w:left w:w="90" w:type="dxa"/>
              <w:bottom w:w="90" w:type="dxa"/>
              <w:right w:w="90" w:type="dxa"/>
            </w:tcMar>
          </w:tcPr>
          <w:p>
            <w:pPr>
              <w:spacing w:after="0"/>
            </w:pPr>
            <w:r>
              <w:rPr>
                <w:sz w:val="16"/>
              </w:rPr>
              <w:t>Phase 0/A prototyping</w:t>
            </w:r>
          </w:p>
        </w:tc>
        <w:tc>
          <w:tcPr>
            <w:tcW w:type="dxa" w:w="3120"/>
            <w:vAlign w:val="center"/>
            <w:shd w:fill="F6F8FA"/>
            <w:tcMar>
              <w:top w:w="90" w:type="dxa"/>
              <w:left w:w="90" w:type="dxa"/>
              <w:bottom w:w="90" w:type="dxa"/>
              <w:right w:w="90" w:type="dxa"/>
            </w:tcMar>
          </w:tcPr>
          <w:p>
            <w:pPr>
              <w:spacing w:after="0"/>
            </w:pPr>
            <w:r>
              <w:rPr>
                <w:sz w:val="16"/>
              </w:rPr>
              <w:t>Concept demonstrations</w:t>
            </w:r>
          </w:p>
        </w:tc>
      </w:tr>
      <w:tr>
        <w:tc>
          <w:tcPr>
            <w:tcW w:type="dxa" w:w="3120"/>
            <w:vAlign w:val="center"/>
            <w:tcMar>
              <w:top w:w="90" w:type="dxa"/>
              <w:left w:w="90" w:type="dxa"/>
              <w:bottom w:w="90" w:type="dxa"/>
              <w:right w:w="90" w:type="dxa"/>
            </w:tcMar>
          </w:tcPr>
          <w:p>
            <w:pPr>
              <w:spacing w:after="0"/>
            </w:pPr>
            <w:r>
              <w:rPr>
                <w:sz w:val="16"/>
              </w:rPr>
              <w:t>Phase 0</w:t>
            </w:r>
          </w:p>
        </w:tc>
        <w:tc>
          <w:tcPr>
            <w:tcW w:type="dxa" w:w="3120"/>
            <w:vAlign w:val="center"/>
            <w:tcMar>
              <w:top w:w="90" w:type="dxa"/>
              <w:left w:w="90" w:type="dxa"/>
              <w:bottom w:w="90" w:type="dxa"/>
              <w:right w:w="90" w:type="dxa"/>
            </w:tcMar>
          </w:tcPr>
          <w:p>
            <w:pPr>
              <w:spacing w:after="0"/>
            </w:pPr>
            <w:r>
              <w:rPr>
                <w:sz w:val="16"/>
              </w:rPr>
              <w:t>Concept and feasibility</w:t>
            </w:r>
          </w:p>
        </w:tc>
        <w:tc>
          <w:tcPr>
            <w:tcW w:type="dxa" w:w="3120"/>
            <w:vAlign w:val="center"/>
            <w:tcMar>
              <w:top w:w="90" w:type="dxa"/>
              <w:left w:w="90" w:type="dxa"/>
              <w:bottom w:w="90" w:type="dxa"/>
              <w:right w:w="90" w:type="dxa"/>
            </w:tcMar>
          </w:tcPr>
          <w:p>
            <w:pPr>
              <w:spacing w:after="0"/>
            </w:pPr>
            <w:r>
              <w:rPr>
                <w:sz w:val="16"/>
              </w:rPr>
              <w:t>Concept</w:t>
            </w:r>
          </w:p>
        </w:tc>
      </w:tr>
      <w:tr>
        <w:tc>
          <w:tcPr>
            <w:tcW w:type="dxa" w:w="3120"/>
            <w:vAlign w:val="center"/>
            <w:shd w:fill="F6F8FA"/>
            <w:tcMar>
              <w:top w:w="90" w:type="dxa"/>
              <w:left w:w="90" w:type="dxa"/>
              <w:bottom w:w="90" w:type="dxa"/>
              <w:right w:w="90" w:type="dxa"/>
            </w:tcMar>
          </w:tcPr>
          <w:p>
            <w:pPr>
              <w:spacing w:after="0"/>
            </w:pPr>
            <w:r>
              <w:rPr>
                <w:sz w:val="16"/>
              </w:rPr>
              <w:t>Phase A</w:t>
            </w:r>
          </w:p>
        </w:tc>
        <w:tc>
          <w:tcPr>
            <w:tcW w:type="dxa" w:w="3120"/>
            <w:vAlign w:val="center"/>
            <w:shd w:fill="F6F8FA"/>
            <w:tcMar>
              <w:top w:w="90" w:type="dxa"/>
              <w:left w:w="90" w:type="dxa"/>
              <w:bottom w:w="90" w:type="dxa"/>
              <w:right w:w="90" w:type="dxa"/>
            </w:tcMar>
          </w:tcPr>
          <w:p>
            <w:pPr>
              <w:spacing w:after="0"/>
            </w:pPr>
            <w:r>
              <w:rPr>
                <w:sz w:val="16"/>
              </w:rPr>
              <w:t>System definition</w:t>
            </w:r>
          </w:p>
        </w:tc>
        <w:tc>
          <w:tcPr>
            <w:tcW w:type="dxa" w:w="3120"/>
            <w:vAlign w:val="center"/>
            <w:shd w:fill="F6F8FA"/>
            <w:tcMar>
              <w:top w:w="90" w:type="dxa"/>
              <w:left w:w="90" w:type="dxa"/>
              <w:bottom w:w="90" w:type="dxa"/>
              <w:right w:w="90" w:type="dxa"/>
            </w:tcMar>
          </w:tcPr>
          <w:p>
            <w:pPr>
              <w:spacing w:after="0"/>
            </w:pPr>
            <w:r>
              <w:rPr>
                <w:sz w:val="16"/>
              </w:rPr>
              <w:t>Definition</w:t>
            </w:r>
          </w:p>
        </w:tc>
      </w:tr>
      <w:tr>
        <w:tc>
          <w:tcPr>
            <w:tcW w:type="dxa" w:w="3120"/>
            <w:vAlign w:val="center"/>
            <w:tcMar>
              <w:top w:w="90" w:type="dxa"/>
              <w:left w:w="90" w:type="dxa"/>
              <w:bottom w:w="90" w:type="dxa"/>
              <w:right w:w="90" w:type="dxa"/>
            </w:tcMar>
          </w:tcPr>
          <w:p>
            <w:pPr>
              <w:spacing w:after="0"/>
            </w:pPr>
            <w:r>
              <w:rPr>
                <w:sz w:val="16"/>
              </w:rPr>
              <w:t>Phase B</w:t>
            </w:r>
          </w:p>
        </w:tc>
        <w:tc>
          <w:tcPr>
            <w:tcW w:type="dxa" w:w="3120"/>
            <w:vAlign w:val="center"/>
            <w:tcMar>
              <w:top w:w="90" w:type="dxa"/>
              <w:left w:w="90" w:type="dxa"/>
              <w:bottom w:w="90" w:type="dxa"/>
              <w:right w:w="90" w:type="dxa"/>
            </w:tcMar>
          </w:tcPr>
          <w:p>
            <w:pPr>
              <w:spacing w:after="0"/>
            </w:pPr>
            <w:r>
              <w:rPr>
                <w:sz w:val="16"/>
              </w:rPr>
              <w:t>Preliminary design</w:t>
            </w:r>
          </w:p>
        </w:tc>
        <w:tc>
          <w:tcPr>
            <w:tcW w:type="dxa" w:w="3120"/>
            <w:vAlign w:val="center"/>
            <w:tcMar>
              <w:top w:w="90" w:type="dxa"/>
              <w:left w:w="90" w:type="dxa"/>
              <w:bottom w:w="90" w:type="dxa"/>
              <w:right w:w="90" w:type="dxa"/>
            </w:tcMar>
          </w:tcPr>
          <w:p>
            <w:pPr>
              <w:spacing w:after="0"/>
            </w:pPr>
            <w:r>
              <w:rPr>
                <w:sz w:val="16"/>
              </w:rPr>
              <w:t>Preliminary design</w:t>
            </w:r>
          </w:p>
        </w:tc>
      </w:tr>
      <w:tr>
        <w:tc>
          <w:tcPr>
            <w:tcW w:type="dxa" w:w="3120"/>
            <w:vAlign w:val="center"/>
            <w:shd w:fill="F6F8FA"/>
            <w:tcMar>
              <w:top w:w="90" w:type="dxa"/>
              <w:left w:w="90" w:type="dxa"/>
              <w:bottom w:w="90" w:type="dxa"/>
              <w:right w:w="90" w:type="dxa"/>
            </w:tcMar>
          </w:tcPr>
          <w:p>
            <w:pPr>
              <w:spacing w:after="0"/>
            </w:pPr>
            <w:r>
              <w:rPr>
                <w:sz w:val="16"/>
              </w:rPr>
              <w:t>Phase C</w:t>
            </w:r>
          </w:p>
        </w:tc>
        <w:tc>
          <w:tcPr>
            <w:tcW w:type="dxa" w:w="3120"/>
            <w:vAlign w:val="center"/>
            <w:shd w:fill="F6F8FA"/>
            <w:tcMar>
              <w:top w:w="90" w:type="dxa"/>
              <w:left w:w="90" w:type="dxa"/>
              <w:bottom w:w="90" w:type="dxa"/>
              <w:right w:w="90" w:type="dxa"/>
            </w:tcMar>
          </w:tcPr>
          <w:p>
            <w:pPr>
              <w:spacing w:after="0"/>
            </w:pPr>
            <w:r>
              <w:rPr>
                <w:sz w:val="16"/>
              </w:rPr>
              <w:t>Detailed design</w:t>
            </w:r>
          </w:p>
        </w:tc>
        <w:tc>
          <w:tcPr>
            <w:tcW w:type="dxa" w:w="3120"/>
            <w:vAlign w:val="center"/>
            <w:shd w:fill="F6F8FA"/>
            <w:tcMar>
              <w:top w:w="90" w:type="dxa"/>
              <w:left w:w="90" w:type="dxa"/>
              <w:bottom w:w="90" w:type="dxa"/>
              <w:right w:w="90" w:type="dxa"/>
            </w:tcMar>
          </w:tcPr>
          <w:p>
            <w:pPr>
              <w:spacing w:after="0"/>
            </w:pPr>
            <w:r>
              <w:rPr>
                <w:sz w:val="16"/>
              </w:rPr>
              <w:t>Detailed design</w:t>
            </w:r>
          </w:p>
        </w:tc>
      </w:tr>
      <w:tr>
        <w:tc>
          <w:tcPr>
            <w:tcW w:type="dxa" w:w="3120"/>
            <w:vAlign w:val="center"/>
            <w:tcMar>
              <w:top w:w="90" w:type="dxa"/>
              <w:left w:w="90" w:type="dxa"/>
              <w:bottom w:w="90" w:type="dxa"/>
              <w:right w:w="90" w:type="dxa"/>
            </w:tcMar>
          </w:tcPr>
          <w:p>
            <w:pPr>
              <w:spacing w:after="0"/>
            </w:pPr>
            <w:r>
              <w:rPr>
                <w:sz w:val="16"/>
              </w:rPr>
              <w:t>Phase D1</w:t>
            </w:r>
          </w:p>
        </w:tc>
        <w:tc>
          <w:tcPr>
            <w:tcW w:type="dxa" w:w="3120"/>
            <w:vAlign w:val="center"/>
            <w:tcMar>
              <w:top w:w="90" w:type="dxa"/>
              <w:left w:w="90" w:type="dxa"/>
              <w:bottom w:w="90" w:type="dxa"/>
              <w:right w:w="90" w:type="dxa"/>
            </w:tcMar>
          </w:tcPr>
          <w:p>
            <w:pPr>
              <w:spacing w:after="0"/>
            </w:pPr>
            <w:r>
              <w:rPr>
                <w:sz w:val="16"/>
              </w:rPr>
              <w:t>Subsystem manufacture and test</w:t>
            </w:r>
          </w:p>
        </w:tc>
        <w:tc>
          <w:tcPr>
            <w:tcW w:type="dxa" w:w="3120"/>
            <w:vAlign w:val="center"/>
            <w:tcMar>
              <w:top w:w="90" w:type="dxa"/>
              <w:left w:w="90" w:type="dxa"/>
              <w:bottom w:w="90" w:type="dxa"/>
              <w:right w:w="90" w:type="dxa"/>
            </w:tcMar>
          </w:tcPr>
          <w:p>
            <w:pPr>
              <w:spacing w:after="0"/>
            </w:pPr>
            <w:r>
              <w:rPr>
                <w:sz w:val="16"/>
              </w:rPr>
              <w:t>Unit AIT</w:t>
            </w:r>
          </w:p>
        </w:tc>
      </w:tr>
      <w:tr>
        <w:tc>
          <w:tcPr>
            <w:tcW w:type="dxa" w:w="3120"/>
            <w:vAlign w:val="center"/>
            <w:shd w:fill="F6F8FA"/>
            <w:tcMar>
              <w:top w:w="90" w:type="dxa"/>
              <w:left w:w="90" w:type="dxa"/>
              <w:bottom w:w="90" w:type="dxa"/>
              <w:right w:w="90" w:type="dxa"/>
            </w:tcMar>
          </w:tcPr>
          <w:p>
            <w:pPr>
              <w:spacing w:after="0"/>
            </w:pPr>
            <w:r>
              <w:rPr>
                <w:sz w:val="16"/>
              </w:rPr>
              <w:t>Phase D2</w:t>
            </w:r>
          </w:p>
        </w:tc>
        <w:tc>
          <w:tcPr>
            <w:tcW w:type="dxa" w:w="3120"/>
            <w:vAlign w:val="center"/>
            <w:shd w:fill="F6F8FA"/>
            <w:tcMar>
              <w:top w:w="90" w:type="dxa"/>
              <w:left w:w="90" w:type="dxa"/>
              <w:bottom w:w="90" w:type="dxa"/>
              <w:right w:w="90" w:type="dxa"/>
            </w:tcMar>
          </w:tcPr>
          <w:p>
            <w:pPr>
              <w:spacing w:after="0"/>
            </w:pPr>
            <w:r>
              <w:rPr>
                <w:sz w:val="16"/>
              </w:rPr>
              <w:t>System assembly, integration and test</w:t>
            </w:r>
          </w:p>
        </w:tc>
        <w:tc>
          <w:tcPr>
            <w:tcW w:type="dxa" w:w="3120"/>
            <w:vAlign w:val="center"/>
            <w:shd w:fill="F6F8FA"/>
            <w:tcMar>
              <w:top w:w="90" w:type="dxa"/>
              <w:left w:w="90" w:type="dxa"/>
              <w:bottom w:w="90" w:type="dxa"/>
              <w:right w:w="90" w:type="dxa"/>
            </w:tcMar>
          </w:tcPr>
          <w:p>
            <w:pPr>
              <w:spacing w:after="0"/>
            </w:pPr>
            <w:r>
              <w:rPr>
                <w:sz w:val="16"/>
              </w:rPr>
              <w:t>System AIT</w:t>
            </w:r>
          </w:p>
        </w:tc>
      </w:tr>
      <w:tr>
        <w:tc>
          <w:tcPr>
            <w:tcW w:type="dxa" w:w="3120"/>
            <w:vAlign w:val="center"/>
            <w:tcMar>
              <w:top w:w="90" w:type="dxa"/>
              <w:left w:w="90" w:type="dxa"/>
              <w:bottom w:w="90" w:type="dxa"/>
              <w:right w:w="90" w:type="dxa"/>
            </w:tcMar>
          </w:tcPr>
          <w:p>
            <w:pPr>
              <w:spacing w:after="0"/>
            </w:pPr>
            <w:r>
              <w:rPr>
                <w:sz w:val="16"/>
              </w:rPr>
              <w:t>LEOP</w:t>
            </w:r>
          </w:p>
        </w:tc>
        <w:tc>
          <w:tcPr>
            <w:tcW w:type="dxa" w:w="3120"/>
            <w:vAlign w:val="center"/>
            <w:tcMar>
              <w:top w:w="90" w:type="dxa"/>
              <w:left w:w="90" w:type="dxa"/>
              <w:bottom w:w="90" w:type="dxa"/>
              <w:right w:w="90" w:type="dxa"/>
            </w:tcMar>
          </w:tcPr>
          <w:p>
            <w:pPr>
              <w:spacing w:after="0"/>
            </w:pPr>
            <w:r>
              <w:rPr>
                <w:sz w:val="16"/>
              </w:rPr>
              <w:t>Delivery and commissioning</w:t>
            </w:r>
          </w:p>
        </w:tc>
        <w:tc>
          <w:tcPr>
            <w:tcW w:type="dxa" w:w="3120"/>
            <w:vAlign w:val="center"/>
            <w:tcMar>
              <w:top w:w="90" w:type="dxa"/>
              <w:left w:w="90" w:type="dxa"/>
              <w:bottom w:w="90" w:type="dxa"/>
              <w:right w:w="90" w:type="dxa"/>
            </w:tcMar>
          </w:tcPr>
          <w:p>
            <w:pPr>
              <w:spacing w:after="0"/>
            </w:pPr>
            <w:r>
              <w:rPr>
                <w:sz w:val="16"/>
              </w:rPr>
              <w:t>Commissioning</w:t>
            </w:r>
          </w:p>
        </w:tc>
      </w:tr>
      <w:tr>
        <w:tc>
          <w:tcPr>
            <w:tcW w:type="dxa" w:w="3120"/>
            <w:vAlign w:val="center"/>
            <w:shd w:fill="F6F8FA"/>
            <w:tcMar>
              <w:top w:w="90" w:type="dxa"/>
              <w:left w:w="90" w:type="dxa"/>
              <w:bottom w:w="90" w:type="dxa"/>
              <w:right w:w="90" w:type="dxa"/>
            </w:tcMar>
          </w:tcPr>
          <w:p>
            <w:pPr>
              <w:spacing w:after="0"/>
            </w:pPr>
            <w:r>
              <w:rPr>
                <w:sz w:val="16"/>
              </w:rPr>
              <w:t>Phase E</w:t>
            </w:r>
          </w:p>
        </w:tc>
        <w:tc>
          <w:tcPr>
            <w:tcW w:type="dxa" w:w="3120"/>
            <w:vAlign w:val="center"/>
            <w:shd w:fill="F6F8FA"/>
            <w:tcMar>
              <w:top w:w="90" w:type="dxa"/>
              <w:left w:w="90" w:type="dxa"/>
              <w:bottom w:w="90" w:type="dxa"/>
              <w:right w:w="90" w:type="dxa"/>
            </w:tcMar>
          </w:tcPr>
          <w:p>
            <w:pPr>
              <w:spacing w:after="0"/>
            </w:pPr>
            <w:r>
              <w:rPr>
                <w:sz w:val="16"/>
              </w:rPr>
              <w:t>Nominal operations</w:t>
            </w:r>
          </w:p>
        </w:tc>
        <w:tc>
          <w:tcPr>
            <w:tcW w:type="dxa" w:w="3120"/>
            <w:vAlign w:val="center"/>
            <w:shd w:fill="F6F8FA"/>
            <w:tcMar>
              <w:top w:w="90" w:type="dxa"/>
              <w:left w:w="90" w:type="dxa"/>
              <w:bottom w:w="90" w:type="dxa"/>
              <w:right w:w="90" w:type="dxa"/>
            </w:tcMar>
          </w:tcPr>
          <w:p>
            <w:pPr>
              <w:spacing w:after="0"/>
            </w:pPr>
            <w:r>
              <w:rPr>
                <w:sz w:val="16"/>
              </w:rPr>
              <w:t>Operations</w:t>
            </w:r>
          </w:p>
        </w:tc>
      </w:tr>
      <w:tr>
        <w:tc>
          <w:tcPr>
            <w:tcW w:type="dxa" w:w="3120"/>
            <w:vAlign w:val="center"/>
            <w:tcMar>
              <w:top w:w="90" w:type="dxa"/>
              <w:left w:w="90" w:type="dxa"/>
              <w:bottom w:w="90" w:type="dxa"/>
              <w:right w:w="90" w:type="dxa"/>
            </w:tcMar>
          </w:tcPr>
          <w:p>
            <w:pPr>
              <w:spacing w:after="0"/>
            </w:pPr>
            <w:r>
              <w:rPr>
                <w:sz w:val="16"/>
              </w:rPr>
              <w:t>Phase E EXT</w:t>
            </w:r>
          </w:p>
        </w:tc>
        <w:tc>
          <w:tcPr>
            <w:tcW w:type="dxa" w:w="3120"/>
            <w:vAlign w:val="center"/>
            <w:tcMar>
              <w:top w:w="90" w:type="dxa"/>
              <w:left w:w="90" w:type="dxa"/>
              <w:bottom w:w="90" w:type="dxa"/>
              <w:right w:w="90" w:type="dxa"/>
            </w:tcMar>
          </w:tcPr>
          <w:p>
            <w:pPr>
              <w:spacing w:after="0"/>
            </w:pPr>
            <w:r>
              <w:rPr>
                <w:sz w:val="16"/>
              </w:rPr>
              <w:t>Extended operations</w:t>
            </w:r>
          </w:p>
        </w:tc>
        <w:tc>
          <w:tcPr>
            <w:tcW w:type="dxa" w:w="3120"/>
            <w:vAlign w:val="center"/>
            <w:tcMar>
              <w:top w:w="90" w:type="dxa"/>
              <w:left w:w="90" w:type="dxa"/>
              <w:bottom w:w="90" w:type="dxa"/>
              <w:right w:w="90" w:type="dxa"/>
            </w:tcMar>
          </w:tcPr>
          <w:p>
            <w:pPr>
              <w:spacing w:after="0"/>
            </w:pPr>
            <w:r>
              <w:rPr>
                <w:sz w:val="16"/>
              </w:rPr>
              <w:t>Extension</w:t>
            </w:r>
          </w:p>
        </w:tc>
      </w:tr>
      <w:tr>
        <w:tc>
          <w:tcPr>
            <w:tcW w:type="dxa" w:w="3120"/>
            <w:vAlign w:val="center"/>
            <w:shd w:fill="F6F8FA"/>
            <w:tcMar>
              <w:top w:w="90" w:type="dxa"/>
              <w:left w:w="90" w:type="dxa"/>
              <w:bottom w:w="90" w:type="dxa"/>
              <w:right w:w="90" w:type="dxa"/>
            </w:tcMar>
          </w:tcPr>
          <w:p>
            <w:pPr>
              <w:spacing w:after="0"/>
            </w:pPr>
            <w:r>
              <w:rPr>
                <w:sz w:val="16"/>
              </w:rPr>
              <w:t>Phase F</w:t>
            </w:r>
          </w:p>
        </w:tc>
        <w:tc>
          <w:tcPr>
            <w:tcW w:type="dxa" w:w="3120"/>
            <w:vAlign w:val="center"/>
            <w:shd w:fill="F6F8FA"/>
            <w:tcMar>
              <w:top w:w="90" w:type="dxa"/>
              <w:left w:w="90" w:type="dxa"/>
              <w:bottom w:w="90" w:type="dxa"/>
              <w:right w:w="90" w:type="dxa"/>
            </w:tcMar>
          </w:tcPr>
          <w:p>
            <w:pPr>
              <w:spacing w:after="0"/>
            </w:pPr>
            <w:r>
              <w:rPr>
                <w:sz w:val="16"/>
              </w:rPr>
              <w:t>Closeout and disposal</w:t>
            </w:r>
          </w:p>
        </w:tc>
        <w:tc>
          <w:tcPr>
            <w:tcW w:type="dxa" w:w="3120"/>
            <w:vAlign w:val="center"/>
            <w:shd w:fill="F6F8FA"/>
            <w:tcMar>
              <w:top w:w="90" w:type="dxa"/>
              <w:left w:w="90" w:type="dxa"/>
              <w:bottom w:w="90" w:type="dxa"/>
              <w:right w:w="90" w:type="dxa"/>
            </w:tcMar>
          </w:tcPr>
          <w:p>
            <w:pPr>
              <w:spacing w:after="0"/>
            </w:pPr>
            <w:r>
              <w:rPr>
                <w:sz w:val="16"/>
              </w:rPr>
              <w:t>Closeout</w:t>
            </w:r>
          </w:p>
        </w:tc>
      </w:tr>
      <w:tr>
        <w:tc>
          <w:tcPr>
            <w:tcW w:type="dxa" w:w="3120"/>
            <w:vAlign w:val="center"/>
            <w:tcMar>
              <w:top w:w="90" w:type="dxa"/>
              <w:left w:w="90" w:type="dxa"/>
              <w:bottom w:w="90" w:type="dxa"/>
              <w:right w:w="90" w:type="dxa"/>
            </w:tcMar>
          </w:tcPr>
          <w:p>
            <w:pPr>
              <w:spacing w:after="0"/>
            </w:pPr>
            <w:r>
              <w:rPr>
                <w:sz w:val="16"/>
              </w:rPr>
              <w:t>Phase G</w:t>
            </w:r>
          </w:p>
        </w:tc>
        <w:tc>
          <w:tcPr>
            <w:tcW w:type="dxa" w:w="3120"/>
            <w:vAlign w:val="center"/>
            <w:tcMar>
              <w:top w:w="90" w:type="dxa"/>
              <w:left w:w="90" w:type="dxa"/>
              <w:bottom w:w="90" w:type="dxa"/>
              <w:right w:w="90" w:type="dxa"/>
            </w:tcMar>
          </w:tcPr>
          <w:p>
            <w:pPr>
              <w:spacing w:after="0"/>
            </w:pPr>
            <w:r>
              <w:rPr>
                <w:sz w:val="16"/>
              </w:rPr>
              <w:t>Data exploitation</w:t>
            </w:r>
          </w:p>
        </w:tc>
        <w:tc>
          <w:tcPr>
            <w:tcW w:type="dxa" w:w="3120"/>
            <w:vAlign w:val="center"/>
            <w:tcMar>
              <w:top w:w="90" w:type="dxa"/>
              <w:left w:w="90" w:type="dxa"/>
              <w:bottom w:w="90" w:type="dxa"/>
              <w:right w:w="90" w:type="dxa"/>
            </w:tcMar>
          </w:tcPr>
          <w:p>
            <w:pPr>
              <w:spacing w:after="0"/>
            </w:pPr>
            <w:r>
              <w:rPr>
                <w:sz w:val="16"/>
              </w:rPr>
              <w:t>Science use</w:t>
            </w:r>
          </w:p>
        </w:tc>
      </w:tr>
    </w:tbl>
    <w:p>
      <w:pPr>
        <w:pStyle w:val="BodyText"/>
      </w:pPr>
      <w:r>
        <w:t>The schedule planning basis is B 14 months; C 12 months; D1 18 months; D2 10 months; three launches and six-month commissioning; E 84 months. Activities with long-lead procurement and parallel unit builds overlap; durations should not be arithmetically summed to infer a delivery date.</w:t>
      </w:r>
    </w:p>
    <w:p>
      <w:pPr>
        <w:pStyle w:val="Caption"/>
      </w:pPr>
      <w:r>
        <w:t>Table 4 – Planning Phase Dates and Durations</w:t>
      </w:r>
    </w:p>
    <w:tbl>
      <w:tblPr>
        <w:tblStyle w:val="TableGrid"/>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rPr>
          <w:tblHeader w:val="true"/>
        </w:trPr>
        <w:tc>
          <w:tcPr>
            <w:tcW w:type="dxa" w:w="1170"/>
            <w:vAlign w:val="center"/>
            <w:shd w:fill="DDE6EF"/>
            <w:tcMar>
              <w:top w:w="90" w:type="dxa"/>
              <w:left w:w="90" w:type="dxa"/>
              <w:bottom w:w="90" w:type="dxa"/>
              <w:right w:w="90" w:type="dxa"/>
            </w:tcMar>
          </w:tcPr>
          <w:p>
            <w:pPr>
              <w:spacing w:after="0"/>
            </w:pPr>
            <w:r>
              <w:rPr>
                <w:b/>
                <w:sz w:val="16"/>
              </w:rPr>
              <w:t>Phase</w:t>
            </w:r>
          </w:p>
        </w:tc>
        <w:tc>
          <w:tcPr>
            <w:tcW w:type="dxa" w:w="1170"/>
            <w:vAlign w:val="center"/>
            <w:shd w:fill="DDE6EF"/>
            <w:tcMar>
              <w:top w:w="90" w:type="dxa"/>
              <w:left w:w="90" w:type="dxa"/>
              <w:bottom w:w="90" w:type="dxa"/>
              <w:right w:w="90" w:type="dxa"/>
            </w:tcMar>
          </w:tcPr>
          <w:p>
            <w:pPr>
              <w:spacing w:after="0"/>
            </w:pPr>
            <w:r>
              <w:rPr>
                <w:b/>
                <w:sz w:val="16"/>
              </w:rPr>
              <w:t>0</w:t>
            </w:r>
          </w:p>
        </w:tc>
        <w:tc>
          <w:tcPr>
            <w:tcW w:type="dxa" w:w="1170"/>
            <w:vAlign w:val="center"/>
            <w:shd w:fill="DDE6EF"/>
            <w:tcMar>
              <w:top w:w="90" w:type="dxa"/>
              <w:left w:w="90" w:type="dxa"/>
              <w:bottom w:w="90" w:type="dxa"/>
              <w:right w:w="90" w:type="dxa"/>
            </w:tcMar>
          </w:tcPr>
          <w:p>
            <w:pPr>
              <w:spacing w:after="0"/>
            </w:pPr>
            <w:r>
              <w:rPr>
                <w:b/>
                <w:sz w:val="16"/>
              </w:rPr>
              <w:t>A</w:t>
            </w:r>
          </w:p>
        </w:tc>
        <w:tc>
          <w:tcPr>
            <w:tcW w:type="dxa" w:w="1170"/>
            <w:vAlign w:val="center"/>
            <w:shd w:fill="DDE6EF"/>
            <w:tcMar>
              <w:top w:w="90" w:type="dxa"/>
              <w:left w:w="90" w:type="dxa"/>
              <w:bottom w:w="90" w:type="dxa"/>
              <w:right w:w="90" w:type="dxa"/>
            </w:tcMar>
          </w:tcPr>
          <w:p>
            <w:pPr>
              <w:spacing w:after="0"/>
            </w:pPr>
            <w:r>
              <w:rPr>
                <w:b/>
                <w:sz w:val="16"/>
              </w:rPr>
              <w:t>B</w:t>
            </w:r>
          </w:p>
        </w:tc>
        <w:tc>
          <w:tcPr>
            <w:tcW w:type="dxa" w:w="1170"/>
            <w:vAlign w:val="center"/>
            <w:shd w:fill="DDE6EF"/>
            <w:tcMar>
              <w:top w:w="90" w:type="dxa"/>
              <w:left w:w="90" w:type="dxa"/>
              <w:bottom w:w="90" w:type="dxa"/>
              <w:right w:w="90" w:type="dxa"/>
            </w:tcMar>
          </w:tcPr>
          <w:p>
            <w:pPr>
              <w:spacing w:after="0"/>
            </w:pPr>
            <w:r>
              <w:rPr>
                <w:b/>
                <w:sz w:val="16"/>
              </w:rPr>
              <w:t>C</w:t>
            </w:r>
          </w:p>
        </w:tc>
        <w:tc>
          <w:tcPr>
            <w:tcW w:type="dxa" w:w="1170"/>
            <w:vAlign w:val="center"/>
            <w:shd w:fill="DDE6EF"/>
            <w:tcMar>
              <w:top w:w="90" w:type="dxa"/>
              <w:left w:w="90" w:type="dxa"/>
              <w:bottom w:w="90" w:type="dxa"/>
              <w:right w:w="90" w:type="dxa"/>
            </w:tcMar>
          </w:tcPr>
          <w:p>
            <w:pPr>
              <w:spacing w:after="0"/>
            </w:pPr>
            <w:r>
              <w:rPr>
                <w:b/>
                <w:sz w:val="16"/>
              </w:rPr>
              <w:t>D1</w:t>
            </w:r>
          </w:p>
        </w:tc>
        <w:tc>
          <w:tcPr>
            <w:tcW w:type="dxa" w:w="1170"/>
            <w:vAlign w:val="center"/>
            <w:shd w:fill="DDE6EF"/>
            <w:tcMar>
              <w:top w:w="90" w:type="dxa"/>
              <w:left w:w="90" w:type="dxa"/>
              <w:bottom w:w="90" w:type="dxa"/>
              <w:right w:w="90" w:type="dxa"/>
            </w:tcMar>
          </w:tcPr>
          <w:p>
            <w:pPr>
              <w:spacing w:after="0"/>
            </w:pPr>
            <w:r>
              <w:rPr>
                <w:b/>
                <w:sz w:val="16"/>
              </w:rPr>
              <w:t>D2</w:t>
            </w:r>
          </w:p>
        </w:tc>
        <w:tc>
          <w:tcPr>
            <w:tcW w:type="dxa" w:w="1170"/>
            <w:vAlign w:val="center"/>
            <w:shd w:fill="DDE6EF"/>
            <w:tcMar>
              <w:top w:w="90" w:type="dxa"/>
              <w:left w:w="90" w:type="dxa"/>
              <w:bottom w:w="90" w:type="dxa"/>
              <w:right w:w="90" w:type="dxa"/>
            </w:tcMar>
          </w:tcPr>
          <w:p>
            <w:pPr>
              <w:spacing w:after="0"/>
            </w:pPr>
            <w:r>
              <w:rPr>
                <w:b/>
                <w:sz w:val="16"/>
              </w:rPr>
              <w:t>E</w:t>
            </w:r>
          </w:p>
        </w:tc>
      </w:tr>
      <w:tr>
        <w:tc>
          <w:tcPr>
            <w:tcW w:type="dxa" w:w="1170"/>
            <w:vAlign w:val="center"/>
            <w:tcMar>
              <w:top w:w="90" w:type="dxa"/>
              <w:left w:w="90" w:type="dxa"/>
              <w:bottom w:w="90" w:type="dxa"/>
              <w:right w:w="90" w:type="dxa"/>
            </w:tcMar>
          </w:tcPr>
          <w:p>
            <w:pPr>
              <w:spacing w:after="0"/>
            </w:pPr>
            <w:r>
              <w:rPr>
                <w:sz w:val="16"/>
              </w:rPr>
              <w:t>Duration, months</w:t>
            </w:r>
          </w:p>
        </w:tc>
        <w:tc>
          <w:tcPr>
            <w:tcW w:type="dxa" w:w="1170"/>
            <w:vAlign w:val="center"/>
            <w:tcMar>
              <w:top w:w="90" w:type="dxa"/>
              <w:left w:w="90" w:type="dxa"/>
              <w:bottom w:w="90" w:type="dxa"/>
              <w:right w:w="90" w:type="dxa"/>
            </w:tcMar>
          </w:tcPr>
          <w:p>
            <w:pPr>
              <w:spacing w:after="0"/>
            </w:pPr>
            <w:r>
              <w:rPr>
                <w:sz w:val="16"/>
              </w:rPr>
              <w:t>TBD</w:t>
            </w:r>
          </w:p>
        </w:tc>
        <w:tc>
          <w:tcPr>
            <w:tcW w:type="dxa" w:w="1170"/>
            <w:vAlign w:val="center"/>
            <w:tcMar>
              <w:top w:w="90" w:type="dxa"/>
              <w:left w:w="90" w:type="dxa"/>
              <w:bottom w:w="90" w:type="dxa"/>
              <w:right w:w="90" w:type="dxa"/>
            </w:tcMar>
          </w:tcPr>
          <w:p>
            <w:pPr>
              <w:spacing w:after="0"/>
            </w:pPr>
            <w:r>
              <w:rPr>
                <w:sz w:val="16"/>
              </w:rPr>
              <w:t>TBD</w:t>
            </w:r>
          </w:p>
        </w:tc>
        <w:tc>
          <w:tcPr>
            <w:tcW w:type="dxa" w:w="1170"/>
            <w:vAlign w:val="center"/>
            <w:tcMar>
              <w:top w:w="90" w:type="dxa"/>
              <w:left w:w="90" w:type="dxa"/>
              <w:bottom w:w="90" w:type="dxa"/>
              <w:right w:w="90" w:type="dxa"/>
            </w:tcMar>
          </w:tcPr>
          <w:p>
            <w:pPr>
              <w:spacing w:after="0"/>
            </w:pPr>
            <w:r>
              <w:rPr>
                <w:sz w:val="16"/>
              </w:rPr>
              <w:t>14</w:t>
            </w:r>
          </w:p>
        </w:tc>
        <w:tc>
          <w:tcPr>
            <w:tcW w:type="dxa" w:w="1170"/>
            <w:vAlign w:val="center"/>
            <w:tcMar>
              <w:top w:w="90" w:type="dxa"/>
              <w:left w:w="90" w:type="dxa"/>
              <w:bottom w:w="90" w:type="dxa"/>
              <w:right w:w="90" w:type="dxa"/>
            </w:tcMar>
          </w:tcPr>
          <w:p>
            <w:pPr>
              <w:spacing w:after="0"/>
            </w:pPr>
            <w:r>
              <w:rPr>
                <w:sz w:val="16"/>
              </w:rPr>
              <w:t>12</w:t>
            </w:r>
          </w:p>
        </w:tc>
        <w:tc>
          <w:tcPr>
            <w:tcW w:type="dxa" w:w="1170"/>
            <w:vAlign w:val="center"/>
            <w:tcMar>
              <w:top w:w="90" w:type="dxa"/>
              <w:left w:w="90" w:type="dxa"/>
              <w:bottom w:w="90" w:type="dxa"/>
              <w:right w:w="90" w:type="dxa"/>
            </w:tcMar>
          </w:tcPr>
          <w:p>
            <w:pPr>
              <w:spacing w:after="0"/>
            </w:pPr>
            <w:r>
              <w:rPr>
                <w:sz w:val="16"/>
              </w:rPr>
              <w:t>18</w:t>
            </w:r>
          </w:p>
        </w:tc>
        <w:tc>
          <w:tcPr>
            <w:tcW w:type="dxa" w:w="1170"/>
            <w:vAlign w:val="center"/>
            <w:tcMar>
              <w:top w:w="90" w:type="dxa"/>
              <w:left w:w="90" w:type="dxa"/>
              <w:bottom w:w="90" w:type="dxa"/>
              <w:right w:w="90" w:type="dxa"/>
            </w:tcMar>
          </w:tcPr>
          <w:p>
            <w:pPr>
              <w:spacing w:after="0"/>
            </w:pPr>
            <w:r>
              <w:rPr>
                <w:sz w:val="16"/>
              </w:rPr>
              <w:t>10</w:t>
            </w:r>
          </w:p>
        </w:tc>
        <w:tc>
          <w:tcPr>
            <w:tcW w:type="dxa" w:w="1170"/>
            <w:vAlign w:val="center"/>
            <w:tcMar>
              <w:top w:w="90" w:type="dxa"/>
              <w:left w:w="90" w:type="dxa"/>
              <w:bottom w:w="90" w:type="dxa"/>
              <w:right w:w="90" w:type="dxa"/>
            </w:tcMar>
          </w:tcPr>
          <w:p>
            <w:pPr>
              <w:spacing w:after="0"/>
            </w:pPr>
            <w:r>
              <w:rPr>
                <w:sz w:val="16"/>
              </w:rPr>
              <w:t>84</w:t>
            </w:r>
          </w:p>
        </w:tc>
      </w:tr>
      <w:tr>
        <w:tc>
          <w:tcPr>
            <w:tcW w:type="dxa" w:w="1170"/>
            <w:vAlign w:val="center"/>
            <w:shd w:fill="F6F8FA"/>
            <w:tcMar>
              <w:top w:w="90" w:type="dxa"/>
              <w:left w:w="90" w:type="dxa"/>
              <w:bottom w:w="90" w:type="dxa"/>
              <w:right w:w="90" w:type="dxa"/>
            </w:tcMar>
          </w:tcPr>
          <w:p>
            <w:pPr>
              <w:spacing w:after="0"/>
            </w:pPr>
            <w:r>
              <w:rPr>
                <w:sz w:val="16"/>
              </w:rPr>
              <w:t>Status</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r>
    </w:tbl>
    <w:p>
      <w:pPr>
        <w:pStyle w:val="Heading2"/>
      </w:pPr>
      <w:r>
        <w:t>Project Milestones</w:t>
      </w:r>
    </w:p>
    <w:p>
      <w:pPr>
        <w:pStyle w:val="Caption"/>
      </w:pPr>
      <w:r>
        <w:t>Table 5 – Major Milestones</w:t>
      </w:r>
    </w:p>
    <w:tbl>
      <w:tblPr>
        <w:tblStyle w:val="TableGrid"/>
        <w:tblW w:type="auto" w:w="0"/>
        <w:jc w:val="center"/>
        <w:tblLayout w:type="fixed"/>
        <w:tblLook w:firstColumn="1" w:firstRow="1" w:lastColumn="0" w:lastRow="0" w:noHBand="0" w:noVBand="1" w:val="04A0"/>
      </w:tblPr>
      <w:tblGrid>
        <w:gridCol w:w="1656"/>
        <w:gridCol w:w="1584"/>
        <w:gridCol w:w="4176"/>
        <w:gridCol w:w="1800"/>
      </w:tblGrid>
      <w:tr>
        <w:trPr>
          <w:tblHeader w:val="true"/>
        </w:trPr>
        <w:tc>
          <w:tcPr>
            <w:tcW w:type="dxa" w:w="2340"/>
            <w:vAlign w:val="center"/>
            <w:shd w:fill="DDE6EF"/>
            <w:tcMar>
              <w:top w:w="90" w:type="dxa"/>
              <w:left w:w="90" w:type="dxa"/>
              <w:bottom w:w="90" w:type="dxa"/>
              <w:right w:w="90" w:type="dxa"/>
            </w:tcMar>
          </w:tcPr>
          <w:p>
            <w:pPr>
              <w:spacing w:after="0"/>
            </w:pPr>
            <w:r>
              <w:rPr>
                <w:b/>
                <w:sz w:val="16"/>
              </w:rPr>
              <w:t>Instrument / PM Phase</w:t>
            </w:r>
          </w:p>
        </w:tc>
        <w:tc>
          <w:tcPr>
            <w:tcW w:type="dxa" w:w="2340"/>
            <w:vAlign w:val="center"/>
            <w:shd w:fill="DDE6EF"/>
            <w:tcMar>
              <w:top w:w="90" w:type="dxa"/>
              <w:left w:w="90" w:type="dxa"/>
              <w:bottom w:w="90" w:type="dxa"/>
              <w:right w:w="90" w:type="dxa"/>
            </w:tcMar>
          </w:tcPr>
          <w:p>
            <w:pPr>
              <w:spacing w:after="0"/>
            </w:pPr>
            <w:r>
              <w:rPr>
                <w:b/>
                <w:sz w:val="16"/>
              </w:rPr>
              <w:t>Gate / Milestone</w:t>
            </w:r>
          </w:p>
        </w:tc>
        <w:tc>
          <w:tcPr>
            <w:tcW w:type="dxa" w:w="2340"/>
            <w:vAlign w:val="center"/>
            <w:shd w:fill="DDE6EF"/>
            <w:tcMar>
              <w:top w:w="90" w:type="dxa"/>
              <w:left w:w="90" w:type="dxa"/>
              <w:bottom w:w="90" w:type="dxa"/>
              <w:right w:w="90" w:type="dxa"/>
            </w:tcMar>
          </w:tcPr>
          <w:p>
            <w:pPr>
              <w:spacing w:after="0"/>
            </w:pPr>
            <w:r>
              <w:rPr>
                <w:b/>
                <w:sz w:val="16"/>
              </w:rPr>
              <w:t>Major Milestone</w:t>
            </w:r>
          </w:p>
        </w:tc>
        <w:tc>
          <w:tcPr>
            <w:tcW w:type="dxa" w:w="2340"/>
            <w:vAlign w:val="center"/>
            <w:shd w:fill="DDE6EF"/>
            <w:tcMar>
              <w:top w:w="90" w:type="dxa"/>
              <w:left w:w="90" w:type="dxa"/>
              <w:bottom w:w="90" w:type="dxa"/>
              <w:right w:w="90" w:type="dxa"/>
            </w:tcMar>
          </w:tcPr>
          <w:p>
            <w:pPr>
              <w:spacing w:after="0"/>
            </w:pPr>
            <w:r>
              <w:rPr>
                <w:b/>
                <w:sz w:val="16"/>
              </w:rPr>
              <w:t>Milestone Date</w:t>
            </w:r>
          </w:p>
        </w:tc>
      </w:tr>
      <w:tr>
        <w:tc>
          <w:tcPr>
            <w:tcW w:type="dxa" w:w="2340"/>
            <w:vAlign w:val="center"/>
            <w:tcMar>
              <w:top w:w="90" w:type="dxa"/>
              <w:left w:w="90" w:type="dxa"/>
              <w:bottom w:w="90" w:type="dxa"/>
              <w:right w:w="90" w:type="dxa"/>
            </w:tcMar>
          </w:tcPr>
          <w:p>
            <w:pPr>
              <w:spacing w:after="0"/>
            </w:pPr>
            <w:r>
              <w:rPr>
                <w:sz w:val="16"/>
              </w:rPr>
              <w:t>0</w:t>
            </w:r>
          </w:p>
        </w:tc>
        <w:tc>
          <w:tcPr>
            <w:tcW w:type="dxa" w:w="2340"/>
            <w:vAlign w:val="center"/>
            <w:tcMar>
              <w:top w:w="90" w:type="dxa"/>
              <w:left w:w="90" w:type="dxa"/>
              <w:bottom w:w="90" w:type="dxa"/>
              <w:right w:w="90" w:type="dxa"/>
            </w:tcMar>
          </w:tcPr>
          <w:p>
            <w:pPr>
              <w:spacing w:after="0"/>
            </w:pPr>
            <w:r>
              <w:rPr>
                <w:sz w:val="16"/>
              </w:rPr>
              <w:t>MCR</w:t>
            </w:r>
          </w:p>
        </w:tc>
        <w:tc>
          <w:tcPr>
            <w:tcW w:type="dxa" w:w="2340"/>
            <w:vAlign w:val="center"/>
            <w:tcMar>
              <w:top w:w="90" w:type="dxa"/>
              <w:left w:w="90" w:type="dxa"/>
              <w:bottom w:w="90" w:type="dxa"/>
              <w:right w:w="90" w:type="dxa"/>
            </w:tcMar>
          </w:tcPr>
          <w:p>
            <w:pPr>
              <w:spacing w:after="0"/>
            </w:pPr>
            <w:r>
              <w:rPr>
                <w:sz w:val="16"/>
              </w:rPr>
              <w:t>Mission Concept Review</w:t>
            </w:r>
          </w:p>
        </w:tc>
        <w:tc>
          <w:tcPr>
            <w:tcW w:type="dxa" w:w="2340"/>
            <w:vAlign w:val="center"/>
            <w:tcMar>
              <w:top w:w="90" w:type="dxa"/>
              <w:left w:w="90" w:type="dxa"/>
              <w:bottom w:w="90" w:type="dxa"/>
              <w:right w:w="90" w:type="dxa"/>
            </w:tcMar>
          </w:tcPr>
          <w:p>
            <w:pPr>
              <w:spacing w:after="0"/>
            </w:pPr>
            <w:r>
              <w:rPr>
                <w:sz w:val="16"/>
              </w:rPr>
              <w:t>Mar 2027</w:t>
            </w:r>
          </w:p>
        </w:tc>
      </w:tr>
      <w:tr>
        <w:tc>
          <w:tcPr>
            <w:tcW w:type="dxa" w:w="2340"/>
            <w:vAlign w:val="center"/>
            <w:shd w:fill="F6F8FA"/>
            <w:tcMar>
              <w:top w:w="90" w:type="dxa"/>
              <w:left w:w="90" w:type="dxa"/>
              <w:bottom w:w="90" w:type="dxa"/>
              <w:right w:w="90" w:type="dxa"/>
            </w:tcMar>
          </w:tcPr>
          <w:p>
            <w:pPr>
              <w:spacing w:after="0"/>
            </w:pPr>
            <w:r>
              <w:rPr>
                <w:sz w:val="16"/>
              </w:rPr>
              <w:t>A</w:t>
            </w:r>
          </w:p>
        </w:tc>
        <w:tc>
          <w:tcPr>
            <w:tcW w:type="dxa" w:w="2340"/>
            <w:vAlign w:val="center"/>
            <w:shd w:fill="F6F8FA"/>
            <w:tcMar>
              <w:top w:w="90" w:type="dxa"/>
              <w:left w:w="90" w:type="dxa"/>
              <w:bottom w:w="90" w:type="dxa"/>
              <w:right w:w="90" w:type="dxa"/>
            </w:tcMar>
          </w:tcPr>
          <w:p>
            <w:pPr>
              <w:spacing w:after="0"/>
            </w:pPr>
            <w:r>
              <w:rPr>
                <w:sz w:val="16"/>
              </w:rPr>
              <w:t>SRR</w:t>
            </w:r>
          </w:p>
        </w:tc>
        <w:tc>
          <w:tcPr>
            <w:tcW w:type="dxa" w:w="2340"/>
            <w:vAlign w:val="center"/>
            <w:shd w:fill="F6F8FA"/>
            <w:tcMar>
              <w:top w:w="90" w:type="dxa"/>
              <w:left w:w="90" w:type="dxa"/>
              <w:bottom w:w="90" w:type="dxa"/>
              <w:right w:w="90" w:type="dxa"/>
            </w:tcMar>
          </w:tcPr>
          <w:p>
            <w:pPr>
              <w:spacing w:after="0"/>
            </w:pPr>
            <w:r>
              <w:rPr>
                <w:sz w:val="16"/>
              </w:rPr>
              <w:t>System Requirements Review</w:t>
            </w:r>
          </w:p>
        </w:tc>
        <w:tc>
          <w:tcPr>
            <w:tcW w:type="dxa" w:w="2340"/>
            <w:vAlign w:val="center"/>
            <w:shd w:fill="F6F8FA"/>
            <w:tcMar>
              <w:top w:w="90" w:type="dxa"/>
              <w:left w:w="90" w:type="dxa"/>
              <w:bottom w:w="90" w:type="dxa"/>
              <w:right w:w="90" w:type="dxa"/>
            </w:tcMar>
          </w:tcPr>
          <w:p>
            <w:pPr>
              <w:spacing w:after="0"/>
            </w:pPr>
            <w:r>
              <w:rPr>
                <w:sz w:val="16"/>
              </w:rPr>
              <w:t>Jan 2028</w:t>
            </w:r>
          </w:p>
        </w:tc>
      </w:tr>
      <w:tr>
        <w:tc>
          <w:tcPr>
            <w:tcW w:type="dxa" w:w="2340"/>
            <w:vAlign w:val="center"/>
            <w:tcMar>
              <w:top w:w="90" w:type="dxa"/>
              <w:left w:w="90" w:type="dxa"/>
              <w:bottom w:w="90" w:type="dxa"/>
              <w:right w:w="90" w:type="dxa"/>
            </w:tcMar>
          </w:tcPr>
          <w:p>
            <w:pPr>
              <w:spacing w:after="0"/>
            </w:pPr>
            <w:r>
              <w:rPr>
                <w:sz w:val="16"/>
              </w:rPr>
              <w:t>B</w:t>
            </w:r>
          </w:p>
        </w:tc>
        <w:tc>
          <w:tcPr>
            <w:tcW w:type="dxa" w:w="2340"/>
            <w:vAlign w:val="center"/>
            <w:tcMar>
              <w:top w:w="90" w:type="dxa"/>
              <w:left w:w="90" w:type="dxa"/>
              <w:bottom w:w="90" w:type="dxa"/>
              <w:right w:w="90" w:type="dxa"/>
            </w:tcMar>
          </w:tcPr>
          <w:p>
            <w:pPr>
              <w:spacing w:after="0"/>
            </w:pPr>
            <w:r>
              <w:rPr>
                <w:sz w:val="16"/>
              </w:rPr>
              <w:t>PDR</w:t>
            </w:r>
          </w:p>
        </w:tc>
        <w:tc>
          <w:tcPr>
            <w:tcW w:type="dxa" w:w="2340"/>
            <w:vAlign w:val="center"/>
            <w:tcMar>
              <w:top w:w="90" w:type="dxa"/>
              <w:left w:w="90" w:type="dxa"/>
              <w:bottom w:w="90" w:type="dxa"/>
              <w:right w:w="90" w:type="dxa"/>
            </w:tcMar>
          </w:tcPr>
          <w:p>
            <w:pPr>
              <w:spacing w:after="0"/>
            </w:pPr>
            <w:r>
              <w:rPr>
                <w:sz w:val="16"/>
              </w:rPr>
              <w:t>Preliminary Design Review</w:t>
            </w:r>
          </w:p>
        </w:tc>
        <w:tc>
          <w:tcPr>
            <w:tcW w:type="dxa" w:w="2340"/>
            <w:vAlign w:val="center"/>
            <w:tcMar>
              <w:top w:w="90" w:type="dxa"/>
              <w:left w:w="90" w:type="dxa"/>
              <w:bottom w:w="90" w:type="dxa"/>
              <w:right w:w="90" w:type="dxa"/>
            </w:tcMar>
          </w:tcPr>
          <w:p>
            <w:pPr>
              <w:spacing w:after="0"/>
            </w:pPr>
            <w:r>
              <w:rPr>
                <w:sz w:val="16"/>
              </w:rPr>
              <w:t>Mar 2029</w:t>
            </w:r>
          </w:p>
        </w:tc>
      </w:tr>
      <w:tr>
        <w:tc>
          <w:tcPr>
            <w:tcW w:type="dxa" w:w="2340"/>
            <w:vAlign w:val="center"/>
            <w:shd w:fill="F6F8FA"/>
            <w:tcMar>
              <w:top w:w="90" w:type="dxa"/>
              <w:left w:w="90" w:type="dxa"/>
              <w:bottom w:w="90" w:type="dxa"/>
              <w:right w:w="90" w:type="dxa"/>
            </w:tcMar>
          </w:tcPr>
          <w:p>
            <w:pPr>
              <w:spacing w:after="0"/>
            </w:pPr>
            <w:r>
              <w:rPr>
                <w:sz w:val="16"/>
              </w:rPr>
              <w:t>C</w:t>
            </w:r>
          </w:p>
        </w:tc>
        <w:tc>
          <w:tcPr>
            <w:tcW w:type="dxa" w:w="2340"/>
            <w:vAlign w:val="center"/>
            <w:shd w:fill="F6F8FA"/>
            <w:tcMar>
              <w:top w:w="90" w:type="dxa"/>
              <w:left w:w="90" w:type="dxa"/>
              <w:bottom w:w="90" w:type="dxa"/>
              <w:right w:w="90" w:type="dxa"/>
            </w:tcMar>
          </w:tcPr>
          <w:p>
            <w:pPr>
              <w:spacing w:after="0"/>
            </w:pPr>
            <w:r>
              <w:rPr>
                <w:sz w:val="16"/>
              </w:rPr>
              <w:t>CDR</w:t>
            </w:r>
          </w:p>
        </w:tc>
        <w:tc>
          <w:tcPr>
            <w:tcW w:type="dxa" w:w="2340"/>
            <w:vAlign w:val="center"/>
            <w:shd w:fill="F6F8FA"/>
            <w:tcMar>
              <w:top w:w="90" w:type="dxa"/>
              <w:left w:w="90" w:type="dxa"/>
              <w:bottom w:w="90" w:type="dxa"/>
              <w:right w:w="90" w:type="dxa"/>
            </w:tcMar>
          </w:tcPr>
          <w:p>
            <w:pPr>
              <w:spacing w:after="0"/>
            </w:pPr>
            <w:r>
              <w:rPr>
                <w:sz w:val="16"/>
              </w:rPr>
              <w:t>Critical Design Review</w:t>
            </w:r>
          </w:p>
        </w:tc>
        <w:tc>
          <w:tcPr>
            <w:tcW w:type="dxa" w:w="2340"/>
            <w:vAlign w:val="center"/>
            <w:shd w:fill="F6F8FA"/>
            <w:tcMar>
              <w:top w:w="90" w:type="dxa"/>
              <w:left w:w="90" w:type="dxa"/>
              <w:bottom w:w="90" w:type="dxa"/>
              <w:right w:w="90" w:type="dxa"/>
            </w:tcMar>
          </w:tcPr>
          <w:p>
            <w:pPr>
              <w:spacing w:after="0"/>
            </w:pPr>
            <w:r>
              <w:rPr>
                <w:sz w:val="16"/>
              </w:rPr>
              <w:t>Mar 2030</w:t>
            </w:r>
          </w:p>
        </w:tc>
      </w:tr>
      <w:tr>
        <w:tc>
          <w:tcPr>
            <w:tcW w:type="dxa" w:w="2340"/>
            <w:vAlign w:val="center"/>
            <w:tcMar>
              <w:top w:w="90" w:type="dxa"/>
              <w:left w:w="90" w:type="dxa"/>
              <w:bottom w:w="90" w:type="dxa"/>
              <w:right w:w="90" w:type="dxa"/>
            </w:tcMar>
          </w:tcPr>
          <w:p>
            <w:pPr>
              <w:spacing w:after="0"/>
            </w:pPr>
            <w:r>
              <w:rPr>
                <w:sz w:val="16"/>
              </w:rPr>
              <w:t>D1</w:t>
            </w:r>
          </w:p>
        </w:tc>
        <w:tc>
          <w:tcPr>
            <w:tcW w:type="dxa" w:w="2340"/>
            <w:vAlign w:val="center"/>
            <w:tcMar>
              <w:top w:w="90" w:type="dxa"/>
              <w:left w:w="90" w:type="dxa"/>
              <w:bottom w:w="90" w:type="dxa"/>
              <w:right w:w="90" w:type="dxa"/>
            </w:tcMar>
          </w:tcPr>
          <w:p>
            <w:pPr>
              <w:spacing w:after="0"/>
            </w:pPr>
            <w:r>
              <w:rPr>
                <w:sz w:val="16"/>
              </w:rPr>
              <w:t>MRR</w:t>
            </w:r>
          </w:p>
        </w:tc>
        <w:tc>
          <w:tcPr>
            <w:tcW w:type="dxa" w:w="2340"/>
            <w:vAlign w:val="center"/>
            <w:tcMar>
              <w:top w:w="90" w:type="dxa"/>
              <w:left w:w="90" w:type="dxa"/>
              <w:bottom w:w="90" w:type="dxa"/>
              <w:right w:w="90" w:type="dxa"/>
            </w:tcMar>
          </w:tcPr>
          <w:p>
            <w:pPr>
              <w:spacing w:after="0"/>
            </w:pPr>
            <w:r>
              <w:rPr>
                <w:sz w:val="16"/>
              </w:rPr>
              <w:t>Manufacturing Readiness Review</w:t>
            </w:r>
          </w:p>
        </w:tc>
        <w:tc>
          <w:tcPr>
            <w:tcW w:type="dxa" w:w="2340"/>
            <w:vAlign w:val="center"/>
            <w:tcMar>
              <w:top w:w="90" w:type="dxa"/>
              <w:left w:w="90" w:type="dxa"/>
              <w:bottom w:w="90" w:type="dxa"/>
              <w:right w:w="90" w:type="dxa"/>
            </w:tcMar>
          </w:tcPr>
          <w:p>
            <w:pPr>
              <w:spacing w:after="0"/>
            </w:pPr>
            <w:r>
              <w:rPr>
                <w:sz w:val="16"/>
              </w:rPr>
              <w:t>Jun 2030</w:t>
            </w:r>
          </w:p>
        </w:tc>
      </w:tr>
      <w:tr>
        <w:tc>
          <w:tcPr>
            <w:tcW w:type="dxa" w:w="2340"/>
            <w:vAlign w:val="center"/>
            <w:shd w:fill="F6F8FA"/>
            <w:tcMar>
              <w:top w:w="90" w:type="dxa"/>
              <w:left w:w="90" w:type="dxa"/>
              <w:bottom w:w="90" w:type="dxa"/>
              <w:right w:w="90" w:type="dxa"/>
            </w:tcMar>
          </w:tcPr>
          <w:p>
            <w:pPr>
              <w:spacing w:after="0"/>
            </w:pPr>
            <w:r>
              <w:rPr>
                <w:sz w:val="16"/>
              </w:rPr>
              <w:t>D1</w:t>
            </w:r>
          </w:p>
        </w:tc>
        <w:tc>
          <w:tcPr>
            <w:tcW w:type="dxa" w:w="2340"/>
            <w:vAlign w:val="center"/>
            <w:shd w:fill="F6F8FA"/>
            <w:tcMar>
              <w:top w:w="90" w:type="dxa"/>
              <w:left w:w="90" w:type="dxa"/>
              <w:bottom w:w="90" w:type="dxa"/>
              <w:right w:w="90" w:type="dxa"/>
            </w:tcMar>
          </w:tcPr>
          <w:p>
            <w:pPr>
              <w:spacing w:after="0"/>
            </w:pPr>
            <w:r>
              <w:rPr>
                <w:sz w:val="16"/>
              </w:rPr>
              <w:t>EVT</w:t>
            </w:r>
          </w:p>
        </w:tc>
        <w:tc>
          <w:tcPr>
            <w:tcW w:type="dxa" w:w="2340"/>
            <w:vAlign w:val="center"/>
            <w:shd w:fill="F6F8FA"/>
            <w:tcMar>
              <w:top w:w="90" w:type="dxa"/>
              <w:left w:w="90" w:type="dxa"/>
              <w:bottom w:w="90" w:type="dxa"/>
              <w:right w:w="90" w:type="dxa"/>
            </w:tcMar>
          </w:tcPr>
          <w:p>
            <w:pPr>
              <w:spacing w:after="0"/>
            </w:pPr>
            <w:r>
              <w:rPr>
                <w:sz w:val="16"/>
              </w:rPr>
              <w:t>Payload qualification</w:t>
            </w:r>
          </w:p>
        </w:tc>
        <w:tc>
          <w:tcPr>
            <w:tcW w:type="dxa" w:w="2340"/>
            <w:vAlign w:val="center"/>
            <w:shd w:fill="F6F8FA"/>
            <w:tcMar>
              <w:top w:w="90" w:type="dxa"/>
              <w:left w:w="90" w:type="dxa"/>
              <w:bottom w:w="90" w:type="dxa"/>
              <w:right w:w="90" w:type="dxa"/>
            </w:tcMar>
          </w:tcPr>
          <w:p>
            <w:pPr>
              <w:spacing w:after="0"/>
            </w:pPr>
            <w:r>
              <w:rPr>
                <w:sz w:val="16"/>
              </w:rPr>
              <w:t>Apr 2031</w:t>
            </w:r>
          </w:p>
        </w:tc>
      </w:tr>
      <w:tr>
        <w:tc>
          <w:tcPr>
            <w:tcW w:type="dxa" w:w="2340"/>
            <w:vAlign w:val="center"/>
            <w:tcMar>
              <w:top w:w="90" w:type="dxa"/>
              <w:left w:w="90" w:type="dxa"/>
              <w:bottom w:w="90" w:type="dxa"/>
              <w:right w:w="90" w:type="dxa"/>
            </w:tcMar>
          </w:tcPr>
          <w:p>
            <w:pPr>
              <w:spacing w:after="0"/>
            </w:pPr>
            <w:r>
              <w:rPr>
                <w:sz w:val="16"/>
              </w:rPr>
              <w:t>D1</w:t>
            </w:r>
          </w:p>
        </w:tc>
        <w:tc>
          <w:tcPr>
            <w:tcW w:type="dxa" w:w="2340"/>
            <w:vAlign w:val="center"/>
            <w:tcMar>
              <w:top w:w="90" w:type="dxa"/>
              <w:left w:w="90" w:type="dxa"/>
              <w:bottom w:w="90" w:type="dxa"/>
              <w:right w:w="90" w:type="dxa"/>
            </w:tcMar>
          </w:tcPr>
          <w:p>
            <w:pPr>
              <w:spacing w:after="0"/>
            </w:pPr>
            <w:r>
              <w:rPr>
                <w:sz w:val="16"/>
              </w:rPr>
              <w:t>EVT</w:t>
            </w:r>
          </w:p>
        </w:tc>
        <w:tc>
          <w:tcPr>
            <w:tcW w:type="dxa" w:w="2340"/>
            <w:vAlign w:val="center"/>
            <w:tcMar>
              <w:top w:w="90" w:type="dxa"/>
              <w:left w:w="90" w:type="dxa"/>
              <w:bottom w:w="90" w:type="dxa"/>
              <w:right w:w="90" w:type="dxa"/>
            </w:tcMar>
          </w:tcPr>
          <w:p>
            <w:pPr>
              <w:spacing w:after="0"/>
            </w:pPr>
            <w:r>
              <w:rPr>
                <w:sz w:val="16"/>
              </w:rPr>
              <w:t>FM-1 complete</w:t>
            </w:r>
          </w:p>
        </w:tc>
        <w:tc>
          <w:tcPr>
            <w:tcW w:type="dxa" w:w="2340"/>
            <w:vAlign w:val="center"/>
            <w:tcMar>
              <w:top w:w="90" w:type="dxa"/>
              <w:left w:w="90" w:type="dxa"/>
              <w:bottom w:w="90" w:type="dxa"/>
              <w:right w:w="90" w:type="dxa"/>
            </w:tcMar>
          </w:tcPr>
          <w:p>
            <w:pPr>
              <w:spacing w:after="0"/>
            </w:pPr>
            <w:r>
              <w:rPr>
                <w:sz w:val="16"/>
              </w:rPr>
              <w:t>Sep 2031</w:t>
            </w:r>
          </w:p>
        </w:tc>
      </w:tr>
      <w:tr>
        <w:tc>
          <w:tcPr>
            <w:tcW w:type="dxa" w:w="2340"/>
            <w:vAlign w:val="center"/>
            <w:shd w:fill="F6F8FA"/>
            <w:tcMar>
              <w:top w:w="90" w:type="dxa"/>
              <w:left w:w="90" w:type="dxa"/>
              <w:bottom w:w="90" w:type="dxa"/>
              <w:right w:w="90" w:type="dxa"/>
            </w:tcMar>
          </w:tcPr>
          <w:p>
            <w:pPr>
              <w:spacing w:after="0"/>
            </w:pPr>
            <w:r>
              <w:rPr>
                <w:sz w:val="16"/>
              </w:rPr>
              <w:t>D1</w:t>
            </w:r>
          </w:p>
        </w:tc>
        <w:tc>
          <w:tcPr>
            <w:tcW w:type="dxa" w:w="2340"/>
            <w:vAlign w:val="center"/>
            <w:shd w:fill="F6F8FA"/>
            <w:tcMar>
              <w:top w:w="90" w:type="dxa"/>
              <w:left w:w="90" w:type="dxa"/>
              <w:bottom w:w="90" w:type="dxa"/>
              <w:right w:w="90" w:type="dxa"/>
            </w:tcMar>
          </w:tcPr>
          <w:p>
            <w:pPr>
              <w:spacing w:after="0"/>
            </w:pPr>
            <w:r>
              <w:rPr>
                <w:sz w:val="16"/>
              </w:rPr>
              <w:t>EVT</w:t>
            </w:r>
          </w:p>
        </w:tc>
        <w:tc>
          <w:tcPr>
            <w:tcW w:type="dxa" w:w="2340"/>
            <w:vAlign w:val="center"/>
            <w:shd w:fill="F6F8FA"/>
            <w:tcMar>
              <w:top w:w="90" w:type="dxa"/>
              <w:left w:w="90" w:type="dxa"/>
              <w:bottom w:w="90" w:type="dxa"/>
              <w:right w:w="90" w:type="dxa"/>
            </w:tcMar>
          </w:tcPr>
          <w:p>
            <w:pPr>
              <w:spacing w:after="0"/>
            </w:pPr>
            <w:r>
              <w:rPr>
                <w:sz w:val="16"/>
              </w:rPr>
              <w:t>FM-3 complete</w:t>
            </w:r>
          </w:p>
        </w:tc>
        <w:tc>
          <w:tcPr>
            <w:tcW w:type="dxa" w:w="2340"/>
            <w:vAlign w:val="center"/>
            <w:shd w:fill="F6F8FA"/>
            <w:tcMar>
              <w:top w:w="90" w:type="dxa"/>
              <w:left w:w="90" w:type="dxa"/>
              <w:bottom w:w="90" w:type="dxa"/>
              <w:right w:w="90" w:type="dxa"/>
            </w:tcMar>
          </w:tcPr>
          <w:p>
            <w:pPr>
              <w:spacing w:after="0"/>
            </w:pPr>
            <w:r>
              <w:rPr>
                <w:sz w:val="16"/>
              </w:rPr>
              <w:t>Mar 2032</w:t>
            </w:r>
          </w:p>
        </w:tc>
      </w:tr>
      <w:tr>
        <w:tc>
          <w:tcPr>
            <w:tcW w:type="dxa" w:w="2340"/>
            <w:vAlign w:val="center"/>
            <w:tcMar>
              <w:top w:w="90" w:type="dxa"/>
              <w:left w:w="90" w:type="dxa"/>
              <w:bottom w:w="90" w:type="dxa"/>
              <w:right w:w="90" w:type="dxa"/>
            </w:tcMar>
          </w:tcPr>
          <w:p>
            <w:pPr>
              <w:spacing w:after="0"/>
            </w:pPr>
            <w:r>
              <w:rPr>
                <w:sz w:val="16"/>
              </w:rPr>
              <w:t>D2</w:t>
            </w:r>
          </w:p>
        </w:tc>
        <w:tc>
          <w:tcPr>
            <w:tcW w:type="dxa" w:w="2340"/>
            <w:vAlign w:val="center"/>
            <w:tcMar>
              <w:top w:w="90" w:type="dxa"/>
              <w:left w:w="90" w:type="dxa"/>
              <w:bottom w:w="90" w:type="dxa"/>
              <w:right w:w="90" w:type="dxa"/>
            </w:tcMar>
          </w:tcPr>
          <w:p>
            <w:pPr>
              <w:spacing w:after="0"/>
            </w:pPr>
            <w:r>
              <w:rPr>
                <w:sz w:val="16"/>
              </w:rPr>
              <w:t>SIR</w:t>
            </w:r>
          </w:p>
        </w:tc>
        <w:tc>
          <w:tcPr>
            <w:tcW w:type="dxa" w:w="2340"/>
            <w:vAlign w:val="center"/>
            <w:tcMar>
              <w:top w:w="90" w:type="dxa"/>
              <w:left w:w="90" w:type="dxa"/>
              <w:bottom w:w="90" w:type="dxa"/>
              <w:right w:w="90" w:type="dxa"/>
            </w:tcMar>
          </w:tcPr>
          <w:p>
            <w:pPr>
              <w:spacing w:after="0"/>
            </w:pPr>
            <w:r>
              <w:rPr>
                <w:sz w:val="16"/>
              </w:rPr>
              <w:t>System Integration Review</w:t>
            </w:r>
          </w:p>
        </w:tc>
        <w:tc>
          <w:tcPr>
            <w:tcW w:type="dxa" w:w="2340"/>
            <w:vAlign w:val="center"/>
            <w:tcMar>
              <w:top w:w="90" w:type="dxa"/>
              <w:left w:w="90" w:type="dxa"/>
              <w:bottom w:w="90" w:type="dxa"/>
              <w:right w:w="90" w:type="dxa"/>
            </w:tcMar>
          </w:tcPr>
          <w:p>
            <w:pPr>
              <w:spacing w:after="0"/>
            </w:pPr>
            <w:r>
              <w:rPr>
                <w:sz w:val="16"/>
              </w:rPr>
              <w:t>May 2032</w:t>
            </w:r>
          </w:p>
        </w:tc>
      </w:tr>
      <w:tr>
        <w:tc>
          <w:tcPr>
            <w:tcW w:type="dxa" w:w="2340"/>
            <w:vAlign w:val="center"/>
            <w:shd w:fill="F6F8FA"/>
            <w:tcMar>
              <w:top w:w="90" w:type="dxa"/>
              <w:left w:w="90" w:type="dxa"/>
              <w:bottom w:w="90" w:type="dxa"/>
              <w:right w:w="90" w:type="dxa"/>
            </w:tcMar>
          </w:tcPr>
          <w:p>
            <w:pPr>
              <w:spacing w:after="0"/>
            </w:pPr>
            <w:r>
              <w:rPr>
                <w:sz w:val="16"/>
              </w:rPr>
              <w:t>D2</w:t>
            </w:r>
          </w:p>
        </w:tc>
        <w:tc>
          <w:tcPr>
            <w:tcW w:type="dxa" w:w="2340"/>
            <w:vAlign w:val="center"/>
            <w:shd w:fill="F6F8FA"/>
            <w:tcMar>
              <w:top w:w="90" w:type="dxa"/>
              <w:left w:w="90" w:type="dxa"/>
              <w:bottom w:w="90" w:type="dxa"/>
              <w:right w:w="90" w:type="dxa"/>
            </w:tcMar>
          </w:tcPr>
          <w:p>
            <w:pPr>
              <w:spacing w:after="0"/>
            </w:pPr>
            <w:r>
              <w:rPr>
                <w:sz w:val="16"/>
              </w:rPr>
              <w:t>AR</w:t>
            </w:r>
          </w:p>
        </w:tc>
        <w:tc>
          <w:tcPr>
            <w:tcW w:type="dxa" w:w="2340"/>
            <w:vAlign w:val="center"/>
            <w:shd w:fill="F6F8FA"/>
            <w:tcMar>
              <w:top w:w="90" w:type="dxa"/>
              <w:left w:w="90" w:type="dxa"/>
              <w:bottom w:w="90" w:type="dxa"/>
              <w:right w:w="90" w:type="dxa"/>
            </w:tcMar>
          </w:tcPr>
          <w:p>
            <w:pPr>
              <w:spacing w:after="0"/>
            </w:pPr>
            <w:r>
              <w:rPr>
                <w:sz w:val="16"/>
              </w:rPr>
              <w:t>Acceptance</w:t>
            </w:r>
          </w:p>
        </w:tc>
        <w:tc>
          <w:tcPr>
            <w:tcW w:type="dxa" w:w="2340"/>
            <w:vAlign w:val="center"/>
            <w:shd w:fill="F6F8FA"/>
            <w:tcMar>
              <w:top w:w="90" w:type="dxa"/>
              <w:left w:w="90" w:type="dxa"/>
              <w:bottom w:w="90" w:type="dxa"/>
              <w:right w:w="90" w:type="dxa"/>
            </w:tcMar>
          </w:tcPr>
          <w:p>
            <w:pPr>
              <w:spacing w:after="0"/>
            </w:pPr>
            <w:r>
              <w:rPr>
                <w:sz w:val="16"/>
              </w:rPr>
              <w:t>Sep 2032</w:t>
            </w:r>
          </w:p>
        </w:tc>
      </w:tr>
      <w:tr>
        <w:tc>
          <w:tcPr>
            <w:tcW w:type="dxa" w:w="2340"/>
            <w:vAlign w:val="center"/>
            <w:tcMar>
              <w:top w:w="90" w:type="dxa"/>
              <w:left w:w="90" w:type="dxa"/>
              <w:bottom w:w="90" w:type="dxa"/>
              <w:right w:w="90" w:type="dxa"/>
            </w:tcMar>
          </w:tcPr>
          <w:p>
            <w:pPr>
              <w:spacing w:after="0"/>
            </w:pPr>
            <w:r>
              <w:rPr>
                <w:sz w:val="16"/>
              </w:rPr>
              <w:t>D2</w:t>
            </w:r>
          </w:p>
        </w:tc>
        <w:tc>
          <w:tcPr>
            <w:tcW w:type="dxa" w:w="2340"/>
            <w:vAlign w:val="center"/>
            <w:tcMar>
              <w:top w:w="90" w:type="dxa"/>
              <w:left w:w="90" w:type="dxa"/>
              <w:bottom w:w="90" w:type="dxa"/>
              <w:right w:w="90" w:type="dxa"/>
            </w:tcMar>
          </w:tcPr>
          <w:p>
            <w:pPr>
              <w:spacing w:after="0"/>
            </w:pPr>
            <w:r>
              <w:rPr>
                <w:sz w:val="16"/>
              </w:rPr>
              <w:t>LRR</w:t>
            </w:r>
          </w:p>
        </w:tc>
        <w:tc>
          <w:tcPr>
            <w:tcW w:type="dxa" w:w="2340"/>
            <w:vAlign w:val="center"/>
            <w:tcMar>
              <w:top w:w="90" w:type="dxa"/>
              <w:left w:w="90" w:type="dxa"/>
              <w:bottom w:w="90" w:type="dxa"/>
              <w:right w:w="90" w:type="dxa"/>
            </w:tcMar>
          </w:tcPr>
          <w:p>
            <w:pPr>
              <w:spacing w:after="0"/>
            </w:pPr>
            <w:r>
              <w:rPr>
                <w:sz w:val="16"/>
              </w:rPr>
              <w:t>Launch / Delivery Readiness Review</w:t>
            </w:r>
          </w:p>
        </w:tc>
        <w:tc>
          <w:tcPr>
            <w:tcW w:type="dxa" w:w="2340"/>
            <w:vAlign w:val="center"/>
            <w:tcMar>
              <w:top w:w="90" w:type="dxa"/>
              <w:left w:w="90" w:type="dxa"/>
              <w:bottom w:w="90" w:type="dxa"/>
              <w:right w:w="90" w:type="dxa"/>
            </w:tcMar>
          </w:tcPr>
          <w:p>
            <w:pPr>
              <w:spacing w:after="0"/>
            </w:pPr>
            <w:r>
              <w:rPr>
                <w:sz w:val="16"/>
              </w:rPr>
              <w:t>Nov 2032</w:t>
            </w:r>
          </w:p>
        </w:tc>
      </w:tr>
      <w:tr>
        <w:tc>
          <w:tcPr>
            <w:tcW w:type="dxa" w:w="2340"/>
            <w:vAlign w:val="center"/>
            <w:shd w:fill="F6F8FA"/>
            <w:tcMar>
              <w:top w:w="90" w:type="dxa"/>
              <w:left w:w="90" w:type="dxa"/>
              <w:bottom w:w="90" w:type="dxa"/>
              <w:right w:w="90" w:type="dxa"/>
            </w:tcMar>
          </w:tcPr>
          <w:p>
            <w:pPr>
              <w:spacing w:after="0"/>
            </w:pPr>
            <w:r>
              <w:rPr>
                <w:sz w:val="16"/>
              </w:rPr>
              <w:t>D2</w:t>
            </w:r>
          </w:p>
        </w:tc>
        <w:tc>
          <w:tcPr>
            <w:tcW w:type="dxa" w:w="2340"/>
            <w:vAlign w:val="center"/>
            <w:shd w:fill="F6F8FA"/>
            <w:tcMar>
              <w:top w:w="90" w:type="dxa"/>
              <w:left w:w="90" w:type="dxa"/>
              <w:bottom w:w="90" w:type="dxa"/>
              <w:right w:w="90" w:type="dxa"/>
            </w:tcMar>
          </w:tcPr>
          <w:p>
            <w:pPr>
              <w:spacing w:after="0"/>
            </w:pPr>
            <w:r>
              <w:rPr>
                <w:sz w:val="16"/>
              </w:rPr>
              <w:t>L1–L3</w:t>
            </w:r>
          </w:p>
        </w:tc>
        <w:tc>
          <w:tcPr>
            <w:tcW w:type="dxa" w:w="2340"/>
            <w:vAlign w:val="center"/>
            <w:shd w:fill="F6F8FA"/>
            <w:tcMar>
              <w:top w:w="90" w:type="dxa"/>
              <w:left w:w="90" w:type="dxa"/>
              <w:bottom w:w="90" w:type="dxa"/>
              <w:right w:w="90" w:type="dxa"/>
            </w:tcMar>
          </w:tcPr>
          <w:p>
            <w:pPr>
              <w:spacing w:after="0"/>
            </w:pPr>
            <w:r>
              <w:rPr>
                <w:sz w:val="16"/>
              </w:rPr>
              <w:t>Launch sequence</w:t>
            </w:r>
          </w:p>
        </w:tc>
        <w:tc>
          <w:tcPr>
            <w:tcW w:type="dxa" w:w="2340"/>
            <w:vAlign w:val="center"/>
            <w:shd w:fill="F6F8FA"/>
            <w:tcMar>
              <w:top w:w="90" w:type="dxa"/>
              <w:left w:w="90" w:type="dxa"/>
              <w:bottom w:w="90" w:type="dxa"/>
              <w:right w:w="90" w:type="dxa"/>
            </w:tcMar>
          </w:tcPr>
          <w:p>
            <w:pPr>
              <w:spacing w:after="0"/>
            </w:pPr>
            <w:r>
              <w:rPr>
                <w:sz w:val="16"/>
              </w:rPr>
              <w:t>Jan 2033</w:t>
            </w:r>
          </w:p>
        </w:tc>
      </w:tr>
      <w:tr>
        <w:tc>
          <w:tcPr>
            <w:tcW w:type="dxa" w:w="2340"/>
            <w:vAlign w:val="center"/>
            <w:tcMar>
              <w:top w:w="90" w:type="dxa"/>
              <w:left w:w="90" w:type="dxa"/>
              <w:bottom w:w="90" w:type="dxa"/>
              <w:right w:w="90" w:type="dxa"/>
            </w:tcMar>
          </w:tcPr>
          <w:p>
            <w:pPr>
              <w:spacing w:after="0"/>
            </w:pPr>
            <w:r>
              <w:rPr>
                <w:sz w:val="16"/>
              </w:rPr>
              <w:t>E</w:t>
            </w:r>
          </w:p>
        </w:tc>
        <w:tc>
          <w:tcPr>
            <w:tcW w:type="dxa" w:w="2340"/>
            <w:vAlign w:val="center"/>
            <w:tcMar>
              <w:top w:w="90" w:type="dxa"/>
              <w:left w:w="90" w:type="dxa"/>
              <w:bottom w:w="90" w:type="dxa"/>
              <w:right w:w="90" w:type="dxa"/>
            </w:tcMar>
          </w:tcPr>
          <w:p>
            <w:pPr>
              <w:spacing w:after="0"/>
            </w:pPr>
            <w:r>
              <w:rPr>
                <w:sz w:val="16"/>
              </w:rPr>
              <w:t>EVT</w:t>
            </w:r>
          </w:p>
        </w:tc>
        <w:tc>
          <w:tcPr>
            <w:tcW w:type="dxa" w:w="2340"/>
            <w:vAlign w:val="center"/>
            <w:tcMar>
              <w:top w:w="90" w:type="dxa"/>
              <w:left w:w="90" w:type="dxa"/>
              <w:bottom w:w="90" w:type="dxa"/>
              <w:right w:w="90" w:type="dxa"/>
            </w:tcMar>
          </w:tcPr>
          <w:p>
            <w:pPr>
              <w:spacing w:after="0"/>
            </w:pPr>
            <w:r>
              <w:rPr>
                <w:sz w:val="16"/>
              </w:rPr>
              <w:t>Commissioning</w:t>
            </w:r>
          </w:p>
        </w:tc>
        <w:tc>
          <w:tcPr>
            <w:tcW w:type="dxa" w:w="2340"/>
            <w:vAlign w:val="center"/>
            <w:tcMar>
              <w:top w:w="90" w:type="dxa"/>
              <w:left w:w="90" w:type="dxa"/>
              <w:bottom w:w="90" w:type="dxa"/>
              <w:right w:w="90" w:type="dxa"/>
            </w:tcMar>
          </w:tcPr>
          <w:p>
            <w:pPr>
              <w:spacing w:after="0"/>
            </w:pPr>
            <w:r>
              <w:rPr>
                <w:sz w:val="16"/>
              </w:rPr>
              <w:t>Jul 2033</w:t>
            </w:r>
          </w:p>
        </w:tc>
      </w:tr>
      <w:tr>
        <w:tc>
          <w:tcPr>
            <w:tcW w:type="dxa" w:w="2340"/>
            <w:vAlign w:val="center"/>
            <w:shd w:fill="F6F8FA"/>
            <w:tcMar>
              <w:top w:w="90" w:type="dxa"/>
              <w:left w:w="90" w:type="dxa"/>
              <w:bottom w:w="90" w:type="dxa"/>
              <w:right w:w="90" w:type="dxa"/>
            </w:tcMar>
          </w:tcPr>
          <w:p>
            <w:pPr>
              <w:spacing w:after="0"/>
            </w:pPr>
            <w:r>
              <w:rPr>
                <w:sz w:val="16"/>
              </w:rPr>
              <w:t>E</w:t>
            </w:r>
          </w:p>
        </w:tc>
        <w:tc>
          <w:tcPr>
            <w:tcW w:type="dxa" w:w="2340"/>
            <w:vAlign w:val="center"/>
            <w:shd w:fill="F6F8FA"/>
            <w:tcMar>
              <w:top w:w="90" w:type="dxa"/>
              <w:left w:w="90" w:type="dxa"/>
              <w:bottom w:w="90" w:type="dxa"/>
              <w:right w:w="90" w:type="dxa"/>
            </w:tcMar>
          </w:tcPr>
          <w:p>
            <w:pPr>
              <w:spacing w:after="0"/>
            </w:pPr>
            <w:r>
              <w:rPr>
                <w:sz w:val="16"/>
              </w:rPr>
              <w:t>EVT</w:t>
            </w:r>
          </w:p>
        </w:tc>
        <w:tc>
          <w:tcPr>
            <w:tcW w:type="dxa" w:w="2340"/>
            <w:vAlign w:val="center"/>
            <w:shd w:fill="F6F8FA"/>
            <w:tcMar>
              <w:top w:w="90" w:type="dxa"/>
              <w:left w:w="90" w:type="dxa"/>
              <w:bottom w:w="90" w:type="dxa"/>
              <w:right w:w="90" w:type="dxa"/>
            </w:tcMar>
          </w:tcPr>
          <w:p>
            <w:pPr>
              <w:spacing w:after="0"/>
            </w:pPr>
            <w:r>
              <w:rPr>
                <w:sz w:val="16"/>
              </w:rPr>
              <w:t>Nominal end</w:t>
            </w:r>
          </w:p>
        </w:tc>
        <w:tc>
          <w:tcPr>
            <w:tcW w:type="dxa" w:w="2340"/>
            <w:vAlign w:val="center"/>
            <w:shd w:fill="F6F8FA"/>
            <w:tcMar>
              <w:top w:w="90" w:type="dxa"/>
              <w:left w:w="90" w:type="dxa"/>
              <w:bottom w:w="90" w:type="dxa"/>
              <w:right w:w="90" w:type="dxa"/>
            </w:tcMar>
          </w:tcPr>
          <w:p>
            <w:pPr>
              <w:spacing w:after="0"/>
            </w:pPr>
            <w:r>
              <w:rPr>
                <w:sz w:val="16"/>
              </w:rPr>
              <w:t>Jul 2040</w:t>
            </w:r>
          </w:p>
        </w:tc>
      </w:tr>
    </w:tbl>
    <w:p>
      <w:pPr>
        <w:pStyle w:val="Heading2"/>
      </w:pPr>
      <w:r>
        <w:t>Safety and Mission Assurance</w:t>
      </w:r>
    </w:p>
    <w:p>
      <w:pPr/>
      <w:r>
        <w:t>The project applies controlled requirements, hazard analysis, independent quality oversight, parts and materials screening, nonconformance disposition, serialized configuration and documented readiness reviews. Hazards include stored energy, fluid containment, high voltage, radiation, moving mechanisms, thermal surfaces and potential loss of user service as applicable.</w:t>
      </w:r>
    </w:p>
    <w:p>
      <w:pPr/>
      <w:r>
        <w:t>For Virelan Protected Communications System, the initial risk concentration is Spectrum coordination, reflector deployment, key management and recovery, radiation-induced processor upset, high-duty payload thermal rejection and common-mode ground software. Safety-related controls receive independent verification; mission success and medical or food-use claims require separate acceptance evidence.</w:t>
      </w:r>
    </w:p>
    <w:p>
      <w:pPr>
        <w:pStyle w:val="Heading2"/>
      </w:pPr>
      <w:r>
        <w:t>Prototyping Model Philosophy Qualification and Verification Strategy</w:t>
      </w:r>
    </w:p>
    <w:p>
      <w:pPr/>
      <w:r>
        <w:t>The reference model philosophy comprises an electrical integration article, engineering or breadboard articles for novel functions, a structural/thermal qualification article and 3 flight or delivered unit(s). Every unit receives end-to-end functional, environmental workmanship, communications, safety and calibration testing. Qualification of a representative article does not waive acceptance of later units.</w:t>
      </w:r>
    </w:p>
    <w:p>
      <w:pPr/>
      <w:r>
        <w:t>Verification records state the exact serial number, software version, procedures, environmental settings, anomalies and concessions. The commissioning review compares as-delivered performance to the reference allocation before operations begin.</w:t>
      </w:r>
    </w:p>
    <w:p>
      <w:pPr>
        <w:pStyle w:val="Heading2"/>
      </w:pPr>
      <w:r>
        <w:t>Sparing Strategy</w:t>
      </w:r>
    </w:p>
    <w:p>
      <w:pPr>
        <w:pStyle w:val="BodyText"/>
      </w:pPr>
      <w:r>
        <w:t>Flight spares are allocated for critical, long lead and failure-prone units. A maintained engineering article and ground support equipment support anomaly reproduction and software validation. The final spare quantities and holding costs belong in Part B.</w:t>
      </w:r>
    </w:p>
    <w:p>
      <w:pPr>
        <w:pStyle w:val="Heading2"/>
      </w:pPr>
      <w:r>
        <w:t>Risk Assessment</w:t>
      </w:r>
    </w:p>
    <w:p>
      <w:pPr/>
      <w:r>
        <w:t>The Part C risk register controls risk probability, cost and schedule exposure. Principal threats: Spectrum coordination, reflector deployment, key management and recovery, radiation-induced processor upset, high-duty payload thermal rejection and common-mode ground software. Each has an owner, trigger, planned mitigation and residual exposure. Design reserves on mass, power, data and propellant or consumables are reported separately from financial contingency.</w:t>
      </w:r>
    </w:p>
    <w:p>
      <w:pPr>
        <w:pStyle w:val="Heading2"/>
      </w:pPr>
      <w:r>
        <w:t>Organizational Breakdown Structure</w:t>
      </w:r>
    </w:p>
    <w:p>
      <w:pPr>
        <w:pStyle w:val="Heading3"/>
      </w:pPr>
      <w:r>
        <w:t>Space Agencies and Government Organizations</w:t>
      </w:r>
    </w:p>
    <w:p>
      <w:pPr>
        <w:pStyle w:val="Caption"/>
      </w:pPr>
      <w:r>
        <w:t>Table 6 – Mission Organizations</w:t>
      </w:r>
    </w:p>
    <w:tbl>
      <w:tblPr>
        <w:tblStyle w:val="TableGrid"/>
        <w:tblW w:type="auto" w:w="0"/>
        <w:jc w:val="center"/>
        <w:tblLayout w:type="fixed"/>
        <w:tblLook w:firstColumn="1" w:firstRow="1" w:lastColumn="0" w:lastRow="0" w:noHBand="0" w:noVBand="1" w:val="04A0"/>
      </w:tblPr>
      <w:tblGrid>
        <w:gridCol w:w="2880"/>
        <w:gridCol w:w="1728"/>
        <w:gridCol w:w="4608"/>
      </w:tblGrid>
      <w:tr>
        <w:trPr>
          <w:tblHeader w:val="true"/>
        </w:trPr>
        <w:tc>
          <w:tcPr>
            <w:tcW w:type="dxa" w:w="3120"/>
            <w:vAlign w:val="center"/>
            <w:shd w:fill="DDE6EF"/>
            <w:tcMar>
              <w:top w:w="90" w:type="dxa"/>
              <w:left w:w="90" w:type="dxa"/>
              <w:bottom w:w="90" w:type="dxa"/>
              <w:right w:w="90" w:type="dxa"/>
            </w:tcMar>
          </w:tcPr>
          <w:p>
            <w:pPr>
              <w:spacing w:after="0"/>
            </w:pPr>
            <w:r>
              <w:rPr>
                <w:b/>
                <w:sz w:val="16"/>
              </w:rPr>
              <w:t>Partner</w:t>
            </w:r>
          </w:p>
        </w:tc>
        <w:tc>
          <w:tcPr>
            <w:tcW w:type="dxa" w:w="3120"/>
            <w:vAlign w:val="center"/>
            <w:shd w:fill="DDE6EF"/>
            <w:tcMar>
              <w:top w:w="90" w:type="dxa"/>
              <w:left w:w="90" w:type="dxa"/>
              <w:bottom w:w="90" w:type="dxa"/>
              <w:right w:w="90" w:type="dxa"/>
            </w:tcMar>
          </w:tcPr>
          <w:p>
            <w:pPr>
              <w:spacing w:after="0"/>
            </w:pPr>
            <w:r>
              <w:rPr>
                <w:b/>
                <w:sz w:val="16"/>
              </w:rPr>
              <w:t>Jurisdiction</w:t>
            </w:r>
          </w:p>
        </w:tc>
        <w:tc>
          <w:tcPr>
            <w:tcW w:type="dxa" w:w="3120"/>
            <w:vAlign w:val="center"/>
            <w:shd w:fill="DDE6EF"/>
            <w:tcMar>
              <w:top w:w="90" w:type="dxa"/>
              <w:left w:w="90" w:type="dxa"/>
              <w:bottom w:w="90" w:type="dxa"/>
              <w:right w:w="90" w:type="dxa"/>
            </w:tcMar>
          </w:tcPr>
          <w:p>
            <w:pPr>
              <w:spacing w:after="0"/>
            </w:pPr>
            <w:r>
              <w:rPr>
                <w:b/>
                <w:sz w:val="16"/>
              </w:rPr>
              <w:t>Proposed role</w:t>
            </w:r>
          </w:p>
        </w:tc>
      </w:tr>
      <w:tr>
        <w:tc>
          <w:tcPr>
            <w:tcW w:type="dxa" w:w="3120"/>
            <w:vAlign w:val="center"/>
            <w:tcMar>
              <w:top w:w="90" w:type="dxa"/>
              <w:left w:w="90" w:type="dxa"/>
              <w:bottom w:w="90" w:type="dxa"/>
              <w:right w:w="90" w:type="dxa"/>
            </w:tcMar>
          </w:tcPr>
          <w:p>
            <w:pPr>
              <w:spacing w:after="0"/>
            </w:pPr>
            <w:r>
              <w:rPr>
                <w:sz w:val="16"/>
              </w:rPr>
              <w:t>Avranel Space Communications Directorate</w:t>
            </w:r>
          </w:p>
        </w:tc>
        <w:tc>
          <w:tcPr>
            <w:tcW w:type="dxa" w:w="3120"/>
            <w:vAlign w:val="center"/>
            <w:tcMar>
              <w:top w:w="90" w:type="dxa"/>
              <w:left w:w="90" w:type="dxa"/>
              <w:bottom w:w="90" w:type="dxa"/>
              <w:right w:w="90" w:type="dxa"/>
            </w:tcMar>
          </w:tcPr>
          <w:p>
            <w:pPr>
              <w:spacing w:after="0"/>
            </w:pPr>
            <w:r>
              <w:rPr>
                <w:sz w:val="16"/>
              </w:rPr>
              <w:t>Mission jurisdiction</w:t>
            </w:r>
          </w:p>
        </w:tc>
        <w:tc>
          <w:tcPr>
            <w:tcW w:type="dxa" w:w="3120"/>
            <w:vAlign w:val="center"/>
            <w:tcMar>
              <w:top w:w="90" w:type="dxa"/>
              <w:left w:w="90" w:type="dxa"/>
              <w:bottom w:w="90" w:type="dxa"/>
              <w:right w:w="90" w:type="dxa"/>
            </w:tcMar>
          </w:tcPr>
          <w:p>
            <w:pPr>
              <w:spacing w:after="0"/>
            </w:pPr>
            <w:r>
              <w:rPr>
                <w:sz w:val="16"/>
              </w:rPr>
              <w:t>mission authority, procurement, project assurance and acceptance.</w:t>
            </w:r>
          </w:p>
        </w:tc>
      </w:tr>
    </w:tbl>
    <w:p>
      <w:pPr>
        <w:pStyle w:val="Heading3"/>
      </w:pPr>
      <w:r>
        <w:t>Industrial Partners</w:t>
      </w:r>
    </w:p>
    <w:p>
      <w:pPr>
        <w:pStyle w:val="Caption"/>
      </w:pPr>
      <w:r>
        <w:t>Table 7 – Industrial Partners</w:t>
      </w:r>
    </w:p>
    <w:tbl>
      <w:tblPr>
        <w:tblStyle w:val="TableGrid"/>
        <w:tblW w:type="auto" w:w="0"/>
        <w:jc w:val="center"/>
        <w:tblLayout w:type="fixed"/>
        <w:tblLook w:firstColumn="1" w:firstRow="1" w:lastColumn="0" w:lastRow="0" w:noHBand="0" w:noVBand="1" w:val="04A0"/>
      </w:tblPr>
      <w:tblGrid>
        <w:gridCol w:w="2880"/>
        <w:gridCol w:w="1728"/>
        <w:gridCol w:w="4608"/>
      </w:tblGrid>
      <w:tr>
        <w:trPr>
          <w:tblHeader w:val="true"/>
        </w:trPr>
        <w:tc>
          <w:tcPr>
            <w:tcW w:type="dxa" w:w="3120"/>
            <w:vAlign w:val="center"/>
            <w:shd w:fill="DDE6EF"/>
            <w:tcMar>
              <w:top w:w="90" w:type="dxa"/>
              <w:left w:w="90" w:type="dxa"/>
              <w:bottom w:w="90" w:type="dxa"/>
              <w:right w:w="90" w:type="dxa"/>
            </w:tcMar>
          </w:tcPr>
          <w:p>
            <w:pPr>
              <w:spacing w:after="0"/>
            </w:pPr>
            <w:r>
              <w:rPr>
                <w:b/>
                <w:sz w:val="16"/>
              </w:rPr>
              <w:t>Partner</w:t>
            </w:r>
          </w:p>
        </w:tc>
        <w:tc>
          <w:tcPr>
            <w:tcW w:type="dxa" w:w="3120"/>
            <w:vAlign w:val="center"/>
            <w:shd w:fill="DDE6EF"/>
            <w:tcMar>
              <w:top w:w="90" w:type="dxa"/>
              <w:left w:w="90" w:type="dxa"/>
              <w:bottom w:w="90" w:type="dxa"/>
              <w:right w:w="90" w:type="dxa"/>
            </w:tcMar>
          </w:tcPr>
          <w:p>
            <w:pPr>
              <w:spacing w:after="0"/>
            </w:pPr>
            <w:r>
              <w:rPr>
                <w:b/>
                <w:sz w:val="16"/>
              </w:rPr>
              <w:t>Domain</w:t>
            </w:r>
          </w:p>
        </w:tc>
        <w:tc>
          <w:tcPr>
            <w:tcW w:type="dxa" w:w="3120"/>
            <w:vAlign w:val="center"/>
            <w:shd w:fill="DDE6EF"/>
            <w:tcMar>
              <w:top w:w="90" w:type="dxa"/>
              <w:left w:w="90" w:type="dxa"/>
              <w:bottom w:w="90" w:type="dxa"/>
              <w:right w:w="90" w:type="dxa"/>
            </w:tcMar>
          </w:tcPr>
          <w:p>
            <w:pPr>
              <w:spacing w:after="0"/>
            </w:pPr>
            <w:r>
              <w:rPr>
                <w:b/>
                <w:sz w:val="16"/>
              </w:rPr>
              <w:t>Proposed role</w:t>
            </w:r>
          </w:p>
        </w:tc>
      </w:tr>
      <w:tr>
        <w:tc>
          <w:tcPr>
            <w:tcW w:type="dxa" w:w="3120"/>
            <w:vAlign w:val="center"/>
            <w:tcMar>
              <w:top w:w="90" w:type="dxa"/>
              <w:left w:w="90" w:type="dxa"/>
              <w:bottom w:w="90" w:type="dxa"/>
              <w:right w:w="90" w:type="dxa"/>
            </w:tcMar>
          </w:tcPr>
          <w:p>
            <w:pPr>
              <w:spacing w:after="0"/>
            </w:pPr>
            <w:r>
              <w:rPr>
                <w:sz w:val="16"/>
              </w:rPr>
              <w:t>Qelvoria Orbital Systems</w:t>
            </w:r>
          </w:p>
        </w:tc>
        <w:tc>
          <w:tcPr>
            <w:tcW w:type="dxa" w:w="3120"/>
            <w:vAlign w:val="center"/>
            <w:tcMar>
              <w:top w:w="90" w:type="dxa"/>
              <w:left w:w="90" w:type="dxa"/>
              <w:bottom w:w="90" w:type="dxa"/>
              <w:right w:w="90" w:type="dxa"/>
            </w:tcMar>
          </w:tcPr>
          <w:p>
            <w:pPr>
              <w:spacing w:after="0"/>
            </w:pPr>
            <w:r>
              <w:rPr>
                <w:sz w:val="16"/>
              </w:rPr>
              <w:t>Mission supply chain</w:t>
            </w:r>
          </w:p>
        </w:tc>
        <w:tc>
          <w:tcPr>
            <w:tcW w:type="dxa" w:w="3120"/>
            <w:vAlign w:val="center"/>
            <w:tcMar>
              <w:top w:w="90" w:type="dxa"/>
              <w:left w:w="90" w:type="dxa"/>
              <w:bottom w:w="90" w:type="dxa"/>
              <w:right w:w="90" w:type="dxa"/>
            </w:tcMar>
          </w:tcPr>
          <w:p>
            <w:pPr>
              <w:spacing w:after="0"/>
            </w:pPr>
            <w:r>
              <w:rPr>
                <w:sz w:val="16"/>
              </w:rPr>
              <w:t>integrated unit design, manufacture and system verification.</w:t>
            </w:r>
          </w:p>
        </w:tc>
      </w:tr>
      <w:tr>
        <w:tc>
          <w:tcPr>
            <w:tcW w:type="dxa" w:w="3120"/>
            <w:vAlign w:val="center"/>
            <w:shd w:fill="F6F8FA"/>
            <w:tcMar>
              <w:top w:w="90" w:type="dxa"/>
              <w:left w:w="90" w:type="dxa"/>
              <w:bottom w:w="90" w:type="dxa"/>
              <w:right w:w="90" w:type="dxa"/>
            </w:tcMar>
          </w:tcPr>
          <w:p>
            <w:pPr>
              <w:spacing w:after="0"/>
            </w:pPr>
            <w:r>
              <w:rPr>
                <w:sz w:val="16"/>
              </w:rPr>
              <w:t>Sorevex Signal Engineering</w:t>
            </w:r>
          </w:p>
        </w:tc>
        <w:tc>
          <w:tcPr>
            <w:tcW w:type="dxa" w:w="3120"/>
            <w:vAlign w:val="center"/>
            <w:shd w:fill="F6F8FA"/>
            <w:tcMar>
              <w:top w:w="90" w:type="dxa"/>
              <w:left w:w="90" w:type="dxa"/>
              <w:bottom w:w="90" w:type="dxa"/>
              <w:right w:w="90" w:type="dxa"/>
            </w:tcMar>
          </w:tcPr>
          <w:p>
            <w:pPr>
              <w:spacing w:after="0"/>
            </w:pPr>
            <w:r>
              <w:rPr>
                <w:sz w:val="16"/>
              </w:rPr>
              <w:t>Mission supply chain</w:t>
            </w:r>
          </w:p>
        </w:tc>
        <w:tc>
          <w:tcPr>
            <w:tcW w:type="dxa" w:w="3120"/>
            <w:vAlign w:val="center"/>
            <w:shd w:fill="F6F8FA"/>
            <w:tcMar>
              <w:top w:w="90" w:type="dxa"/>
              <w:left w:w="90" w:type="dxa"/>
              <w:bottom w:w="90" w:type="dxa"/>
              <w:right w:w="90" w:type="dxa"/>
            </w:tcMar>
          </w:tcPr>
          <w:p>
            <w:pPr>
              <w:spacing w:after="0"/>
            </w:pPr>
            <w:r>
              <w:rPr>
                <w:sz w:val="16"/>
              </w:rPr>
              <w:t>payload/process equipment and acceptance calibration.</w:t>
            </w:r>
          </w:p>
        </w:tc>
      </w:tr>
      <w:tr>
        <w:tc>
          <w:tcPr>
            <w:tcW w:type="dxa" w:w="3120"/>
            <w:vAlign w:val="center"/>
            <w:tcMar>
              <w:top w:w="90" w:type="dxa"/>
              <w:left w:w="90" w:type="dxa"/>
              <w:bottom w:w="90" w:type="dxa"/>
              <w:right w:w="90" w:type="dxa"/>
            </w:tcMar>
          </w:tcPr>
          <w:p>
            <w:pPr>
              <w:spacing w:after="0"/>
            </w:pPr>
            <w:r>
              <w:rPr>
                <w:sz w:val="16"/>
              </w:rPr>
              <w:t>Lundrith Launch Consortium</w:t>
            </w:r>
          </w:p>
        </w:tc>
        <w:tc>
          <w:tcPr>
            <w:tcW w:type="dxa" w:w="3120"/>
            <w:vAlign w:val="center"/>
            <w:tcMar>
              <w:top w:w="90" w:type="dxa"/>
              <w:left w:w="90" w:type="dxa"/>
              <w:bottom w:w="90" w:type="dxa"/>
              <w:right w:w="90" w:type="dxa"/>
            </w:tcMar>
          </w:tcPr>
          <w:p>
            <w:pPr>
              <w:spacing w:after="0"/>
            </w:pPr>
            <w:r>
              <w:rPr>
                <w:sz w:val="16"/>
              </w:rPr>
              <w:t>Mission supply chain</w:t>
            </w:r>
          </w:p>
        </w:tc>
        <w:tc>
          <w:tcPr>
            <w:tcW w:type="dxa" w:w="3120"/>
            <w:vAlign w:val="center"/>
            <w:tcMar>
              <w:top w:w="90" w:type="dxa"/>
              <w:left w:w="90" w:type="dxa"/>
              <w:bottom w:w="90" w:type="dxa"/>
              <w:right w:w="90" w:type="dxa"/>
            </w:tcMar>
          </w:tcPr>
          <w:p>
            <w:pPr>
              <w:spacing w:after="0"/>
            </w:pPr>
            <w:r>
              <w:rPr>
                <w:sz w:val="16"/>
              </w:rPr>
              <w:t>delivery, campaign operations and associated interfaces.</w:t>
            </w:r>
          </w:p>
        </w:tc>
      </w:tr>
      <w:tr>
        <w:tc>
          <w:tcPr>
            <w:tcW w:type="dxa" w:w="3120"/>
            <w:vAlign w:val="center"/>
            <w:shd w:fill="F6F8FA"/>
            <w:tcMar>
              <w:top w:w="90" w:type="dxa"/>
              <w:left w:w="90" w:type="dxa"/>
              <w:bottom w:w="90" w:type="dxa"/>
              <w:right w:w="90" w:type="dxa"/>
            </w:tcMar>
          </w:tcPr>
          <w:p>
            <w:pPr>
              <w:spacing w:after="0"/>
            </w:pPr>
            <w:r>
              <w:rPr>
                <w:sz w:val="16"/>
              </w:rPr>
              <w:t>Pervalin Gateway Services</w:t>
            </w:r>
          </w:p>
        </w:tc>
        <w:tc>
          <w:tcPr>
            <w:tcW w:type="dxa" w:w="3120"/>
            <w:vAlign w:val="center"/>
            <w:shd w:fill="F6F8FA"/>
            <w:tcMar>
              <w:top w:w="90" w:type="dxa"/>
              <w:left w:w="90" w:type="dxa"/>
              <w:bottom w:w="90" w:type="dxa"/>
              <w:right w:w="90" w:type="dxa"/>
            </w:tcMar>
          </w:tcPr>
          <w:p>
            <w:pPr>
              <w:spacing w:after="0"/>
            </w:pPr>
            <w:r>
              <w:rPr>
                <w:sz w:val="16"/>
              </w:rPr>
              <w:t>Mission supply chain</w:t>
            </w:r>
          </w:p>
        </w:tc>
        <w:tc>
          <w:tcPr>
            <w:tcW w:type="dxa" w:w="3120"/>
            <w:vAlign w:val="center"/>
            <w:shd w:fill="F6F8FA"/>
            <w:tcMar>
              <w:top w:w="90" w:type="dxa"/>
              <w:left w:w="90" w:type="dxa"/>
              <w:bottom w:w="90" w:type="dxa"/>
              <w:right w:w="90" w:type="dxa"/>
            </w:tcMar>
          </w:tcPr>
          <w:p>
            <w:pPr>
              <w:spacing w:after="0"/>
            </w:pPr>
            <w:r>
              <w:rPr>
                <w:sz w:val="16"/>
              </w:rPr>
              <w:t>ground network, receiving interfaces and operations support.</w:t>
            </w:r>
          </w:p>
        </w:tc>
      </w:tr>
    </w:tbl>
    <w:p>
      <w:pPr>
        <w:pStyle w:val="Heading3"/>
      </w:pPr>
      <w:r>
        <w:t>Participating Academic Institutions</w:t>
      </w:r>
    </w:p>
    <w:p>
      <w:pPr>
        <w:pStyle w:val="Caption"/>
      </w:pPr>
      <w:r>
        <w:t>Table 8 – Research Institutions</w:t>
      </w:r>
    </w:p>
    <w:tbl>
      <w:tblPr>
        <w:tblStyle w:val="TableGrid"/>
        <w:tblW w:type="auto" w:w="0"/>
        <w:jc w:val="center"/>
        <w:tblLayout w:type="fixed"/>
        <w:tblLook w:firstColumn="1" w:firstRow="1" w:lastColumn="0" w:lastRow="0" w:noHBand="0" w:noVBand="1" w:val="04A0"/>
      </w:tblPr>
      <w:tblGrid>
        <w:gridCol w:w="2880"/>
        <w:gridCol w:w="1728"/>
        <w:gridCol w:w="4608"/>
      </w:tblGrid>
      <w:tr>
        <w:trPr>
          <w:tblHeader w:val="true"/>
        </w:trPr>
        <w:tc>
          <w:tcPr>
            <w:tcW w:type="dxa" w:w="3120"/>
            <w:vAlign w:val="center"/>
            <w:shd w:fill="DDE6EF"/>
            <w:tcMar>
              <w:top w:w="90" w:type="dxa"/>
              <w:left w:w="90" w:type="dxa"/>
              <w:bottom w:w="90" w:type="dxa"/>
              <w:right w:w="90" w:type="dxa"/>
            </w:tcMar>
          </w:tcPr>
          <w:p>
            <w:pPr>
              <w:spacing w:after="0"/>
            </w:pPr>
            <w:r>
              <w:rPr>
                <w:b/>
                <w:sz w:val="16"/>
              </w:rPr>
              <w:t>Institution</w:t>
            </w:r>
          </w:p>
        </w:tc>
        <w:tc>
          <w:tcPr>
            <w:tcW w:type="dxa" w:w="3120"/>
            <w:vAlign w:val="center"/>
            <w:shd w:fill="DDE6EF"/>
            <w:tcMar>
              <w:top w:w="90" w:type="dxa"/>
              <w:left w:w="90" w:type="dxa"/>
              <w:bottom w:w="90" w:type="dxa"/>
              <w:right w:w="90" w:type="dxa"/>
            </w:tcMar>
          </w:tcPr>
          <w:p>
            <w:pPr>
              <w:spacing w:after="0"/>
            </w:pPr>
            <w:r>
              <w:rPr>
                <w:b/>
                <w:sz w:val="16"/>
              </w:rPr>
              <w:t>Domain</w:t>
            </w:r>
          </w:p>
        </w:tc>
        <w:tc>
          <w:tcPr>
            <w:tcW w:type="dxa" w:w="3120"/>
            <w:vAlign w:val="center"/>
            <w:shd w:fill="DDE6EF"/>
            <w:tcMar>
              <w:top w:w="90" w:type="dxa"/>
              <w:left w:w="90" w:type="dxa"/>
              <w:bottom w:w="90" w:type="dxa"/>
              <w:right w:w="90" w:type="dxa"/>
            </w:tcMar>
          </w:tcPr>
          <w:p>
            <w:pPr>
              <w:spacing w:after="0"/>
            </w:pPr>
            <w:r>
              <w:rPr>
                <w:b/>
                <w:sz w:val="16"/>
              </w:rPr>
              <w:t>Proposed contribution</w:t>
            </w:r>
          </w:p>
        </w:tc>
      </w:tr>
      <w:tr>
        <w:tc>
          <w:tcPr>
            <w:tcW w:type="dxa" w:w="3120"/>
            <w:vAlign w:val="center"/>
            <w:tcMar>
              <w:top w:w="90" w:type="dxa"/>
              <w:left w:w="90" w:type="dxa"/>
              <w:bottom w:w="90" w:type="dxa"/>
              <w:right w:w="90" w:type="dxa"/>
            </w:tcMar>
          </w:tcPr>
          <w:p>
            <w:pPr>
              <w:spacing w:after="0"/>
            </w:pPr>
            <w:r>
              <w:rPr>
                <w:sz w:val="16"/>
              </w:rPr>
              <w:t>Tervalis Network Operations Institute</w:t>
            </w:r>
          </w:p>
        </w:tc>
        <w:tc>
          <w:tcPr>
            <w:tcW w:type="dxa" w:w="3120"/>
            <w:vAlign w:val="center"/>
            <w:tcMar>
              <w:top w:w="90" w:type="dxa"/>
              <w:left w:w="90" w:type="dxa"/>
              <w:bottom w:w="90" w:type="dxa"/>
              <w:right w:w="90" w:type="dxa"/>
            </w:tcMar>
          </w:tcPr>
          <w:p>
            <w:pPr>
              <w:spacing w:after="0"/>
            </w:pPr>
            <w:r>
              <w:rPr>
                <w:sz w:val="16"/>
              </w:rPr>
              <w:t>Science consortium</w:t>
            </w:r>
          </w:p>
        </w:tc>
        <w:tc>
          <w:tcPr>
            <w:tcW w:type="dxa" w:w="3120"/>
            <w:vAlign w:val="center"/>
            <w:tcMar>
              <w:top w:w="90" w:type="dxa"/>
              <w:left w:w="90" w:type="dxa"/>
              <w:bottom w:w="90" w:type="dxa"/>
              <w:right w:w="90" w:type="dxa"/>
            </w:tcMar>
          </w:tcPr>
          <w:p>
            <w:pPr>
              <w:spacing w:after="0"/>
            </w:pPr>
            <w:r>
              <w:rPr>
                <w:sz w:val="16"/>
              </w:rPr>
              <w:t>science or user requirements, calibration, data validation and exploitation.</w:t>
            </w:r>
          </w:p>
        </w:tc>
      </w:tr>
    </w:tbl>
    <w:p>
      <w:pPr>
        <w:pStyle w:val="Heading3"/>
      </w:pPr>
      <w:r>
        <w:t>Scientific Leadership (Principal Investigator)</w:t>
      </w:r>
    </w:p>
    <w:p>
      <w:pPr>
        <w:pStyle w:val="Caption"/>
      </w:pPr>
      <w:r>
        <w:t>Table 9 – Scientific Leadership</w:t>
      </w:r>
    </w:p>
    <w:tbl>
      <w:tblPr>
        <w:tblStyle w:val="TableGrid"/>
        <w:tblW w:type="auto" w:w="0"/>
        <w:jc w:val="center"/>
        <w:tblLayout w:type="fixed"/>
        <w:tblLook w:firstColumn="1" w:firstRow="1" w:lastColumn="0" w:lastRow="0" w:noHBand="0" w:noVBand="1" w:val="04A0"/>
      </w:tblPr>
      <w:tblGrid>
        <w:gridCol w:w="2880"/>
        <w:gridCol w:w="2016"/>
        <w:gridCol w:w="4320"/>
      </w:tblGrid>
      <w:tr>
        <w:trPr>
          <w:tblHeader w:val="true"/>
        </w:trPr>
        <w:tc>
          <w:tcPr>
            <w:tcW w:type="dxa" w:w="3120"/>
            <w:vAlign w:val="center"/>
            <w:shd w:fill="DDE6EF"/>
            <w:tcMar>
              <w:top w:w="90" w:type="dxa"/>
              <w:left w:w="90" w:type="dxa"/>
              <w:bottom w:w="90" w:type="dxa"/>
              <w:right w:w="90" w:type="dxa"/>
            </w:tcMar>
          </w:tcPr>
          <w:p>
            <w:pPr>
              <w:spacing w:after="0"/>
            </w:pPr>
            <w:r>
              <w:rPr>
                <w:b/>
                <w:sz w:val="16"/>
              </w:rPr>
              <w:t>Position</w:t>
            </w:r>
          </w:p>
        </w:tc>
        <w:tc>
          <w:tcPr>
            <w:tcW w:type="dxa" w:w="3120"/>
            <w:vAlign w:val="center"/>
            <w:shd w:fill="DDE6EF"/>
            <w:tcMar>
              <w:top w:w="90" w:type="dxa"/>
              <w:left w:w="90" w:type="dxa"/>
              <w:bottom w:w="90" w:type="dxa"/>
              <w:right w:w="90" w:type="dxa"/>
            </w:tcMar>
          </w:tcPr>
          <w:p>
            <w:pPr>
              <w:spacing w:after="0"/>
            </w:pPr>
            <w:r>
              <w:rPr>
                <w:b/>
                <w:sz w:val="16"/>
              </w:rPr>
              <w:t>Assigned individual</w:t>
            </w:r>
          </w:p>
        </w:tc>
        <w:tc>
          <w:tcPr>
            <w:tcW w:type="dxa" w:w="3120"/>
            <w:vAlign w:val="center"/>
            <w:shd w:fill="DDE6EF"/>
            <w:tcMar>
              <w:top w:w="90" w:type="dxa"/>
              <w:left w:w="90" w:type="dxa"/>
              <w:bottom w:w="90" w:type="dxa"/>
              <w:right w:w="90" w:type="dxa"/>
            </w:tcMar>
          </w:tcPr>
          <w:p>
            <w:pPr>
              <w:spacing w:after="0"/>
            </w:pPr>
            <w:r>
              <w:rPr>
                <w:b/>
                <w:sz w:val="16"/>
              </w:rPr>
              <w:t>Affiliation</w:t>
            </w:r>
          </w:p>
        </w:tc>
      </w:tr>
      <w:tr>
        <w:tc>
          <w:tcPr>
            <w:tcW w:type="dxa" w:w="3120"/>
            <w:vAlign w:val="center"/>
            <w:tcMar>
              <w:top w:w="90" w:type="dxa"/>
              <w:left w:w="90" w:type="dxa"/>
              <w:bottom w:w="90" w:type="dxa"/>
              <w:right w:w="90" w:type="dxa"/>
            </w:tcMar>
          </w:tcPr>
          <w:p>
            <w:pPr>
              <w:spacing w:after="0"/>
            </w:pPr>
            <w:r>
              <w:rPr>
                <w:sz w:val="16"/>
              </w:rPr>
              <w:t>Principal investigator</w:t>
            </w:r>
          </w:p>
        </w:tc>
        <w:tc>
          <w:tcPr>
            <w:tcW w:type="dxa" w:w="3120"/>
            <w:vAlign w:val="center"/>
            <w:tcMar>
              <w:top w:w="90" w:type="dxa"/>
              <w:left w:w="90" w:type="dxa"/>
              <w:bottom w:w="90" w:type="dxa"/>
              <w:right w:w="90" w:type="dxa"/>
            </w:tcMar>
          </w:tcPr>
          <w:p>
            <w:pPr>
              <w:spacing w:after="0"/>
            </w:pPr>
            <w:r>
              <w:rPr>
                <w:sz w:val="16"/>
              </w:rPr>
              <w:t>Tavren Elovar</w:t>
            </w:r>
          </w:p>
        </w:tc>
        <w:tc>
          <w:tcPr>
            <w:tcW w:type="dxa" w:w="3120"/>
            <w:vAlign w:val="center"/>
            <w:tcMar>
              <w:top w:w="90" w:type="dxa"/>
              <w:left w:w="90" w:type="dxa"/>
              <w:bottom w:w="90" w:type="dxa"/>
              <w:right w:w="90" w:type="dxa"/>
            </w:tcMar>
          </w:tcPr>
          <w:p>
            <w:pPr>
              <w:spacing w:after="0"/>
            </w:pPr>
            <w:r>
              <w:rPr>
                <w:sz w:val="16"/>
              </w:rPr>
              <w:t>Tervalis Network Operations Institute</w:t>
            </w:r>
          </w:p>
        </w:tc>
      </w:tr>
      <w:tr>
        <w:tc>
          <w:tcPr>
            <w:tcW w:type="dxa" w:w="3120"/>
            <w:vAlign w:val="center"/>
            <w:shd w:fill="F6F8FA"/>
            <w:tcMar>
              <w:top w:w="90" w:type="dxa"/>
              <w:left w:w="90" w:type="dxa"/>
              <w:bottom w:w="90" w:type="dxa"/>
              <w:right w:w="90" w:type="dxa"/>
            </w:tcMar>
          </w:tcPr>
          <w:p>
            <w:pPr>
              <w:spacing w:after="0"/>
            </w:pPr>
            <w:r>
              <w:rPr>
                <w:sz w:val="16"/>
              </w:rPr>
              <w:t>Instrument scientist</w:t>
            </w:r>
          </w:p>
        </w:tc>
        <w:tc>
          <w:tcPr>
            <w:tcW w:type="dxa" w:w="3120"/>
            <w:vAlign w:val="center"/>
            <w:shd w:fill="F6F8FA"/>
            <w:tcMar>
              <w:top w:w="90" w:type="dxa"/>
              <w:left w:w="90" w:type="dxa"/>
              <w:bottom w:w="90" w:type="dxa"/>
              <w:right w:w="90" w:type="dxa"/>
            </w:tcMar>
          </w:tcPr>
          <w:p>
            <w:pPr>
              <w:spacing w:after="0"/>
            </w:pPr>
            <w:r>
              <w:rPr>
                <w:sz w:val="16"/>
              </w:rPr>
              <w:t>Mirev Solanar</w:t>
            </w:r>
          </w:p>
        </w:tc>
        <w:tc>
          <w:tcPr>
            <w:tcW w:type="dxa" w:w="3120"/>
            <w:vAlign w:val="center"/>
            <w:shd w:fill="F6F8FA"/>
            <w:tcMar>
              <w:top w:w="90" w:type="dxa"/>
              <w:left w:w="90" w:type="dxa"/>
              <w:bottom w:w="90" w:type="dxa"/>
              <w:right w:w="90" w:type="dxa"/>
            </w:tcMar>
          </w:tcPr>
          <w:p>
            <w:pPr>
              <w:spacing w:after="0"/>
            </w:pPr>
            <w:r>
              <w:rPr>
                <w:sz w:val="16"/>
              </w:rPr>
              <w:t>Sorevex Signal Engineering</w:t>
            </w:r>
          </w:p>
        </w:tc>
      </w:tr>
    </w:tbl>
    <w:sectPr w:rsidR="007E7DA8" w:rsidRPr="00D26B54" w:rsidSect="00E81DCD">
      <w:footerReference w:type="default" r:id="rId16"/>
      <w:headerReference w:type="default" r:id="rId19"/>
      <w:footnotePr>
        <w:numRestart w:val="eachPage"/>
      </w:footnotePr>
      <w:pgSz w:w="12240" w:h="15840" w:code="1"/>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83DAF" w14:textId="77777777" w:rsidR="00AD7A76" w:rsidRDefault="00AD7A76">
      <w:r>
        <w:separator/>
      </w:r>
    </w:p>
  </w:endnote>
  <w:endnote w:type="continuationSeparator" w:id="0">
    <w:p w14:paraId="58087F25" w14:textId="77777777" w:rsidR="00AD7A76" w:rsidRDefault="00AD7A76">
      <w:r>
        <w:continuationSeparator/>
      </w:r>
    </w:p>
  </w:endnote>
  <w:endnote w:type="continuationNotice" w:id="1">
    <w:p w14:paraId="51F0BB4B" w14:textId="77777777" w:rsidR="00AD7A76" w:rsidRDefault="00AD7A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4FD09" w14:textId="1B2F9087" w:rsidR="008F5539" w:rsidRDefault="008F553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56D6A">
      <w:rPr>
        <w:rStyle w:val="PageNumber"/>
        <w:noProof/>
      </w:rPr>
      <w:t>i</w:t>
    </w:r>
    <w:r>
      <w:rPr>
        <w:rStyle w:val="PageNumber"/>
      </w:rPr>
      <w:fldChar w:fldCharType="end"/>
    </w:r>
  </w:p>
  <w:p w14:paraId="3B3C0974" w14:textId="77777777" w:rsidR="008F5539" w:rsidRDefault="008F553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E4C14" w14:textId="36C34B1D" w:rsidR="008F5539" w:rsidRDefault="000D1E1E">
    <w:pPr>
      <w:pStyle w:val="Footer"/>
      <w:ind w:right="360"/>
    </w:pPr>
    <w:r>
      <w:rPr>
        <w:noProof/>
        <w:sz w:val="20"/>
        <w:lang w:val="en-CA" w:eastAsia="en-CA"/>
      </w:rPr>
      <mc:AlternateContent>
        <mc:Choice Requires="wps">
          <w:drawing>
            <wp:anchor distT="0" distB="0" distL="114300" distR="114300" simplePos="0" relativeHeight="251658240" behindDoc="0" locked="0" layoutInCell="1" allowOverlap="1" wp14:anchorId="75570BF8" wp14:editId="378FEF8A">
              <wp:simplePos x="0" y="0"/>
              <wp:positionH relativeFrom="margin">
                <wp:posOffset>15903</wp:posOffset>
              </wp:positionH>
              <wp:positionV relativeFrom="paragraph">
                <wp:posOffset>-1784405</wp:posOffset>
              </wp:positionV>
              <wp:extent cx="5915771" cy="1562210"/>
              <wp:effectExtent l="0" t="0" r="889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771" cy="1562210"/>
                      </a:xfrm>
                      <a:prstGeom prst="rect">
                        <a:avLst/>
                      </a:prstGeom>
                      <a:solidFill>
                        <a:srgbClr val="FFFFFF"/>
                      </a:solidFill>
                      <a:ln>
                        <a:noFill/>
                      </a:ln>
                      <a:extLst>
                        <a:ext uri="{91240B29-F687-4F45-9708-019B960494DF}">
                          <a14:hiddenLine xmlns:a14="http://schemas.microsoft.com/office/drawing/2010/main" w="9525">
                            <a:solidFill>
                              <a:srgbClr val="FF0000"/>
                            </a:solidFill>
                            <a:miter lim="800000"/>
                            <a:headEnd/>
                            <a:tailEnd/>
                          </a14:hiddenLine>
                        </a:ext>
                      </a:extLst>
                    </wps:spPr>
                    <wps:txbx>
                      <w:txbxContent>
                        <w:p w14:paraId="69D30343" w14:textId="39EC4694" w:rsidR="008F5539"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r>
                            <w:rPr>
                              <w:rFonts w:ascii="Arial" w:hAnsi="Arial" w:cs="Arial"/>
                              <w:b/>
                              <w:color w:val="FF0000"/>
                              <w:sz w:val="16"/>
                            </w:rPr>
                            <w:t>ATTENTION</w:t>
                          </w:r>
                        </w:p>
                        <w:p w14:paraId="385C6F50" w14:textId="77777777" w:rsidR="000D1E1E"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p>
                        <w:p w14:paraId="4B56D981"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All individuals handling this information are required to protect it from unauthorized disclosure.</w:t>
                          </w:r>
                        </w:p>
                        <w:p w14:paraId="672EF7CA"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Handling, storage, reproduction and disposition of the attached document(s) must be in accordance with applicable agency policy from Protected B documents.</w:t>
                          </w:r>
                        </w:p>
                        <w:p w14:paraId="7CFA9196" w14:textId="5CAB8DB6"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Access and dissemination of Protect B information shall be allowed as necessary and permissible to any individua(s), organizations(s), or grouping(s) of users, provided such access of dissemination is consistent with or in furtherance of Lawful Govt purpose and in a manner consistent with applicable law, regulation and Government-wide policies.</w:t>
                          </w:r>
                        </w:p>
                        <w:p w14:paraId="626144DF" w14:textId="7B6DD1EC" w:rsidR="00E733B2" w:rsidRDefault="008F5539" w:rsidP="000D1E1E">
                          <w:pPr>
                            <w:spacing w:before="120"/>
                            <w:jc w:val="center"/>
                          </w:pPr>
                          <w:r>
                            <w:rPr>
                              <w:rFonts w:ascii="Arial" w:hAnsi="Arial" w:cs="Arial"/>
                              <w:sz w:val="20"/>
                            </w:rPr>
                            <w:t>© H</w:t>
                          </w:r>
                          <w:r w:rsidR="00956D6A">
                            <w:rPr>
                              <w:rFonts w:ascii="Arial" w:hAnsi="Arial" w:cs="Arial"/>
                              <w:sz w:val="20"/>
                            </w:rPr>
                            <w:t>IS</w:t>
                          </w:r>
                          <w:r>
                            <w:rPr>
                              <w:rFonts w:ascii="Arial" w:hAnsi="Arial" w:cs="Arial"/>
                              <w:sz w:val="20"/>
                            </w:rPr>
                            <w:t xml:space="preserve"> MAJESTY THE </w:t>
                          </w:r>
                          <w:r w:rsidR="00956D6A">
                            <w:rPr>
                              <w:rFonts w:ascii="Arial" w:hAnsi="Arial" w:cs="Arial"/>
                              <w:sz w:val="20"/>
                            </w:rPr>
                            <w:t xml:space="preserve">KING </w:t>
                          </w:r>
                          <w:r>
                            <w:rPr>
                              <w:rFonts w:ascii="Arial" w:hAnsi="Arial" w:cs="Arial"/>
                              <w:sz w:val="20"/>
                            </w:rPr>
                            <w:t xml:space="preserve">IN RIGHT OF </w:t>
                          </w:r>
                          <w:smartTag w:uri="urn:schemas-microsoft-com:office:smarttags" w:element="country-region">
                            <w:smartTag w:uri="urn:schemas-microsoft-com:office:smarttags" w:element="place">
                              <w:r>
                                <w:rPr>
                                  <w:rFonts w:ascii="Arial" w:hAnsi="Arial" w:cs="Arial"/>
                                  <w:sz w:val="20"/>
                                </w:rPr>
                                <w:t>CANADA</w:t>
                              </w:r>
                            </w:smartTag>
                          </w:smartTag>
                          <w:r>
                            <w:rPr>
                              <w:rFonts w:ascii="Arial" w:hAnsi="Arial" w:cs="Arial"/>
                              <w:sz w:val="20"/>
                            </w:rPr>
                            <w:t xml:space="preserve"> 20</w:t>
                          </w:r>
                          <w:r w:rsidR="00956D6A">
                            <w:rPr>
                              <w:rFonts w:ascii="Arial" w:hAnsi="Arial" w:cs="Arial"/>
                              <w:sz w:val="20"/>
                            </w:rPr>
                            <w:t>2</w:t>
                          </w:r>
                          <w:r w:rsidR="00440BCD">
                            <w:rPr>
                              <w:rFonts w:ascii="Arial" w:hAnsi="Arial" w:cs="Arial"/>
                              <w:sz w:val="20"/>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570BF8" id="_x0000_t202" coordsize="21600,21600" o:spt="202" path="m,l,21600r21600,l21600,xe">
              <v:stroke joinstyle="miter"/>
              <v:path gradientshapeok="t" o:connecttype="rect"/>
            </v:shapetype>
            <v:shape id="Text Box 4" o:spid="_x0000_s1029" type="#_x0000_t202" style="position:absolute;margin-left:1.25pt;margin-top:-140.5pt;width:465.8pt;height:12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" stroked="f" strokecolor="red">
              <v:textbox>
                <w:txbxContent>
                  <w:p w14:paraId="69D30343" w14:textId="39EC4694" w:rsidR="008F5539"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r>
                      <w:rPr>
                        <w:rFonts w:ascii="Arial" w:hAnsi="Arial" w:cs="Arial"/>
                        <w:b/>
                        <w:color w:val="FF0000"/>
                        <w:sz w:val="16"/>
                      </w:rPr>
                      <w:t>ATTENTION</w:t>
                    </w:r>
                  </w:p>
                  <w:p w14:paraId="385C6F50" w14:textId="77777777" w:rsidR="000D1E1E"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p>
                  <w:p w14:paraId="4B56D981"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All individuals handling this information are required to protect it from unauthorized disclosure.</w:t>
                    </w:r>
                  </w:p>
                  <w:p w14:paraId="672EF7CA"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Handling, storage, reproduction and disposition of the attached document(s) must be in accordance with applicable agency policy from Protected B documents.</w:t>
                    </w:r>
                  </w:p>
                  <w:p w14:paraId="7CFA9196" w14:textId="5CAB8DB6"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Access and dissemination of Protect B information shall be allowed as necessary and permissible to any individua(s), organizations(s), or grouping(s) of users, provided such access of dissemination is consistent with or in furtherance of Lawful Govt purpose and in a manner consistent with applicable law, regulation and Government-wide policies.</w:t>
                    </w:r>
                  </w:p>
                  <w:p w14:paraId="626144DF" w14:textId="7B6DD1EC" w:rsidR="00E733B2" w:rsidRDefault="008F5539" w:rsidP="000D1E1E">
                    <w:pPr>
                      <w:spacing w:before="120"/>
                      <w:jc w:val="center"/>
                    </w:pPr>
                    <w:r>
                      <w:rPr>
                        <w:rFonts w:ascii="Arial" w:hAnsi="Arial" w:cs="Arial"/>
                        <w:sz w:val="20"/>
                      </w:rPr>
                      <w:t>© H</w:t>
                    </w:r>
                    <w:r w:rsidR="00956D6A">
                      <w:rPr>
                        <w:rFonts w:ascii="Arial" w:hAnsi="Arial" w:cs="Arial"/>
                        <w:sz w:val="20"/>
                      </w:rPr>
                      <w:t>IS</w:t>
                    </w:r>
                    <w:r>
                      <w:rPr>
                        <w:rFonts w:ascii="Arial" w:hAnsi="Arial" w:cs="Arial"/>
                        <w:sz w:val="20"/>
                      </w:rPr>
                      <w:t xml:space="preserve"> MAJESTY THE </w:t>
                    </w:r>
                    <w:r w:rsidR="00956D6A">
                      <w:rPr>
                        <w:rFonts w:ascii="Arial" w:hAnsi="Arial" w:cs="Arial"/>
                        <w:sz w:val="20"/>
                      </w:rPr>
                      <w:t xml:space="preserve">KING </w:t>
                    </w:r>
                    <w:r>
                      <w:rPr>
                        <w:rFonts w:ascii="Arial" w:hAnsi="Arial" w:cs="Arial"/>
                        <w:sz w:val="20"/>
                      </w:rPr>
                      <w:t xml:space="preserve">IN RIGHT OF </w:t>
                    </w:r>
                    <w:smartTag w:uri="urn:schemas-microsoft-com:office:smarttags" w:element="country-region">
                      <w:smartTag w:uri="urn:schemas-microsoft-com:office:smarttags" w:element="place">
                        <w:r>
                          <w:rPr>
                            <w:rFonts w:ascii="Arial" w:hAnsi="Arial" w:cs="Arial"/>
                            <w:sz w:val="20"/>
                          </w:rPr>
                          <w:t>CANADA</w:t>
                        </w:r>
                      </w:smartTag>
                    </w:smartTag>
                    <w:r>
                      <w:rPr>
                        <w:rFonts w:ascii="Arial" w:hAnsi="Arial" w:cs="Arial"/>
                        <w:sz w:val="20"/>
                      </w:rPr>
                      <w:t xml:space="preserve"> 20</w:t>
                    </w:r>
                    <w:r w:rsidR="00956D6A">
                      <w:rPr>
                        <w:rFonts w:ascii="Arial" w:hAnsi="Arial" w:cs="Arial"/>
                        <w:sz w:val="20"/>
                      </w:rPr>
                      <w:t>2</w:t>
                    </w:r>
                    <w:r w:rsidR="00440BCD">
                      <w:rPr>
                        <w:rFonts w:ascii="Arial" w:hAnsi="Arial" w:cs="Arial"/>
                        <w:sz w:val="20"/>
                      </w:rPr>
                      <w:t>6</w:t>
                    </w:r>
                  </w:p>
                </w:txbxContent>
              </v:textbox>
              <w10:wrap anchorx="margin"/>
            </v:shape>
          </w:pict>
        </mc:Fallback>
      </mc:AlternateContent>
    </w:r>
    <w:r w:rsidR="00956D6A">
      <w:rPr>
        <w:noProof/>
        <w:lang w:val="fr-CA" w:eastAsia="fr-CA"/>
      </w:rPr>
      <w:drawing>
        <wp:anchor distT="0" distB="0" distL="114300" distR="114300" simplePos="0" relativeHeight="251658242" behindDoc="1" locked="0" layoutInCell="1" allowOverlap="1" wp14:anchorId="7BC1509E" wp14:editId="5802B767">
          <wp:simplePos x="0" y="0"/>
          <wp:positionH relativeFrom="margin">
            <wp:posOffset>-113212</wp:posOffset>
          </wp:positionH>
          <wp:positionV relativeFrom="paragraph">
            <wp:posOffset>-108857</wp:posOffset>
          </wp:positionV>
          <wp:extent cx="6309360" cy="949960"/>
          <wp:effectExtent l="0" t="0" r="0" b="2540"/>
          <wp:wrapNone/>
          <wp:docPr id="1128877965" name="Picture 1128877965"/>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cstate="print">
                    <a:extLst>
                      <a:ext uri="{28A0092B-C50C-407E-A947-70E740481C1C}">
                        <a14:useLocalDpi xmlns:a14="http://schemas.microsoft.com/office/drawing/2010/main" val="0"/>
                      </a:ext>
                    </a:extLst>
                  </a:blip>
                  <a:stretch>
                    <a:fillRect/>
                  </a:stretch>
                </pic:blipFill>
                <pic:spPr>
                  <a:xfrm>
                    <a:off x="0" y="0"/>
                    <a:ext cx="6309360" cy="949960"/>
                  </a:xfrm>
                  <a:prstGeom prst="rect">
                    <a:avLst/>
                  </a:prstGeom>
                </pic:spPr>
              </pic:pic>
            </a:graphicData>
          </a:graphic>
          <wp14:sizeRelH relativeFrom="page">
            <wp14:pctWidth>0</wp14:pctWidth>
          </wp14:sizeRelH>
          <wp14:sizeRelV relativeFrom="page">
            <wp14:pctHeight>0</wp14:pctHeight>
          </wp14:sizeRelV>
        </wp:anchor>
      </w:drawing>
    </w:r>
  </w:p>
  <w:p w14:paraId="2F8B1677" w14:textId="77777777" w:rsidR="008F5539" w:rsidRPr="00184471" w:rsidRDefault="008F5539">
    <w:pPr>
      <w:pStyle w:val="Footer"/>
      <w:ind w:right="360"/>
      <w:rPr>
        <w:lang w:val="fr-C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8BE7" w14:textId="1CAA83D0" w:rsidR="008F5539" w:rsidRDefault="00956D6A" w:rsidP="00956D6A">
    <w:pPr>
      <w:pStyle w:val="Footer"/>
      <w:tabs>
        <w:tab w:val="clear" w:pos="4320"/>
        <w:tab w:val="clear" w:pos="8640"/>
        <w:tab w:val="center" w:pos="4680"/>
        <w:tab w:val="right" w:pos="9360"/>
      </w:tabs>
      <w:jc w:val="center"/>
      <w:rPr>
        <w:sz w:val="16"/>
      </w:rPr>
    </w:pPr>
    <w:r>
      <w:rPr>
        <w:noProof/>
        <w:lang w:val="fr-CA" w:eastAsia="fr-CA"/>
      </w:rPr>
      <w:drawing>
        <wp:anchor distT="0" distB="0" distL="114300" distR="114300" simplePos="0" relativeHeight="251658241" behindDoc="1" locked="0" layoutInCell="1" allowOverlap="1" wp14:anchorId="548F90F0" wp14:editId="7404AE40">
          <wp:simplePos x="0" y="0"/>
          <wp:positionH relativeFrom="margin">
            <wp:posOffset>-265611</wp:posOffset>
          </wp:positionH>
          <wp:positionV relativeFrom="paragraph">
            <wp:posOffset>-291737</wp:posOffset>
          </wp:positionV>
          <wp:extent cx="6309360" cy="949960"/>
          <wp:effectExtent l="0" t="0" r="0" b="2540"/>
          <wp:wrapNone/>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cstate="print">
                    <a:extLst>
                      <a:ext uri="{28A0092B-C50C-407E-A947-70E740481C1C}">
                        <a14:useLocalDpi xmlns:a14="http://schemas.microsoft.com/office/drawing/2010/main" val="0"/>
                      </a:ext>
                    </a:extLst>
                  </a:blip>
                  <a:stretch>
                    <a:fillRect/>
                  </a:stretch>
                </pic:blipFill>
                <pic:spPr>
                  <a:xfrm>
                    <a:off x="0" y="0"/>
                    <a:ext cx="6309360" cy="949960"/>
                  </a:xfrm>
                  <a:prstGeom prst="rect">
                    <a:avLst/>
                  </a:prstGeom>
                </pic:spPr>
              </pic:pic>
            </a:graphicData>
          </a:graphic>
          <wp14:sizeRelH relativeFrom="page">
            <wp14:pctWidth>0</wp14:pctWidth>
          </wp14:sizeRelH>
          <wp14:sizeRelV relativeFrom="page">
            <wp14:pctHeight>0</wp14:pctHeight>
          </wp14:sizeRelV>
        </wp:anchor>
      </w:drawing>
    </w:r>
    <w:r w:rsidR="008F5539">
      <w:rPr>
        <w:rStyle w:val="PageNumber"/>
      </w:rPr>
      <w:fldChar w:fldCharType="begin"/>
    </w:r>
    <w:r w:rsidR="008F5539">
      <w:rPr>
        <w:rStyle w:val="PageNumber"/>
      </w:rPr>
      <w:instrText xml:space="preserve"> PAGE </w:instrText>
    </w:r>
    <w:r w:rsidR="008F5539">
      <w:rPr>
        <w:rStyle w:val="PageNumber"/>
      </w:rPr>
      <w:fldChar w:fldCharType="separate"/>
    </w:r>
    <w:r w:rsidR="00A34DD4">
      <w:rPr>
        <w:rStyle w:val="PageNumber"/>
        <w:noProof/>
      </w:rPr>
      <w:t>vi</w:t>
    </w:r>
    <w:r w:rsidR="008F5539">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4E078" w14:textId="514E8B72" w:rsidR="00B02A74" w:rsidRDefault="00B02A74">
    <w:pPr>
      <w:pStyle w:val="Footer"/>
      <w:pBdr>
        <w:top w:val="single" w:sz="6" w:space="1" w:color="auto"/>
      </w:pBdr>
      <w:tabs>
        <w:tab w:val="clear" w:pos="4320"/>
        <w:tab w:val="clear" w:pos="8640"/>
        <w:tab w:val="center" w:pos="4680"/>
        <w:tab w:val="right" w:pos="9360"/>
      </w:tabs>
      <w:jc w:val="right"/>
    </w:pPr>
    <w:r>
      <w:t>CADRe Part A  •  VPCS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FB7A3" w14:textId="77777777" w:rsidR="00AD7A76" w:rsidRDefault="00AD7A76">
      <w:r>
        <w:separator/>
      </w:r>
    </w:p>
  </w:footnote>
  <w:footnote w:type="continuationSeparator" w:id="0">
    <w:p w14:paraId="36B43A57" w14:textId="77777777" w:rsidR="00AD7A76" w:rsidRDefault="00AD7A76">
      <w:r>
        <w:continuationSeparator/>
      </w:r>
    </w:p>
  </w:footnote>
  <w:footnote w:type="continuationNotice" w:id="1">
    <w:p w14:paraId="12267820" w14:textId="77777777" w:rsidR="00AD7A76" w:rsidRDefault="00AD7A7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FC303" w14:textId="4FAE5751" w:rsidR="0055106C" w:rsidRDefault="007E07C5">
    <w:pPr>
      <w:pStyle w:val="Header"/>
    </w:pPr>
    <w:r>
      <w:rPr>
        <w:noProof/>
        <w:color w:val="C00000"/>
        <w:sz w:val="32"/>
        <w:szCs w:val="40"/>
      </w:rPr>
      <mc:AlternateContent>
        <mc:Choice Requires="wps">
          <w:drawing>
            <wp:anchor distT="0" distB="0" distL="114300" distR="114300" simplePos="0" relativeHeight="251661319" behindDoc="0" locked="0" layoutInCell="0" allowOverlap="1" wp14:anchorId="6E589ABC" wp14:editId="07D1F66D">
              <wp:simplePos x="0" y="0"/>
              <wp:positionH relativeFrom="page">
                <wp:align>right</wp:align>
              </wp:positionH>
              <wp:positionV relativeFrom="page">
                <wp:align>top</wp:align>
              </wp:positionV>
              <wp:extent cx="7772400" cy="442595"/>
              <wp:effectExtent l="0" t="0" r="0" b="14605"/>
              <wp:wrapNone/>
              <wp:docPr id="32" name="MSIPCM4b1248959ed1a1e080037217" descr="{&quot;HashCode&quot;:1337052541,&quot;Height&quot;:9999999.0,&quot;Width&quot;:9999999.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1C28B7D" w14:textId="2B7885BF"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6E589ABC" id="_x0000_t202" coordsize="21600,21600" o:spt="202" path="m,l,21600r21600,l21600,xe">
              <v:stroke joinstyle="miter"/>
              <v:path gradientshapeok="t" o:connecttype="rect"/>
            </v:shapetype>
            <v:shape id="MSIPCM4b1248959ed1a1e080037217" o:spid="_x0000_s1028" type="#_x0000_t202" alt="{&quot;HashCode&quot;:1337052541,&quot;Height&quot;:9999999.0,&quot;Width&quot;:9999999.0,&quot;Placement&quot;:&quot;Header&quot;,&quot;Index&quot;:&quot;Primary&quot;,&quot;Section&quot;:1,&quot;Top&quot;:0.0,&quot;Left&quot;:0.0}" style="position:absolute;margin-left:560.8pt;margin-top:0;width:612pt;height:34.85pt;z-index:251661319;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" o:allowincell="f" filled="f" stroked="f" strokeweight=".5pt">
              <v:textbox inset=",0,20pt,0">
                <w:txbxContent>
                  <w:p w14:paraId="51C28B7D" w14:textId="2B7885BF"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v:textbox>
              <w10:wrap anchorx="page" anchory="page"/>
            </v:shape>
          </w:pict>
        </mc:Fallback>
      </mc:AlternateContent>
    </w:r>
    <w:r w:rsidR="0055106C" w:rsidRPr="005B2F73">
      <w:rPr>
        <w:noProof/>
        <w:color w:val="C00000"/>
        <w:sz w:val="32"/>
        <w:szCs w:val="40"/>
      </w:rPr>
      <w:drawing>
        <wp:anchor distT="0" distB="0" distL="114300" distR="114300" simplePos="0" relativeHeight="251658248" behindDoc="1" locked="0" layoutInCell="1" allowOverlap="1" wp14:anchorId="7449ACFA" wp14:editId="497DF006">
          <wp:simplePos x="0" y="0"/>
          <wp:positionH relativeFrom="column">
            <wp:posOffset>0</wp:posOffset>
          </wp:positionH>
          <wp:positionV relativeFrom="paragraph">
            <wp:posOffset>0</wp:posOffset>
          </wp:positionV>
          <wp:extent cx="914400" cy="922655"/>
          <wp:effectExtent l="0" t="0" r="0" b="0"/>
          <wp:wrapNone/>
          <wp:docPr id="1815450666" name="Picture 1815450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2265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45B23" w14:textId="7337D5C2" w:rsidR="007E7DA8" w:rsidRDefault="007E7DA8">
    <w:pPr>
      <w:pStyle w:val="Header"/>
    </w:pPr>
    <w:r>
      <w:rPr>
        <w:noProof/>
      </w:rPr>
      <mc:AlternateContent>
        <mc:Choice Requires="wps">
          <w:drawing>
            <wp:anchor distT="0" distB="0" distL="114300" distR="114300" simplePos="0" relativeHeight="251658245" behindDoc="0" locked="0" layoutInCell="0" allowOverlap="1" wp14:anchorId="40106525" wp14:editId="417A3763">
              <wp:simplePos x="0" y="190500"/>
              <wp:positionH relativeFrom="page">
                <wp:align>right</wp:align>
              </wp:positionH>
              <wp:positionV relativeFrom="page">
                <wp:align>top</wp:align>
              </wp:positionV>
              <wp:extent cx="7772400" cy="442595"/>
              <wp:effectExtent l="0" t="0" r="0" b="14605"/>
              <wp:wrapNone/>
              <wp:docPr id="27" name="Text Box 27" descr="{&quot;HashCode&quot;:1337052541,&quot;Height&quot;:9999999.0,&quot;Width&quot;:9999999.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B9F7792" w14:textId="2F224EDD"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40106525" id="_x0000_t202" coordsize="21600,21600" o:spt="202" path="m,l,21600r21600,l21600,xe">
              <v:stroke joinstyle="miter"/>
              <v:path gradientshapeok="t" o:connecttype="rect"/>
            </v:shapetype>
            <v:shape id="Text Box 27" o:spid="_x0000_s1030" type="#_x0000_t202" alt="{&quot;HashCode&quot;:1337052541,&quot;Height&quot;:9999999.0,&quot;Width&quot;:9999999.0,&quot;Placement&quot;:&quot;Header&quot;,&quot;Index&quot;:&quot;FirstPage&quot;,&quot;Section&quot;:1,&quot;Top&quot;:0.0,&quot;Left&quot;:0.0}" style="position:absolute;margin-left:560.8pt;margin-top:0;width:612pt;height:34.85pt;z-index:251658245;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DZtF1/HQIAAC4EAAAOAAAAAAAAAAAAAAAAAC4CAABkcnMvZTJvRG9jLnhtbFBLAQItABQA&#10;BgAIAAAAIQAkFsoj2gAAAAUBAAAPAAAAAAAAAAAAAAAAAHcEAABkcnMvZG93bnJldi54bWxQSwUG&#10;AAAAAAQABADzAAAAfgUAAAAA&#10;" o:allowincell="f" filled="f" stroked="f" strokeweight=".5pt">
              <v:textbox inset=",0,20pt,0">
                <w:txbxContent>
                  <w:p w14:paraId="6B9F7792" w14:textId="2F224EDD"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333C4" w14:textId="0397D9C4" w:rsidR="008F5539" w:rsidRDefault="007E07C5">
    <w:pPr>
      <w:pStyle w:val="Header"/>
      <w:pBdr>
        <w:bottom w:val="single" w:sz="4" w:space="1" w:color="auto"/>
      </w:pBdr>
      <w:tabs>
        <w:tab w:val="clear" w:pos="4320"/>
        <w:tab w:val="center" w:pos="4680"/>
      </w:tabs>
    </w:pPr>
    <w:r>
      <w:rPr>
        <w:noProof/>
      </w:rPr>
      <mc:AlternateContent>
        <mc:Choice Requires="wps">
          <w:drawing>
            <wp:anchor distT="0" distB="0" distL="114300" distR="114300" simplePos="0" relativeHeight="251661320" behindDoc="0" locked="0" layoutInCell="0" allowOverlap="1" wp14:anchorId="2615C1D7" wp14:editId="1CE774A3">
              <wp:simplePos x="0" y="0"/>
              <wp:positionH relativeFrom="page">
                <wp:align>right</wp:align>
              </wp:positionH>
              <wp:positionV relativeFrom="page">
                <wp:align>top</wp:align>
              </wp:positionV>
              <wp:extent cx="7772400" cy="442595"/>
              <wp:effectExtent l="0" t="0" r="0" b="14605"/>
              <wp:wrapNone/>
              <wp:docPr id="35" name="MSIPCMe91e4f1dbdb64296d5bbe1ce" descr="{&quot;HashCode&quot;:1337052541,&quot;Height&quot;:9999999.0,&quot;Width&quot;:9999999.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2FAC2B1" w14:textId="0A9C3E32"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2615C1D7" id="_x0000_t202" coordsize="21600,21600" o:spt="202" path="m,l,21600r21600,l21600,xe">
              <v:stroke joinstyle="miter"/>
              <v:path gradientshapeok="t" o:connecttype="rect"/>
            </v:shapetype>
            <v:shape id="MSIPCMe91e4f1dbdb64296d5bbe1ce" o:spid="_x0000_s1031" type="#_x0000_t202" alt="{&quot;HashCode&quot;:1337052541,&quot;Height&quot;:9999999.0,&quot;Width&quot;:9999999.0,&quot;Placement&quot;:&quot;Header&quot;,&quot;Index&quot;:&quot;Primary&quot;,&quot;Section&quot;:2,&quot;Top&quot;:0.0,&quot;Left&quot;:0.0}" style="position:absolute;margin-left:560.8pt;margin-top:0;width:612pt;height:34.85pt;z-index:251661320;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Cz8D3sHQIAAC4EAAAOAAAAAAAAAAAAAAAAAC4CAABkcnMvZTJvRG9jLnhtbFBLAQItABQA&#10;BgAIAAAAIQAkFsoj2gAAAAUBAAAPAAAAAAAAAAAAAAAAAHcEAABkcnMvZG93bnJldi54bWxQSwUG&#10;AAAAAAQABADzAAAAfgUAAAAA&#10;" o:allowincell="f" filled="f" stroked="f" strokeweight=".5pt">
              <v:textbox inset=",0,20pt,0">
                <w:txbxContent>
                  <w:p w14:paraId="62FAC2B1" w14:textId="0A9C3E32"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v:textbox>
              <w10:wrap anchorx="page" anchory="page"/>
            </v:shape>
          </w:pict>
        </mc:Fallback>
      </mc:AlternateContent>
    </w:r>
    <w:r w:rsidR="007E7DA8">
      <w:rPr>
        <w:noProof/>
      </w:rPr>
      <mc:AlternateContent>
        <mc:Choice Requires="wps">
          <w:drawing>
            <wp:anchor distT="0" distB="0" distL="114300" distR="114300" simplePos="0" relativeHeight="251658246" behindDoc="0" locked="0" layoutInCell="0" allowOverlap="1" wp14:anchorId="7124E168" wp14:editId="55703FA7">
              <wp:simplePos x="0" y="0"/>
              <wp:positionH relativeFrom="page">
                <wp:align>right</wp:align>
              </wp:positionH>
              <wp:positionV relativeFrom="page">
                <wp:align>top</wp:align>
              </wp:positionV>
              <wp:extent cx="7772400" cy="442595"/>
              <wp:effectExtent l="0" t="0" r="0" b="14605"/>
              <wp:wrapNone/>
              <wp:docPr id="28" name="Text Box 28" descr="{&quot;HashCode&quot;:1337052541,&quot;Height&quot;:9999999.0,&quot;Width&quot;:9999999.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168636F" w14:textId="6B77424F"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 w14:anchorId="7124E168" id="Text Box 28" o:spid="_x0000_s1032" type="#_x0000_t202" alt="{&quot;HashCode&quot;:1337052541,&quot;Height&quot;:9999999.0,&quot;Width&quot;:9999999.0,&quot;Placement&quot;:&quot;Header&quot;,&quot;Index&quot;:&quot;Primary&quot;,&quot;Section&quot;:2,&quot;Top&quot;:0.0,&quot;Left&quot;:0.0}" style="position:absolute;margin-left:560.8pt;margin-top:0;width:612pt;height:34.85pt;z-index:251658246;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AnIf6iHQIAAC4EAAAOAAAAAAAAAAAAAAAAAC4CAABkcnMvZTJvRG9jLnhtbFBLAQItABQA&#10;BgAIAAAAIQAkFsoj2gAAAAUBAAAPAAAAAAAAAAAAAAAAAHcEAABkcnMvZG93bnJldi54bWxQSwUG&#10;AAAAAAQABADzAAAAfgUAAAAA&#10;" o:allowincell="f" filled="f" stroked="f" strokeweight=".5pt">
              <v:textbox inset=",0,20pt,0">
                <w:txbxContent>
                  <w:p w14:paraId="2168636F" w14:textId="6B77424F"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v:textbox>
              <w10:wrap anchorx="page" anchory="page"/>
            </v:shape>
          </w:pict>
        </mc:Fallback>
      </mc:AlternateContent>
    </w:r>
    <w:fldSimple w:instr="TITLE  \* MERGEFORMAT">
      <w:r w:rsidR="006450EB">
        <w:t>CSA-FIN-RD-0765</w:t>
      </w:r>
    </w:fldSimple>
    <w:r w:rsidR="008F5539">
      <w:tab/>
    </w:r>
    <w:r w:rsidR="008F5539">
      <w:tab/>
    </w:r>
    <w:fldSimple w:instr="COMMENTS  \* MERGEFORMAT">
      <w:r w:rsidR="006450EB">
        <w:t>Draft 1.0</w:t>
      </w:r>
    </w:fldSimple>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4881A90"/>
    <w:lvl w:ilvl="0">
      <w:start w:val="1"/>
      <w:numFmt w:val="lowerRoman"/>
      <w:pStyle w:val="ListNumber5"/>
      <w:lvlText w:val="%1."/>
      <w:lvlJc w:val="right"/>
      <w:pPr>
        <w:ind w:left="1800" w:hanging="360"/>
      </w:pPr>
    </w:lvl>
  </w:abstractNum>
  <w:abstractNum w:abstractNumId="1" w15:restartNumberingAfterBreak="0">
    <w:nsid w:val="FFFFFF7D"/>
    <w:multiLevelType w:val="singleLevel"/>
    <w:tmpl w:val="119294B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6089F5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0FA6FBE"/>
    <w:lvl w:ilvl="0">
      <w:start w:val="1"/>
      <w:numFmt w:val="decimal"/>
      <w:pStyle w:val="ListNumber2"/>
      <w:lvlText w:val="%1."/>
      <w:lvlJc w:val="left"/>
      <w:pPr>
        <w:ind w:left="360" w:hanging="360"/>
      </w:pPr>
    </w:lvl>
  </w:abstractNum>
  <w:abstractNum w:abstractNumId="4" w15:restartNumberingAfterBreak="0">
    <w:nsid w:val="FFFFFF80"/>
    <w:multiLevelType w:val="singleLevel"/>
    <w:tmpl w:val="CA6289B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F0219B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B0A64D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6B6CB58"/>
    <w:lvl w:ilvl="0">
      <w:start w:val="1"/>
      <w:numFmt w:val="bullet"/>
      <w:pStyle w:val="ListBullet2"/>
      <w:lvlText w:val=""/>
      <w:lvlJc w:val="left"/>
      <w:pPr>
        <w:ind w:left="720" w:hanging="360"/>
      </w:pPr>
      <w:rPr>
        <w:rFonts w:ascii="Symbol" w:hAnsi="Symbol" w:hint="default"/>
      </w:rPr>
    </w:lvl>
  </w:abstractNum>
  <w:abstractNum w:abstractNumId="8" w15:restartNumberingAfterBreak="0">
    <w:nsid w:val="FFFFFF88"/>
    <w:multiLevelType w:val="singleLevel"/>
    <w:tmpl w:val="E8D00C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D8A83EE"/>
    <w:lvl w:ilvl="0">
      <w:start w:val="1"/>
      <w:numFmt w:val="bullet"/>
      <w:pStyle w:val="ListBullet"/>
      <w:lvlText w:val=""/>
      <w:lvlJc w:val="left"/>
      <w:pPr>
        <w:ind w:left="720" w:hanging="360"/>
      </w:pPr>
      <w:rPr>
        <w:rFonts w:ascii="Symbol" w:hAnsi="Symbol" w:hint="default"/>
      </w:rPr>
    </w:lvl>
  </w:abstractNum>
  <w:abstractNum w:abstractNumId="10" w15:restartNumberingAfterBreak="0">
    <w:nsid w:val="06E06128"/>
    <w:multiLevelType w:val="hybridMultilevel"/>
    <w:tmpl w:val="BA420D48"/>
    <w:lvl w:ilvl="0" w:tplc="935009AE">
      <w:start w:val="1"/>
      <w:numFmt w:val="decimalZero"/>
      <w:pStyle w:val="DocumentReference"/>
      <w:suff w:val="nothing"/>
      <w:lvlText w:val="R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17181E55"/>
    <w:multiLevelType w:val="hybridMultilevel"/>
    <w:tmpl w:val="B66A82AE"/>
    <w:lvl w:ilvl="0" w:tplc="FFFFFFFF">
      <w:start w:val="1"/>
      <w:numFmt w:val="bullet"/>
      <w:pStyle w:val="Bullet"/>
      <w:lvlText w:val=""/>
      <w:lvlJc w:val="left"/>
      <w:pPr>
        <w:tabs>
          <w:tab w:val="num" w:pos="1080"/>
        </w:tabs>
        <w:ind w:left="720" w:firstLine="0"/>
      </w:pPr>
      <w:rPr>
        <w:rFonts w:ascii="Symbol" w:hAnsi="Symbol" w:hint="default"/>
        <w:b w:val="0"/>
        <w:i w:val="0"/>
        <w:sz w:val="18"/>
      </w:rPr>
    </w:lvl>
    <w:lvl w:ilvl="1" w:tplc="FFFFFFFF" w:tentative="1">
      <w:start w:val="1"/>
      <w:numFmt w:val="bullet"/>
      <w:lvlText w:val="o"/>
      <w:lvlJc w:val="left"/>
      <w:pPr>
        <w:tabs>
          <w:tab w:val="num" w:pos="2160"/>
        </w:tabs>
        <w:ind w:left="2160" w:hanging="360"/>
      </w:pPr>
      <w:rPr>
        <w:rFonts w:ascii="Courier New" w:hAnsi="Courier New" w:cs="Helvetica"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Helvetica"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Helvetica"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289A5B10"/>
    <w:multiLevelType w:val="multilevel"/>
    <w:tmpl w:val="1F44DD9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440"/>
        </w:tabs>
        <w:ind w:left="1008" w:hanging="1008"/>
      </w:pPr>
      <w:rPr>
        <w:rFonts w:hint="default"/>
      </w:rPr>
    </w:lvl>
    <w:lvl w:ilvl="5">
      <w:start w:val="1"/>
      <w:numFmt w:val="decimal"/>
      <w:pStyle w:val="Heading6"/>
      <w:lvlText w:val="%1.%2.%3.%4.%5.%6"/>
      <w:lvlJc w:val="left"/>
      <w:pPr>
        <w:tabs>
          <w:tab w:val="num" w:pos="1440"/>
        </w:tabs>
        <w:ind w:left="1152" w:hanging="1152"/>
      </w:pPr>
      <w:rPr>
        <w:rFonts w:hint="default"/>
      </w:rPr>
    </w:lvl>
    <w:lvl w:ilvl="6">
      <w:start w:val="1"/>
      <w:numFmt w:val="upperLetter"/>
      <w:pStyle w:val="Heading7"/>
      <w:lvlText w:val="%7"/>
      <w:lvlJc w:val="left"/>
      <w:pPr>
        <w:tabs>
          <w:tab w:val="num" w:pos="432"/>
        </w:tabs>
        <w:ind w:left="432" w:hanging="432"/>
      </w:pPr>
      <w:rPr>
        <w:rFonts w:hint="default"/>
      </w:rPr>
    </w:lvl>
    <w:lvl w:ilvl="7">
      <w:start w:val="1"/>
      <w:numFmt w:val="decimal"/>
      <w:pStyle w:val="Heading8"/>
      <w:lvlText w:val="%7.%8"/>
      <w:lvlJc w:val="left"/>
      <w:pPr>
        <w:tabs>
          <w:tab w:val="num" w:pos="576"/>
        </w:tabs>
        <w:ind w:left="576" w:hanging="576"/>
      </w:pPr>
      <w:rPr>
        <w:rFonts w:hint="default"/>
      </w:rPr>
    </w:lvl>
    <w:lvl w:ilvl="8">
      <w:start w:val="1"/>
      <w:numFmt w:val="decimal"/>
      <w:pStyle w:val="Heading9"/>
      <w:lvlText w:val="%7.%8.%9"/>
      <w:lvlJc w:val="left"/>
      <w:pPr>
        <w:tabs>
          <w:tab w:val="num" w:pos="720"/>
        </w:tabs>
        <w:ind w:left="720" w:hanging="720"/>
      </w:pPr>
      <w:rPr>
        <w:rFonts w:hint="default"/>
      </w:rPr>
    </w:lvl>
  </w:abstractNum>
  <w:abstractNum w:abstractNumId="13" w15:restartNumberingAfterBreak="0">
    <w:nsid w:val="2C1C5BE5"/>
    <w:multiLevelType w:val="hybridMultilevel"/>
    <w:tmpl w:val="337ED612"/>
    <w:lvl w:ilvl="0" w:tplc="264E079A">
      <w:start w:val="1"/>
      <w:numFmt w:val="bullet"/>
      <w:pStyle w:val="Norm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DB6E42"/>
    <w:multiLevelType w:val="hybridMultilevel"/>
    <w:tmpl w:val="2FDC7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F10029B"/>
    <w:multiLevelType w:val="hybridMultilevel"/>
    <w:tmpl w:val="83188F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880536"/>
    <w:multiLevelType w:val="hybridMultilevel"/>
    <w:tmpl w:val="15E8DA24"/>
    <w:lvl w:ilvl="0" w:tplc="1BF29316">
      <w:start w:val="1"/>
      <w:numFmt w:val="decimalZero"/>
      <w:pStyle w:val="DocumentApplicable"/>
      <w:suff w:val="nothing"/>
      <w:lvlText w:val="A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4E901F16"/>
    <w:multiLevelType w:val="multilevel"/>
    <w:tmpl w:val="68BA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26084B"/>
    <w:multiLevelType w:val="hybridMultilevel"/>
    <w:tmpl w:val="93104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2D4C0D"/>
    <w:multiLevelType w:val="hybridMultilevel"/>
    <w:tmpl w:val="A820607E"/>
    <w:lvl w:ilvl="0" w:tplc="1E2CEEA2">
      <w:start w:val="1"/>
      <w:numFmt w:val="decimalZero"/>
      <w:pStyle w:val="DocumentParent"/>
      <w:suff w:val="nothing"/>
      <w:lvlText w:val="P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7BBC2739"/>
    <w:multiLevelType w:val="multilevel"/>
    <w:tmpl w:val="1009001D"/>
    <w:styleLink w:val="Re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EFF5270"/>
    <w:multiLevelType w:val="hybridMultilevel"/>
    <w:tmpl w:val="F2DEB404"/>
    <w:lvl w:ilvl="0" w:tplc="9ABE0DF6">
      <w:start w:val="1"/>
      <w:numFmt w:val="decimalZero"/>
      <w:pStyle w:val="DocumentData"/>
      <w:suff w:val="nothing"/>
      <w:lvlText w:val="DD-%1"/>
      <w:lvlJc w:val="center"/>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81174091">
    <w:abstractNumId w:val="9"/>
  </w:num>
  <w:num w:numId="2" w16cid:durableId="1204171164">
    <w:abstractNumId w:val="7"/>
  </w:num>
  <w:num w:numId="3" w16cid:durableId="1799950040">
    <w:abstractNumId w:val="8"/>
  </w:num>
  <w:num w:numId="4" w16cid:durableId="962928801">
    <w:abstractNumId w:val="3"/>
  </w:num>
  <w:num w:numId="5" w16cid:durableId="1473719967">
    <w:abstractNumId w:val="1"/>
  </w:num>
  <w:num w:numId="6" w16cid:durableId="232155844">
    <w:abstractNumId w:val="2"/>
  </w:num>
  <w:num w:numId="7" w16cid:durableId="1037194972">
    <w:abstractNumId w:val="0"/>
  </w:num>
  <w:num w:numId="8" w16cid:durableId="77093470">
    <w:abstractNumId w:val="6"/>
  </w:num>
  <w:num w:numId="9" w16cid:durableId="1351448001">
    <w:abstractNumId w:val="5"/>
  </w:num>
  <w:num w:numId="10" w16cid:durableId="910651580">
    <w:abstractNumId w:val="4"/>
  </w:num>
  <w:num w:numId="11" w16cid:durableId="479421427">
    <w:abstractNumId w:val="12"/>
  </w:num>
  <w:num w:numId="12" w16cid:durableId="1050106139">
    <w:abstractNumId w:val="19"/>
  </w:num>
  <w:num w:numId="13" w16cid:durableId="1552573594">
    <w:abstractNumId w:val="16"/>
  </w:num>
  <w:num w:numId="14" w16cid:durableId="1153527647">
    <w:abstractNumId w:val="10"/>
  </w:num>
  <w:num w:numId="15" w16cid:durableId="576473743">
    <w:abstractNumId w:val="21"/>
  </w:num>
  <w:num w:numId="16" w16cid:durableId="2094088368">
    <w:abstractNumId w:val="13"/>
  </w:num>
  <w:num w:numId="17" w16cid:durableId="367222494">
    <w:abstractNumId w:val="11"/>
  </w:num>
  <w:num w:numId="18" w16cid:durableId="46613096">
    <w:abstractNumId w:val="20"/>
  </w:num>
  <w:num w:numId="19" w16cid:durableId="2104379051">
    <w:abstractNumId w:val="18"/>
  </w:num>
  <w:num w:numId="20" w16cid:durableId="1876035712">
    <w:abstractNumId w:val="15"/>
  </w:num>
  <w:num w:numId="21" w16cid:durableId="1350908024">
    <w:abstractNumId w:val="14"/>
  </w:num>
  <w:num w:numId="22" w16cid:durableId="1063794209">
    <w:abstractNumId w:val="17"/>
  </w:num>
  <w:num w:numId="23" w16cid:durableId="44068667">
    <w:abstractNumId w:val="12"/>
  </w:num>
  <w:num w:numId="24" w16cid:durableId="1437679430">
    <w:abstractNumId w:val="12"/>
  </w:num>
  <w:num w:numId="25" w16cid:durableId="1035302847">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GrammaticalErrors/>
  <w:activeWritingStyle w:appName="MSWord" w:lang="fr-CA" w:vendorID="9" w:dllVersion="512"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numRestart w:val="eachPage"/>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006"/>
    <w:rsid w:val="00001CA0"/>
    <w:rsid w:val="00001CF1"/>
    <w:rsid w:val="000021F1"/>
    <w:rsid w:val="00003FA9"/>
    <w:rsid w:val="000054BF"/>
    <w:rsid w:val="00005F9A"/>
    <w:rsid w:val="0001028D"/>
    <w:rsid w:val="00011ADB"/>
    <w:rsid w:val="00011C85"/>
    <w:rsid w:val="00014CC0"/>
    <w:rsid w:val="00015251"/>
    <w:rsid w:val="000165A5"/>
    <w:rsid w:val="00020C4F"/>
    <w:rsid w:val="00022412"/>
    <w:rsid w:val="000245EF"/>
    <w:rsid w:val="000274B6"/>
    <w:rsid w:val="000308BA"/>
    <w:rsid w:val="00030BDA"/>
    <w:rsid w:val="000312F3"/>
    <w:rsid w:val="0003166B"/>
    <w:rsid w:val="000318DE"/>
    <w:rsid w:val="000353C8"/>
    <w:rsid w:val="00036525"/>
    <w:rsid w:val="00036A8B"/>
    <w:rsid w:val="00036D0E"/>
    <w:rsid w:val="00040194"/>
    <w:rsid w:val="00040D45"/>
    <w:rsid w:val="00041783"/>
    <w:rsid w:val="00044BD6"/>
    <w:rsid w:val="00044F29"/>
    <w:rsid w:val="0004523D"/>
    <w:rsid w:val="00045303"/>
    <w:rsid w:val="00047E98"/>
    <w:rsid w:val="00050259"/>
    <w:rsid w:val="000508CE"/>
    <w:rsid w:val="0005255D"/>
    <w:rsid w:val="00053201"/>
    <w:rsid w:val="00054E03"/>
    <w:rsid w:val="00054E20"/>
    <w:rsid w:val="00056B39"/>
    <w:rsid w:val="000607D5"/>
    <w:rsid w:val="00061073"/>
    <w:rsid w:val="00063240"/>
    <w:rsid w:val="0006326F"/>
    <w:rsid w:val="00063376"/>
    <w:rsid w:val="000668A7"/>
    <w:rsid w:val="00066ADC"/>
    <w:rsid w:val="000715B9"/>
    <w:rsid w:val="00071BFA"/>
    <w:rsid w:val="00072A14"/>
    <w:rsid w:val="00072AC6"/>
    <w:rsid w:val="00072B3F"/>
    <w:rsid w:val="00073171"/>
    <w:rsid w:val="00075999"/>
    <w:rsid w:val="00075E74"/>
    <w:rsid w:val="00076C97"/>
    <w:rsid w:val="0008084C"/>
    <w:rsid w:val="00080F28"/>
    <w:rsid w:val="00083093"/>
    <w:rsid w:val="000842FB"/>
    <w:rsid w:val="000844A2"/>
    <w:rsid w:val="00084721"/>
    <w:rsid w:val="000911FD"/>
    <w:rsid w:val="00091E0A"/>
    <w:rsid w:val="00094B3A"/>
    <w:rsid w:val="00095698"/>
    <w:rsid w:val="000957AD"/>
    <w:rsid w:val="0009697A"/>
    <w:rsid w:val="0009786B"/>
    <w:rsid w:val="000A134C"/>
    <w:rsid w:val="000A1624"/>
    <w:rsid w:val="000A1A88"/>
    <w:rsid w:val="000A5210"/>
    <w:rsid w:val="000A6396"/>
    <w:rsid w:val="000A6EBB"/>
    <w:rsid w:val="000A741A"/>
    <w:rsid w:val="000A7F1B"/>
    <w:rsid w:val="000B0465"/>
    <w:rsid w:val="000B1D02"/>
    <w:rsid w:val="000B1F01"/>
    <w:rsid w:val="000B2C0B"/>
    <w:rsid w:val="000B316D"/>
    <w:rsid w:val="000B423C"/>
    <w:rsid w:val="000B424D"/>
    <w:rsid w:val="000B64AC"/>
    <w:rsid w:val="000B74AB"/>
    <w:rsid w:val="000C0D5F"/>
    <w:rsid w:val="000C2605"/>
    <w:rsid w:val="000C3441"/>
    <w:rsid w:val="000C38E3"/>
    <w:rsid w:val="000C49A8"/>
    <w:rsid w:val="000C697D"/>
    <w:rsid w:val="000C73A2"/>
    <w:rsid w:val="000C7D7E"/>
    <w:rsid w:val="000D1E1E"/>
    <w:rsid w:val="000D24B0"/>
    <w:rsid w:val="000D2C34"/>
    <w:rsid w:val="000D2D3B"/>
    <w:rsid w:val="000D3581"/>
    <w:rsid w:val="000D4DAD"/>
    <w:rsid w:val="000E08F2"/>
    <w:rsid w:val="000E2D29"/>
    <w:rsid w:val="000E6BEF"/>
    <w:rsid w:val="000E71E5"/>
    <w:rsid w:val="000F0FD8"/>
    <w:rsid w:val="000F1216"/>
    <w:rsid w:val="000F2141"/>
    <w:rsid w:val="000F21E6"/>
    <w:rsid w:val="000F3B14"/>
    <w:rsid w:val="000F4F1E"/>
    <w:rsid w:val="000F5378"/>
    <w:rsid w:val="000F67F5"/>
    <w:rsid w:val="00100775"/>
    <w:rsid w:val="001052F1"/>
    <w:rsid w:val="00105CB8"/>
    <w:rsid w:val="00107E68"/>
    <w:rsid w:val="001130E8"/>
    <w:rsid w:val="00113851"/>
    <w:rsid w:val="001206E0"/>
    <w:rsid w:val="00120CC4"/>
    <w:rsid w:val="00121B18"/>
    <w:rsid w:val="00124B1A"/>
    <w:rsid w:val="00124CFE"/>
    <w:rsid w:val="00125038"/>
    <w:rsid w:val="001259AA"/>
    <w:rsid w:val="00127AF1"/>
    <w:rsid w:val="00134490"/>
    <w:rsid w:val="0014255B"/>
    <w:rsid w:val="00142D07"/>
    <w:rsid w:val="0014383F"/>
    <w:rsid w:val="00143ED3"/>
    <w:rsid w:val="00150A3D"/>
    <w:rsid w:val="001516F5"/>
    <w:rsid w:val="00153787"/>
    <w:rsid w:val="00155726"/>
    <w:rsid w:val="00156B68"/>
    <w:rsid w:val="00157D82"/>
    <w:rsid w:val="00160368"/>
    <w:rsid w:val="001610D2"/>
    <w:rsid w:val="001619C9"/>
    <w:rsid w:val="00165922"/>
    <w:rsid w:val="001665C6"/>
    <w:rsid w:val="00170E1A"/>
    <w:rsid w:val="001742F4"/>
    <w:rsid w:val="00174AAB"/>
    <w:rsid w:val="0017657E"/>
    <w:rsid w:val="00180711"/>
    <w:rsid w:val="00180E24"/>
    <w:rsid w:val="001826DF"/>
    <w:rsid w:val="00184471"/>
    <w:rsid w:val="00185526"/>
    <w:rsid w:val="001870EF"/>
    <w:rsid w:val="00187410"/>
    <w:rsid w:val="00190785"/>
    <w:rsid w:val="00191896"/>
    <w:rsid w:val="00191926"/>
    <w:rsid w:val="00195A72"/>
    <w:rsid w:val="001963B5"/>
    <w:rsid w:val="00197006"/>
    <w:rsid w:val="001A036F"/>
    <w:rsid w:val="001A0E62"/>
    <w:rsid w:val="001A1E29"/>
    <w:rsid w:val="001A2BB0"/>
    <w:rsid w:val="001A3561"/>
    <w:rsid w:val="001A361A"/>
    <w:rsid w:val="001A38DF"/>
    <w:rsid w:val="001A5332"/>
    <w:rsid w:val="001A7193"/>
    <w:rsid w:val="001B059B"/>
    <w:rsid w:val="001B0F67"/>
    <w:rsid w:val="001B3427"/>
    <w:rsid w:val="001B5483"/>
    <w:rsid w:val="001B5696"/>
    <w:rsid w:val="001C088C"/>
    <w:rsid w:val="001C144E"/>
    <w:rsid w:val="001C177E"/>
    <w:rsid w:val="001C313C"/>
    <w:rsid w:val="001C5043"/>
    <w:rsid w:val="001C55C4"/>
    <w:rsid w:val="001C5812"/>
    <w:rsid w:val="001C783D"/>
    <w:rsid w:val="001C7FA5"/>
    <w:rsid w:val="001D012A"/>
    <w:rsid w:val="001D1118"/>
    <w:rsid w:val="001D15AB"/>
    <w:rsid w:val="001D17AA"/>
    <w:rsid w:val="001D1ACD"/>
    <w:rsid w:val="001D20BA"/>
    <w:rsid w:val="001D2D87"/>
    <w:rsid w:val="001D4E34"/>
    <w:rsid w:val="001D50DE"/>
    <w:rsid w:val="001D6D48"/>
    <w:rsid w:val="001D7608"/>
    <w:rsid w:val="001D7E1C"/>
    <w:rsid w:val="001E170A"/>
    <w:rsid w:val="001E1D81"/>
    <w:rsid w:val="001E57C2"/>
    <w:rsid w:val="001E709D"/>
    <w:rsid w:val="001E7E84"/>
    <w:rsid w:val="001F0679"/>
    <w:rsid w:val="001F2ABB"/>
    <w:rsid w:val="001F2B48"/>
    <w:rsid w:val="001F7768"/>
    <w:rsid w:val="00200D69"/>
    <w:rsid w:val="00204CBC"/>
    <w:rsid w:val="002060F8"/>
    <w:rsid w:val="00207566"/>
    <w:rsid w:val="00207B40"/>
    <w:rsid w:val="00210F75"/>
    <w:rsid w:val="0021146E"/>
    <w:rsid w:val="00211AEE"/>
    <w:rsid w:val="00211D03"/>
    <w:rsid w:val="00212D19"/>
    <w:rsid w:val="0021448C"/>
    <w:rsid w:val="00214DD1"/>
    <w:rsid w:val="00215AED"/>
    <w:rsid w:val="00217824"/>
    <w:rsid w:val="00221C09"/>
    <w:rsid w:val="00221ED2"/>
    <w:rsid w:val="00223A65"/>
    <w:rsid w:val="002246AB"/>
    <w:rsid w:val="00224CB1"/>
    <w:rsid w:val="00224DDB"/>
    <w:rsid w:val="00226261"/>
    <w:rsid w:val="0023031D"/>
    <w:rsid w:val="00232470"/>
    <w:rsid w:val="00232752"/>
    <w:rsid w:val="00233A0B"/>
    <w:rsid w:val="00233A63"/>
    <w:rsid w:val="00233B56"/>
    <w:rsid w:val="002356EF"/>
    <w:rsid w:val="002357A9"/>
    <w:rsid w:val="0023740D"/>
    <w:rsid w:val="00240434"/>
    <w:rsid w:val="00240576"/>
    <w:rsid w:val="0024253D"/>
    <w:rsid w:val="002436C9"/>
    <w:rsid w:val="002443F0"/>
    <w:rsid w:val="002459CB"/>
    <w:rsid w:val="00247736"/>
    <w:rsid w:val="0025136F"/>
    <w:rsid w:val="00251B20"/>
    <w:rsid w:val="0025206F"/>
    <w:rsid w:val="0025279A"/>
    <w:rsid w:val="00253DEB"/>
    <w:rsid w:val="00254EA6"/>
    <w:rsid w:val="00254FE3"/>
    <w:rsid w:val="00255162"/>
    <w:rsid w:val="002555BA"/>
    <w:rsid w:val="00255BDF"/>
    <w:rsid w:val="00262DE4"/>
    <w:rsid w:val="00263B01"/>
    <w:rsid w:val="002653D0"/>
    <w:rsid w:val="00265AE4"/>
    <w:rsid w:val="00265C1C"/>
    <w:rsid w:val="0026730D"/>
    <w:rsid w:val="0026787D"/>
    <w:rsid w:val="00267B12"/>
    <w:rsid w:val="00271777"/>
    <w:rsid w:val="002719C9"/>
    <w:rsid w:val="00273C05"/>
    <w:rsid w:val="00273E33"/>
    <w:rsid w:val="00275BD3"/>
    <w:rsid w:val="002804F9"/>
    <w:rsid w:val="002831A6"/>
    <w:rsid w:val="0028609E"/>
    <w:rsid w:val="002934AE"/>
    <w:rsid w:val="00295D68"/>
    <w:rsid w:val="002A1032"/>
    <w:rsid w:val="002A403C"/>
    <w:rsid w:val="002A40E7"/>
    <w:rsid w:val="002A464B"/>
    <w:rsid w:val="002A6947"/>
    <w:rsid w:val="002B0F6C"/>
    <w:rsid w:val="002B1866"/>
    <w:rsid w:val="002B4865"/>
    <w:rsid w:val="002B4F7E"/>
    <w:rsid w:val="002B532A"/>
    <w:rsid w:val="002C156C"/>
    <w:rsid w:val="002C1DAE"/>
    <w:rsid w:val="002C24FD"/>
    <w:rsid w:val="002C2C9C"/>
    <w:rsid w:val="002C485E"/>
    <w:rsid w:val="002C5682"/>
    <w:rsid w:val="002C5E63"/>
    <w:rsid w:val="002C6031"/>
    <w:rsid w:val="002C6C54"/>
    <w:rsid w:val="002C6D6F"/>
    <w:rsid w:val="002C709C"/>
    <w:rsid w:val="002C7555"/>
    <w:rsid w:val="002D1A33"/>
    <w:rsid w:val="002D3E2A"/>
    <w:rsid w:val="002D5AF3"/>
    <w:rsid w:val="002D60C9"/>
    <w:rsid w:val="002D668A"/>
    <w:rsid w:val="002D7AD9"/>
    <w:rsid w:val="002E166F"/>
    <w:rsid w:val="002E1E46"/>
    <w:rsid w:val="002E408F"/>
    <w:rsid w:val="002E45D3"/>
    <w:rsid w:val="002E79DE"/>
    <w:rsid w:val="002F0B6F"/>
    <w:rsid w:val="002F1C31"/>
    <w:rsid w:val="002F4A59"/>
    <w:rsid w:val="002F4D02"/>
    <w:rsid w:val="002F4DE7"/>
    <w:rsid w:val="002F5641"/>
    <w:rsid w:val="0030033B"/>
    <w:rsid w:val="0030180F"/>
    <w:rsid w:val="0030187F"/>
    <w:rsid w:val="00301A12"/>
    <w:rsid w:val="00302674"/>
    <w:rsid w:val="003039E2"/>
    <w:rsid w:val="0030481A"/>
    <w:rsid w:val="00304C8B"/>
    <w:rsid w:val="00305788"/>
    <w:rsid w:val="003072EF"/>
    <w:rsid w:val="003108A3"/>
    <w:rsid w:val="00311DBE"/>
    <w:rsid w:val="00312592"/>
    <w:rsid w:val="00312C8A"/>
    <w:rsid w:val="00313D40"/>
    <w:rsid w:val="00315898"/>
    <w:rsid w:val="003167C5"/>
    <w:rsid w:val="00316DB0"/>
    <w:rsid w:val="00317985"/>
    <w:rsid w:val="0032003C"/>
    <w:rsid w:val="0032031C"/>
    <w:rsid w:val="003204F3"/>
    <w:rsid w:val="00321F96"/>
    <w:rsid w:val="003240F2"/>
    <w:rsid w:val="00324FEE"/>
    <w:rsid w:val="00325B1A"/>
    <w:rsid w:val="00325C2D"/>
    <w:rsid w:val="00325C5E"/>
    <w:rsid w:val="00325E64"/>
    <w:rsid w:val="003260E2"/>
    <w:rsid w:val="00326699"/>
    <w:rsid w:val="003300F9"/>
    <w:rsid w:val="003315D3"/>
    <w:rsid w:val="00331784"/>
    <w:rsid w:val="003322AC"/>
    <w:rsid w:val="003330FB"/>
    <w:rsid w:val="00343A51"/>
    <w:rsid w:val="003453B5"/>
    <w:rsid w:val="0034798A"/>
    <w:rsid w:val="003513FC"/>
    <w:rsid w:val="0035297D"/>
    <w:rsid w:val="003562E1"/>
    <w:rsid w:val="00356C1B"/>
    <w:rsid w:val="00357497"/>
    <w:rsid w:val="00361941"/>
    <w:rsid w:val="00363EB7"/>
    <w:rsid w:val="00364946"/>
    <w:rsid w:val="003672CC"/>
    <w:rsid w:val="00367319"/>
    <w:rsid w:val="00367452"/>
    <w:rsid w:val="003718A5"/>
    <w:rsid w:val="0037378E"/>
    <w:rsid w:val="0037427A"/>
    <w:rsid w:val="00374766"/>
    <w:rsid w:val="0037576B"/>
    <w:rsid w:val="00377181"/>
    <w:rsid w:val="0037739B"/>
    <w:rsid w:val="00382923"/>
    <w:rsid w:val="003834BC"/>
    <w:rsid w:val="00383C66"/>
    <w:rsid w:val="00385768"/>
    <w:rsid w:val="00385E0F"/>
    <w:rsid w:val="00385E29"/>
    <w:rsid w:val="00386D13"/>
    <w:rsid w:val="003913CE"/>
    <w:rsid w:val="00391823"/>
    <w:rsid w:val="003935C4"/>
    <w:rsid w:val="0039668C"/>
    <w:rsid w:val="00396925"/>
    <w:rsid w:val="00397364"/>
    <w:rsid w:val="003A15B0"/>
    <w:rsid w:val="003A2E59"/>
    <w:rsid w:val="003A3E45"/>
    <w:rsid w:val="003A71B7"/>
    <w:rsid w:val="003A7F39"/>
    <w:rsid w:val="003B28A4"/>
    <w:rsid w:val="003B294E"/>
    <w:rsid w:val="003B3F86"/>
    <w:rsid w:val="003B4E6F"/>
    <w:rsid w:val="003B585B"/>
    <w:rsid w:val="003B7ECB"/>
    <w:rsid w:val="003C02BF"/>
    <w:rsid w:val="003C04C2"/>
    <w:rsid w:val="003C1B1A"/>
    <w:rsid w:val="003C59E4"/>
    <w:rsid w:val="003C625E"/>
    <w:rsid w:val="003C75E2"/>
    <w:rsid w:val="003D1216"/>
    <w:rsid w:val="003D23EE"/>
    <w:rsid w:val="003F046B"/>
    <w:rsid w:val="003F06F1"/>
    <w:rsid w:val="003F170E"/>
    <w:rsid w:val="003F1CF0"/>
    <w:rsid w:val="003F229D"/>
    <w:rsid w:val="003F31C4"/>
    <w:rsid w:val="003F341F"/>
    <w:rsid w:val="003F5D05"/>
    <w:rsid w:val="003F6D77"/>
    <w:rsid w:val="0040212A"/>
    <w:rsid w:val="00402149"/>
    <w:rsid w:val="00402A60"/>
    <w:rsid w:val="0040302E"/>
    <w:rsid w:val="00403FF2"/>
    <w:rsid w:val="00407F7B"/>
    <w:rsid w:val="00410BBA"/>
    <w:rsid w:val="00411FE7"/>
    <w:rsid w:val="00412C15"/>
    <w:rsid w:val="00413834"/>
    <w:rsid w:val="00416DBD"/>
    <w:rsid w:val="00421665"/>
    <w:rsid w:val="00421CBF"/>
    <w:rsid w:val="004233B9"/>
    <w:rsid w:val="0042575E"/>
    <w:rsid w:val="0042602C"/>
    <w:rsid w:val="00440BCD"/>
    <w:rsid w:val="00441BB9"/>
    <w:rsid w:val="00444A1F"/>
    <w:rsid w:val="00444C19"/>
    <w:rsid w:val="00444DF2"/>
    <w:rsid w:val="00445A9F"/>
    <w:rsid w:val="00446304"/>
    <w:rsid w:val="00450704"/>
    <w:rsid w:val="00450B67"/>
    <w:rsid w:val="004510C3"/>
    <w:rsid w:val="004567A3"/>
    <w:rsid w:val="00457B25"/>
    <w:rsid w:val="00457BE0"/>
    <w:rsid w:val="00457CB3"/>
    <w:rsid w:val="00467532"/>
    <w:rsid w:val="00470CA6"/>
    <w:rsid w:val="00471F17"/>
    <w:rsid w:val="004734AB"/>
    <w:rsid w:val="00473725"/>
    <w:rsid w:val="00476796"/>
    <w:rsid w:val="004775FD"/>
    <w:rsid w:val="004824A0"/>
    <w:rsid w:val="004826C2"/>
    <w:rsid w:val="00487565"/>
    <w:rsid w:val="00490748"/>
    <w:rsid w:val="00492899"/>
    <w:rsid w:val="00493367"/>
    <w:rsid w:val="00494184"/>
    <w:rsid w:val="00495020"/>
    <w:rsid w:val="00496142"/>
    <w:rsid w:val="00496BFF"/>
    <w:rsid w:val="00496DDC"/>
    <w:rsid w:val="004A3206"/>
    <w:rsid w:val="004A3A1A"/>
    <w:rsid w:val="004A3AF4"/>
    <w:rsid w:val="004A48B3"/>
    <w:rsid w:val="004A6A7D"/>
    <w:rsid w:val="004B15BD"/>
    <w:rsid w:val="004B19AB"/>
    <w:rsid w:val="004B219F"/>
    <w:rsid w:val="004B30C5"/>
    <w:rsid w:val="004B346E"/>
    <w:rsid w:val="004B3788"/>
    <w:rsid w:val="004B40A0"/>
    <w:rsid w:val="004B47F3"/>
    <w:rsid w:val="004B4EB9"/>
    <w:rsid w:val="004B6E0C"/>
    <w:rsid w:val="004C1378"/>
    <w:rsid w:val="004C19DE"/>
    <w:rsid w:val="004C3D3F"/>
    <w:rsid w:val="004C4A31"/>
    <w:rsid w:val="004C5C70"/>
    <w:rsid w:val="004D1183"/>
    <w:rsid w:val="004D25D8"/>
    <w:rsid w:val="004D3A74"/>
    <w:rsid w:val="004D68F9"/>
    <w:rsid w:val="004E0A24"/>
    <w:rsid w:val="004E23CD"/>
    <w:rsid w:val="004E2601"/>
    <w:rsid w:val="004E3F63"/>
    <w:rsid w:val="004E4DFE"/>
    <w:rsid w:val="004E5E64"/>
    <w:rsid w:val="004E603E"/>
    <w:rsid w:val="004E6150"/>
    <w:rsid w:val="004F2719"/>
    <w:rsid w:val="004F4BC4"/>
    <w:rsid w:val="004F73CF"/>
    <w:rsid w:val="004F796E"/>
    <w:rsid w:val="0050390E"/>
    <w:rsid w:val="00503E50"/>
    <w:rsid w:val="0050745F"/>
    <w:rsid w:val="00510A43"/>
    <w:rsid w:val="00511229"/>
    <w:rsid w:val="00512355"/>
    <w:rsid w:val="005132AB"/>
    <w:rsid w:val="00522484"/>
    <w:rsid w:val="005245E8"/>
    <w:rsid w:val="00526287"/>
    <w:rsid w:val="00526743"/>
    <w:rsid w:val="0052753A"/>
    <w:rsid w:val="00527677"/>
    <w:rsid w:val="00530180"/>
    <w:rsid w:val="005303EE"/>
    <w:rsid w:val="0053235E"/>
    <w:rsid w:val="00533A1C"/>
    <w:rsid w:val="00534020"/>
    <w:rsid w:val="00534817"/>
    <w:rsid w:val="005362A1"/>
    <w:rsid w:val="00542D61"/>
    <w:rsid w:val="00546FBF"/>
    <w:rsid w:val="0055106C"/>
    <w:rsid w:val="00555206"/>
    <w:rsid w:val="005563F2"/>
    <w:rsid w:val="005571CD"/>
    <w:rsid w:val="00557DE9"/>
    <w:rsid w:val="005607D0"/>
    <w:rsid w:val="00565045"/>
    <w:rsid w:val="0056535C"/>
    <w:rsid w:val="00572BAF"/>
    <w:rsid w:val="00573684"/>
    <w:rsid w:val="00575C1F"/>
    <w:rsid w:val="00581A88"/>
    <w:rsid w:val="0058323E"/>
    <w:rsid w:val="0058378E"/>
    <w:rsid w:val="00584522"/>
    <w:rsid w:val="00584E8B"/>
    <w:rsid w:val="00591022"/>
    <w:rsid w:val="00591511"/>
    <w:rsid w:val="00591E87"/>
    <w:rsid w:val="00592314"/>
    <w:rsid w:val="00592CD3"/>
    <w:rsid w:val="00592D28"/>
    <w:rsid w:val="00593E57"/>
    <w:rsid w:val="00594299"/>
    <w:rsid w:val="00596B3B"/>
    <w:rsid w:val="00596FE3"/>
    <w:rsid w:val="005A3407"/>
    <w:rsid w:val="005A75FB"/>
    <w:rsid w:val="005B17F2"/>
    <w:rsid w:val="005B1B33"/>
    <w:rsid w:val="005C1321"/>
    <w:rsid w:val="005C3B55"/>
    <w:rsid w:val="005C424D"/>
    <w:rsid w:val="005C4B9A"/>
    <w:rsid w:val="005C58A6"/>
    <w:rsid w:val="005D070D"/>
    <w:rsid w:val="005D07C4"/>
    <w:rsid w:val="005D37EA"/>
    <w:rsid w:val="005D4302"/>
    <w:rsid w:val="005E18FF"/>
    <w:rsid w:val="005E303B"/>
    <w:rsid w:val="005E3E4B"/>
    <w:rsid w:val="005E400E"/>
    <w:rsid w:val="005E547D"/>
    <w:rsid w:val="005E6E30"/>
    <w:rsid w:val="005F01DF"/>
    <w:rsid w:val="005F0294"/>
    <w:rsid w:val="005F4BA1"/>
    <w:rsid w:val="00601CEE"/>
    <w:rsid w:val="00602012"/>
    <w:rsid w:val="00605B13"/>
    <w:rsid w:val="006075D8"/>
    <w:rsid w:val="00611CF5"/>
    <w:rsid w:val="00614E07"/>
    <w:rsid w:val="00616F92"/>
    <w:rsid w:val="00617256"/>
    <w:rsid w:val="00617385"/>
    <w:rsid w:val="00622C59"/>
    <w:rsid w:val="00622ED7"/>
    <w:rsid w:val="00627782"/>
    <w:rsid w:val="006279C2"/>
    <w:rsid w:val="0063269D"/>
    <w:rsid w:val="00634C6B"/>
    <w:rsid w:val="00635F15"/>
    <w:rsid w:val="0064134F"/>
    <w:rsid w:val="00642FEA"/>
    <w:rsid w:val="006450EB"/>
    <w:rsid w:val="00650B07"/>
    <w:rsid w:val="0065148A"/>
    <w:rsid w:val="00652B30"/>
    <w:rsid w:val="006531B6"/>
    <w:rsid w:val="006538B5"/>
    <w:rsid w:val="006546CE"/>
    <w:rsid w:val="00654C5D"/>
    <w:rsid w:val="00660640"/>
    <w:rsid w:val="00661734"/>
    <w:rsid w:val="00664821"/>
    <w:rsid w:val="00666135"/>
    <w:rsid w:val="00666C39"/>
    <w:rsid w:val="00666FB8"/>
    <w:rsid w:val="006707FB"/>
    <w:rsid w:val="006710DE"/>
    <w:rsid w:val="00671C5E"/>
    <w:rsid w:val="006739F3"/>
    <w:rsid w:val="00675C96"/>
    <w:rsid w:val="0068025E"/>
    <w:rsid w:val="006806EA"/>
    <w:rsid w:val="00681452"/>
    <w:rsid w:val="0068709A"/>
    <w:rsid w:val="00691EB2"/>
    <w:rsid w:val="006932A2"/>
    <w:rsid w:val="006933B4"/>
    <w:rsid w:val="006960E7"/>
    <w:rsid w:val="00697D4C"/>
    <w:rsid w:val="006A0069"/>
    <w:rsid w:val="006A0D4C"/>
    <w:rsid w:val="006A466A"/>
    <w:rsid w:val="006A57FE"/>
    <w:rsid w:val="006A7DC0"/>
    <w:rsid w:val="006B0695"/>
    <w:rsid w:val="006B1151"/>
    <w:rsid w:val="006B2243"/>
    <w:rsid w:val="006B66B4"/>
    <w:rsid w:val="006C0BCA"/>
    <w:rsid w:val="006C134D"/>
    <w:rsid w:val="006C154C"/>
    <w:rsid w:val="006C1EDD"/>
    <w:rsid w:val="006C2B28"/>
    <w:rsid w:val="006C2C00"/>
    <w:rsid w:val="006C2E32"/>
    <w:rsid w:val="006C4279"/>
    <w:rsid w:val="006C60AF"/>
    <w:rsid w:val="006C7E5E"/>
    <w:rsid w:val="006D3E92"/>
    <w:rsid w:val="006D6E64"/>
    <w:rsid w:val="006D7C94"/>
    <w:rsid w:val="006E1E1B"/>
    <w:rsid w:val="006E6ACA"/>
    <w:rsid w:val="006E70A6"/>
    <w:rsid w:val="006E7700"/>
    <w:rsid w:val="006F0ABE"/>
    <w:rsid w:val="00700464"/>
    <w:rsid w:val="00704E55"/>
    <w:rsid w:val="0070604C"/>
    <w:rsid w:val="00710B4E"/>
    <w:rsid w:val="00712F98"/>
    <w:rsid w:val="00723895"/>
    <w:rsid w:val="00726841"/>
    <w:rsid w:val="007302E2"/>
    <w:rsid w:val="00731513"/>
    <w:rsid w:val="00732ADF"/>
    <w:rsid w:val="0073395E"/>
    <w:rsid w:val="00733BC2"/>
    <w:rsid w:val="00734E4F"/>
    <w:rsid w:val="00736008"/>
    <w:rsid w:val="00740B80"/>
    <w:rsid w:val="00741AD5"/>
    <w:rsid w:val="007450A8"/>
    <w:rsid w:val="0074718D"/>
    <w:rsid w:val="0075391F"/>
    <w:rsid w:val="00753FB7"/>
    <w:rsid w:val="007555F9"/>
    <w:rsid w:val="00756851"/>
    <w:rsid w:val="00757818"/>
    <w:rsid w:val="00757B33"/>
    <w:rsid w:val="00757D19"/>
    <w:rsid w:val="00760AB6"/>
    <w:rsid w:val="00760AE9"/>
    <w:rsid w:val="00760DCB"/>
    <w:rsid w:val="0076185D"/>
    <w:rsid w:val="0076527F"/>
    <w:rsid w:val="00767675"/>
    <w:rsid w:val="0077241A"/>
    <w:rsid w:val="0077519F"/>
    <w:rsid w:val="00775A60"/>
    <w:rsid w:val="00782B53"/>
    <w:rsid w:val="00783F29"/>
    <w:rsid w:val="00783FCD"/>
    <w:rsid w:val="007840D1"/>
    <w:rsid w:val="007848D6"/>
    <w:rsid w:val="007861EC"/>
    <w:rsid w:val="00786763"/>
    <w:rsid w:val="007877E5"/>
    <w:rsid w:val="00794006"/>
    <w:rsid w:val="00796D9C"/>
    <w:rsid w:val="00797E9A"/>
    <w:rsid w:val="007A0928"/>
    <w:rsid w:val="007A11A7"/>
    <w:rsid w:val="007A2C45"/>
    <w:rsid w:val="007A3CAE"/>
    <w:rsid w:val="007A47E0"/>
    <w:rsid w:val="007B182C"/>
    <w:rsid w:val="007B1B98"/>
    <w:rsid w:val="007B22FB"/>
    <w:rsid w:val="007B60D4"/>
    <w:rsid w:val="007B6483"/>
    <w:rsid w:val="007B6704"/>
    <w:rsid w:val="007C246F"/>
    <w:rsid w:val="007C3561"/>
    <w:rsid w:val="007C3FD9"/>
    <w:rsid w:val="007C44BD"/>
    <w:rsid w:val="007C4C93"/>
    <w:rsid w:val="007C55E1"/>
    <w:rsid w:val="007C7245"/>
    <w:rsid w:val="007C7A6C"/>
    <w:rsid w:val="007C7D53"/>
    <w:rsid w:val="007D1D53"/>
    <w:rsid w:val="007D3F00"/>
    <w:rsid w:val="007D4CFB"/>
    <w:rsid w:val="007D6034"/>
    <w:rsid w:val="007E022D"/>
    <w:rsid w:val="007E07C5"/>
    <w:rsid w:val="007E0947"/>
    <w:rsid w:val="007E18BD"/>
    <w:rsid w:val="007E3816"/>
    <w:rsid w:val="007E4571"/>
    <w:rsid w:val="007E6813"/>
    <w:rsid w:val="007E79E2"/>
    <w:rsid w:val="007E7C3C"/>
    <w:rsid w:val="007E7DA8"/>
    <w:rsid w:val="007F06D9"/>
    <w:rsid w:val="007F46E4"/>
    <w:rsid w:val="007F5312"/>
    <w:rsid w:val="007F5C62"/>
    <w:rsid w:val="00800FB9"/>
    <w:rsid w:val="008019A3"/>
    <w:rsid w:val="0080300E"/>
    <w:rsid w:val="00804614"/>
    <w:rsid w:val="00805D7E"/>
    <w:rsid w:val="00807252"/>
    <w:rsid w:val="008116E9"/>
    <w:rsid w:val="00813AFA"/>
    <w:rsid w:val="00814CC4"/>
    <w:rsid w:val="00815B66"/>
    <w:rsid w:val="00816A63"/>
    <w:rsid w:val="00822371"/>
    <w:rsid w:val="008239A4"/>
    <w:rsid w:val="00823DE3"/>
    <w:rsid w:val="00825687"/>
    <w:rsid w:val="0082735F"/>
    <w:rsid w:val="0082750C"/>
    <w:rsid w:val="00830DC9"/>
    <w:rsid w:val="00831AD6"/>
    <w:rsid w:val="008328F8"/>
    <w:rsid w:val="00832A87"/>
    <w:rsid w:val="0083402D"/>
    <w:rsid w:val="00834AE9"/>
    <w:rsid w:val="0084379B"/>
    <w:rsid w:val="00846FA6"/>
    <w:rsid w:val="0085017B"/>
    <w:rsid w:val="00853B75"/>
    <w:rsid w:val="00853E7A"/>
    <w:rsid w:val="00854DA2"/>
    <w:rsid w:val="00862938"/>
    <w:rsid w:val="00866209"/>
    <w:rsid w:val="0086776B"/>
    <w:rsid w:val="008724E0"/>
    <w:rsid w:val="00875551"/>
    <w:rsid w:val="008759E1"/>
    <w:rsid w:val="00881800"/>
    <w:rsid w:val="008828FE"/>
    <w:rsid w:val="008839AE"/>
    <w:rsid w:val="00886A04"/>
    <w:rsid w:val="0088777C"/>
    <w:rsid w:val="00891B06"/>
    <w:rsid w:val="0089284F"/>
    <w:rsid w:val="00897564"/>
    <w:rsid w:val="008A1590"/>
    <w:rsid w:val="008A20FE"/>
    <w:rsid w:val="008A267C"/>
    <w:rsid w:val="008A32BF"/>
    <w:rsid w:val="008A33C3"/>
    <w:rsid w:val="008A3B48"/>
    <w:rsid w:val="008A745C"/>
    <w:rsid w:val="008A7909"/>
    <w:rsid w:val="008B5737"/>
    <w:rsid w:val="008B6CBE"/>
    <w:rsid w:val="008B759E"/>
    <w:rsid w:val="008C14BF"/>
    <w:rsid w:val="008C1737"/>
    <w:rsid w:val="008C212A"/>
    <w:rsid w:val="008C4598"/>
    <w:rsid w:val="008C4FAB"/>
    <w:rsid w:val="008C75B2"/>
    <w:rsid w:val="008D0AB4"/>
    <w:rsid w:val="008D34DF"/>
    <w:rsid w:val="008D57B3"/>
    <w:rsid w:val="008E07A9"/>
    <w:rsid w:val="008E1996"/>
    <w:rsid w:val="008E1CE5"/>
    <w:rsid w:val="008E1F71"/>
    <w:rsid w:val="008E27A6"/>
    <w:rsid w:val="008E4090"/>
    <w:rsid w:val="008E40C7"/>
    <w:rsid w:val="008E5E18"/>
    <w:rsid w:val="008E626A"/>
    <w:rsid w:val="008F5539"/>
    <w:rsid w:val="008F6C06"/>
    <w:rsid w:val="008F70E2"/>
    <w:rsid w:val="00904FAB"/>
    <w:rsid w:val="00906877"/>
    <w:rsid w:val="00906F29"/>
    <w:rsid w:val="009078B3"/>
    <w:rsid w:val="00912253"/>
    <w:rsid w:val="00912BD2"/>
    <w:rsid w:val="00913C63"/>
    <w:rsid w:val="00920684"/>
    <w:rsid w:val="00920A11"/>
    <w:rsid w:val="0092151E"/>
    <w:rsid w:val="00921D95"/>
    <w:rsid w:val="009229F6"/>
    <w:rsid w:val="0092426F"/>
    <w:rsid w:val="00924767"/>
    <w:rsid w:val="00925C03"/>
    <w:rsid w:val="00935669"/>
    <w:rsid w:val="00935D62"/>
    <w:rsid w:val="00936E4F"/>
    <w:rsid w:val="009373DE"/>
    <w:rsid w:val="00941925"/>
    <w:rsid w:val="00942E76"/>
    <w:rsid w:val="009435FB"/>
    <w:rsid w:val="00943D76"/>
    <w:rsid w:val="00945370"/>
    <w:rsid w:val="009463C1"/>
    <w:rsid w:val="009478A1"/>
    <w:rsid w:val="00947F0E"/>
    <w:rsid w:val="0095190C"/>
    <w:rsid w:val="00955FFB"/>
    <w:rsid w:val="00956CDB"/>
    <w:rsid w:val="00956D6A"/>
    <w:rsid w:val="00957EB9"/>
    <w:rsid w:val="00960890"/>
    <w:rsid w:val="00960DBA"/>
    <w:rsid w:val="00960E06"/>
    <w:rsid w:val="00962B9F"/>
    <w:rsid w:val="009639AA"/>
    <w:rsid w:val="00964584"/>
    <w:rsid w:val="00964A97"/>
    <w:rsid w:val="0097030E"/>
    <w:rsid w:val="00970B0D"/>
    <w:rsid w:val="00970C1C"/>
    <w:rsid w:val="00973211"/>
    <w:rsid w:val="00974001"/>
    <w:rsid w:val="00974E9C"/>
    <w:rsid w:val="009752C2"/>
    <w:rsid w:val="00977A92"/>
    <w:rsid w:val="009806C4"/>
    <w:rsid w:val="00984AA2"/>
    <w:rsid w:val="00985A7E"/>
    <w:rsid w:val="0099118F"/>
    <w:rsid w:val="00991D55"/>
    <w:rsid w:val="00993FB4"/>
    <w:rsid w:val="009951F2"/>
    <w:rsid w:val="009A035F"/>
    <w:rsid w:val="009A593E"/>
    <w:rsid w:val="009A76EA"/>
    <w:rsid w:val="009A7C30"/>
    <w:rsid w:val="009B2DB6"/>
    <w:rsid w:val="009B41E1"/>
    <w:rsid w:val="009B7139"/>
    <w:rsid w:val="009C390C"/>
    <w:rsid w:val="009C5952"/>
    <w:rsid w:val="009C7FF3"/>
    <w:rsid w:val="009D07DF"/>
    <w:rsid w:val="009D0918"/>
    <w:rsid w:val="009D2498"/>
    <w:rsid w:val="009D34EB"/>
    <w:rsid w:val="009D5187"/>
    <w:rsid w:val="009D6154"/>
    <w:rsid w:val="009D714B"/>
    <w:rsid w:val="009E2709"/>
    <w:rsid w:val="009E6D7A"/>
    <w:rsid w:val="009E7AA7"/>
    <w:rsid w:val="009F3880"/>
    <w:rsid w:val="009F42C9"/>
    <w:rsid w:val="009F4874"/>
    <w:rsid w:val="009F55E2"/>
    <w:rsid w:val="009F6C49"/>
    <w:rsid w:val="00A01745"/>
    <w:rsid w:val="00A0225C"/>
    <w:rsid w:val="00A0255E"/>
    <w:rsid w:val="00A02C27"/>
    <w:rsid w:val="00A02D35"/>
    <w:rsid w:val="00A04443"/>
    <w:rsid w:val="00A04A31"/>
    <w:rsid w:val="00A070D1"/>
    <w:rsid w:val="00A10EAF"/>
    <w:rsid w:val="00A11877"/>
    <w:rsid w:val="00A12471"/>
    <w:rsid w:val="00A13741"/>
    <w:rsid w:val="00A13E6A"/>
    <w:rsid w:val="00A14B1D"/>
    <w:rsid w:val="00A16151"/>
    <w:rsid w:val="00A16698"/>
    <w:rsid w:val="00A23ABD"/>
    <w:rsid w:val="00A23EF8"/>
    <w:rsid w:val="00A25EFD"/>
    <w:rsid w:val="00A25F04"/>
    <w:rsid w:val="00A27C57"/>
    <w:rsid w:val="00A30826"/>
    <w:rsid w:val="00A30A2E"/>
    <w:rsid w:val="00A30EA5"/>
    <w:rsid w:val="00A328B3"/>
    <w:rsid w:val="00A33886"/>
    <w:rsid w:val="00A34DD4"/>
    <w:rsid w:val="00A35F86"/>
    <w:rsid w:val="00A37FCE"/>
    <w:rsid w:val="00A42409"/>
    <w:rsid w:val="00A4494E"/>
    <w:rsid w:val="00A462BC"/>
    <w:rsid w:val="00A463F0"/>
    <w:rsid w:val="00A46B66"/>
    <w:rsid w:val="00A47D15"/>
    <w:rsid w:val="00A53B63"/>
    <w:rsid w:val="00A57039"/>
    <w:rsid w:val="00A579B8"/>
    <w:rsid w:val="00A604AE"/>
    <w:rsid w:val="00A61AAD"/>
    <w:rsid w:val="00A63B63"/>
    <w:rsid w:val="00A6433F"/>
    <w:rsid w:val="00A64743"/>
    <w:rsid w:val="00A656E5"/>
    <w:rsid w:val="00A65D7C"/>
    <w:rsid w:val="00A6672C"/>
    <w:rsid w:val="00A67D22"/>
    <w:rsid w:val="00A70B63"/>
    <w:rsid w:val="00A74E7A"/>
    <w:rsid w:val="00A7592D"/>
    <w:rsid w:val="00A76D70"/>
    <w:rsid w:val="00A80C44"/>
    <w:rsid w:val="00A81841"/>
    <w:rsid w:val="00A865DE"/>
    <w:rsid w:val="00A9314D"/>
    <w:rsid w:val="00A936AB"/>
    <w:rsid w:val="00A93BDF"/>
    <w:rsid w:val="00A93F6E"/>
    <w:rsid w:val="00A9718C"/>
    <w:rsid w:val="00AA0D04"/>
    <w:rsid w:val="00AA224C"/>
    <w:rsid w:val="00AA24B4"/>
    <w:rsid w:val="00AA4C88"/>
    <w:rsid w:val="00AA6DBA"/>
    <w:rsid w:val="00AB1F46"/>
    <w:rsid w:val="00AB4CE5"/>
    <w:rsid w:val="00AC0D8E"/>
    <w:rsid w:val="00AC12F6"/>
    <w:rsid w:val="00AC154E"/>
    <w:rsid w:val="00AC1E95"/>
    <w:rsid w:val="00AC40F9"/>
    <w:rsid w:val="00AC457C"/>
    <w:rsid w:val="00AC498B"/>
    <w:rsid w:val="00AC521B"/>
    <w:rsid w:val="00AC6A81"/>
    <w:rsid w:val="00AD0412"/>
    <w:rsid w:val="00AD1260"/>
    <w:rsid w:val="00AD2A32"/>
    <w:rsid w:val="00AD4F7A"/>
    <w:rsid w:val="00AD6D6D"/>
    <w:rsid w:val="00AD766D"/>
    <w:rsid w:val="00AD7A76"/>
    <w:rsid w:val="00AE0ED5"/>
    <w:rsid w:val="00AE1320"/>
    <w:rsid w:val="00AE2AA0"/>
    <w:rsid w:val="00AE2BC3"/>
    <w:rsid w:val="00AE40FB"/>
    <w:rsid w:val="00AE4B44"/>
    <w:rsid w:val="00AE7C6D"/>
    <w:rsid w:val="00AF16FB"/>
    <w:rsid w:val="00AF172F"/>
    <w:rsid w:val="00AF2B5A"/>
    <w:rsid w:val="00AF2FD4"/>
    <w:rsid w:val="00AF3650"/>
    <w:rsid w:val="00AF3651"/>
    <w:rsid w:val="00AF4B72"/>
    <w:rsid w:val="00AF5F24"/>
    <w:rsid w:val="00AF6596"/>
    <w:rsid w:val="00B00DEF"/>
    <w:rsid w:val="00B01549"/>
    <w:rsid w:val="00B02A74"/>
    <w:rsid w:val="00B05300"/>
    <w:rsid w:val="00B054B6"/>
    <w:rsid w:val="00B05A43"/>
    <w:rsid w:val="00B1442F"/>
    <w:rsid w:val="00B147A7"/>
    <w:rsid w:val="00B14A7E"/>
    <w:rsid w:val="00B171D5"/>
    <w:rsid w:val="00B1726B"/>
    <w:rsid w:val="00B21030"/>
    <w:rsid w:val="00B25425"/>
    <w:rsid w:val="00B26DBB"/>
    <w:rsid w:val="00B302AB"/>
    <w:rsid w:val="00B3045C"/>
    <w:rsid w:val="00B32DC9"/>
    <w:rsid w:val="00B3315D"/>
    <w:rsid w:val="00B332D1"/>
    <w:rsid w:val="00B35AAA"/>
    <w:rsid w:val="00B35AFA"/>
    <w:rsid w:val="00B35BE1"/>
    <w:rsid w:val="00B35E1E"/>
    <w:rsid w:val="00B3788E"/>
    <w:rsid w:val="00B41A9C"/>
    <w:rsid w:val="00B42A27"/>
    <w:rsid w:val="00B4315B"/>
    <w:rsid w:val="00B43440"/>
    <w:rsid w:val="00B52973"/>
    <w:rsid w:val="00B53061"/>
    <w:rsid w:val="00B56E6A"/>
    <w:rsid w:val="00B60954"/>
    <w:rsid w:val="00B65444"/>
    <w:rsid w:val="00B66604"/>
    <w:rsid w:val="00B71ADA"/>
    <w:rsid w:val="00B742B2"/>
    <w:rsid w:val="00B7495A"/>
    <w:rsid w:val="00B7591E"/>
    <w:rsid w:val="00B766E1"/>
    <w:rsid w:val="00B776A6"/>
    <w:rsid w:val="00B847A8"/>
    <w:rsid w:val="00B87EB2"/>
    <w:rsid w:val="00B9240E"/>
    <w:rsid w:val="00B95169"/>
    <w:rsid w:val="00BA742E"/>
    <w:rsid w:val="00BB2659"/>
    <w:rsid w:val="00BB2E7A"/>
    <w:rsid w:val="00BB300F"/>
    <w:rsid w:val="00BB67AD"/>
    <w:rsid w:val="00BB7F93"/>
    <w:rsid w:val="00BB7FF4"/>
    <w:rsid w:val="00BC1324"/>
    <w:rsid w:val="00BC3A75"/>
    <w:rsid w:val="00BC61B7"/>
    <w:rsid w:val="00BD0912"/>
    <w:rsid w:val="00BD2773"/>
    <w:rsid w:val="00BD3551"/>
    <w:rsid w:val="00BD3AC3"/>
    <w:rsid w:val="00BD4A10"/>
    <w:rsid w:val="00BD54B0"/>
    <w:rsid w:val="00BD5EAB"/>
    <w:rsid w:val="00BD5F69"/>
    <w:rsid w:val="00BD7B4D"/>
    <w:rsid w:val="00BE07FC"/>
    <w:rsid w:val="00BE0DD0"/>
    <w:rsid w:val="00BE0E6B"/>
    <w:rsid w:val="00BE16FE"/>
    <w:rsid w:val="00BE1CBB"/>
    <w:rsid w:val="00BE32E3"/>
    <w:rsid w:val="00BE402C"/>
    <w:rsid w:val="00BE4D1E"/>
    <w:rsid w:val="00BE4FFC"/>
    <w:rsid w:val="00BE55C7"/>
    <w:rsid w:val="00BF3A02"/>
    <w:rsid w:val="00BF3E3F"/>
    <w:rsid w:val="00BF48DB"/>
    <w:rsid w:val="00BF676D"/>
    <w:rsid w:val="00BF6972"/>
    <w:rsid w:val="00BF69BF"/>
    <w:rsid w:val="00C00EB1"/>
    <w:rsid w:val="00C0102E"/>
    <w:rsid w:val="00C079AC"/>
    <w:rsid w:val="00C07C67"/>
    <w:rsid w:val="00C10CA3"/>
    <w:rsid w:val="00C129F5"/>
    <w:rsid w:val="00C13445"/>
    <w:rsid w:val="00C15824"/>
    <w:rsid w:val="00C173FE"/>
    <w:rsid w:val="00C20C0B"/>
    <w:rsid w:val="00C20ECF"/>
    <w:rsid w:val="00C221B3"/>
    <w:rsid w:val="00C2356A"/>
    <w:rsid w:val="00C23CB2"/>
    <w:rsid w:val="00C26827"/>
    <w:rsid w:val="00C3351B"/>
    <w:rsid w:val="00C33B88"/>
    <w:rsid w:val="00C35703"/>
    <w:rsid w:val="00C36B5E"/>
    <w:rsid w:val="00C40434"/>
    <w:rsid w:val="00C40F9A"/>
    <w:rsid w:val="00C44437"/>
    <w:rsid w:val="00C44FA3"/>
    <w:rsid w:val="00C479CC"/>
    <w:rsid w:val="00C50474"/>
    <w:rsid w:val="00C53C56"/>
    <w:rsid w:val="00C5488D"/>
    <w:rsid w:val="00C55BF0"/>
    <w:rsid w:val="00C56495"/>
    <w:rsid w:val="00C56743"/>
    <w:rsid w:val="00C56A62"/>
    <w:rsid w:val="00C571F9"/>
    <w:rsid w:val="00C575FB"/>
    <w:rsid w:val="00C60358"/>
    <w:rsid w:val="00C632B9"/>
    <w:rsid w:val="00C67482"/>
    <w:rsid w:val="00C7023B"/>
    <w:rsid w:val="00C71869"/>
    <w:rsid w:val="00C72E3E"/>
    <w:rsid w:val="00C734CC"/>
    <w:rsid w:val="00C75660"/>
    <w:rsid w:val="00C77708"/>
    <w:rsid w:val="00C8383B"/>
    <w:rsid w:val="00C845D8"/>
    <w:rsid w:val="00C84E0C"/>
    <w:rsid w:val="00C85055"/>
    <w:rsid w:val="00C86399"/>
    <w:rsid w:val="00C919D6"/>
    <w:rsid w:val="00C97A75"/>
    <w:rsid w:val="00CA03A9"/>
    <w:rsid w:val="00CA3023"/>
    <w:rsid w:val="00CA336F"/>
    <w:rsid w:val="00CA38E8"/>
    <w:rsid w:val="00CA7238"/>
    <w:rsid w:val="00CA7F32"/>
    <w:rsid w:val="00CB0D16"/>
    <w:rsid w:val="00CB137C"/>
    <w:rsid w:val="00CB23EA"/>
    <w:rsid w:val="00CB2E1D"/>
    <w:rsid w:val="00CB4F74"/>
    <w:rsid w:val="00CB5191"/>
    <w:rsid w:val="00CC19AA"/>
    <w:rsid w:val="00CC20AB"/>
    <w:rsid w:val="00CC240F"/>
    <w:rsid w:val="00CC2DE2"/>
    <w:rsid w:val="00CC342B"/>
    <w:rsid w:val="00CC398E"/>
    <w:rsid w:val="00CD005B"/>
    <w:rsid w:val="00CD0630"/>
    <w:rsid w:val="00CD0A02"/>
    <w:rsid w:val="00CD293D"/>
    <w:rsid w:val="00CD4734"/>
    <w:rsid w:val="00CD47F7"/>
    <w:rsid w:val="00CD6EAB"/>
    <w:rsid w:val="00CD7A60"/>
    <w:rsid w:val="00CE0A01"/>
    <w:rsid w:val="00CE41F1"/>
    <w:rsid w:val="00CE447C"/>
    <w:rsid w:val="00CE7199"/>
    <w:rsid w:val="00CE78BF"/>
    <w:rsid w:val="00CF2114"/>
    <w:rsid w:val="00CF2E4A"/>
    <w:rsid w:val="00CF33EE"/>
    <w:rsid w:val="00CF4082"/>
    <w:rsid w:val="00CF7A39"/>
    <w:rsid w:val="00D0065C"/>
    <w:rsid w:val="00D01795"/>
    <w:rsid w:val="00D02C01"/>
    <w:rsid w:val="00D0356F"/>
    <w:rsid w:val="00D1178B"/>
    <w:rsid w:val="00D11B53"/>
    <w:rsid w:val="00D12D5D"/>
    <w:rsid w:val="00D12E0C"/>
    <w:rsid w:val="00D14450"/>
    <w:rsid w:val="00D16CD5"/>
    <w:rsid w:val="00D20BDC"/>
    <w:rsid w:val="00D248D6"/>
    <w:rsid w:val="00D26B54"/>
    <w:rsid w:val="00D26CFE"/>
    <w:rsid w:val="00D27252"/>
    <w:rsid w:val="00D305E9"/>
    <w:rsid w:val="00D327F6"/>
    <w:rsid w:val="00D3407B"/>
    <w:rsid w:val="00D34A1D"/>
    <w:rsid w:val="00D356F8"/>
    <w:rsid w:val="00D35BE1"/>
    <w:rsid w:val="00D37F1E"/>
    <w:rsid w:val="00D415A8"/>
    <w:rsid w:val="00D45DD5"/>
    <w:rsid w:val="00D46E00"/>
    <w:rsid w:val="00D4769C"/>
    <w:rsid w:val="00D47AF9"/>
    <w:rsid w:val="00D52045"/>
    <w:rsid w:val="00D54437"/>
    <w:rsid w:val="00D55872"/>
    <w:rsid w:val="00D646B8"/>
    <w:rsid w:val="00D66036"/>
    <w:rsid w:val="00D67984"/>
    <w:rsid w:val="00D70137"/>
    <w:rsid w:val="00D714E8"/>
    <w:rsid w:val="00D71F81"/>
    <w:rsid w:val="00D76E66"/>
    <w:rsid w:val="00D817F7"/>
    <w:rsid w:val="00D84E6A"/>
    <w:rsid w:val="00D90199"/>
    <w:rsid w:val="00D90FC2"/>
    <w:rsid w:val="00D92C6A"/>
    <w:rsid w:val="00D93EAE"/>
    <w:rsid w:val="00D960E6"/>
    <w:rsid w:val="00DA0B29"/>
    <w:rsid w:val="00DA0DCF"/>
    <w:rsid w:val="00DA3033"/>
    <w:rsid w:val="00DA35AD"/>
    <w:rsid w:val="00DA39C3"/>
    <w:rsid w:val="00DA61E5"/>
    <w:rsid w:val="00DA69B5"/>
    <w:rsid w:val="00DB0D6D"/>
    <w:rsid w:val="00DB1354"/>
    <w:rsid w:val="00DB16EC"/>
    <w:rsid w:val="00DB61F1"/>
    <w:rsid w:val="00DB6469"/>
    <w:rsid w:val="00DB7976"/>
    <w:rsid w:val="00DC06C0"/>
    <w:rsid w:val="00DC6484"/>
    <w:rsid w:val="00DC676E"/>
    <w:rsid w:val="00DC68C6"/>
    <w:rsid w:val="00DC70E7"/>
    <w:rsid w:val="00DC79E2"/>
    <w:rsid w:val="00DC7C5D"/>
    <w:rsid w:val="00DD10CE"/>
    <w:rsid w:val="00DD1665"/>
    <w:rsid w:val="00DD170C"/>
    <w:rsid w:val="00DD246E"/>
    <w:rsid w:val="00DD42C0"/>
    <w:rsid w:val="00DD6FD7"/>
    <w:rsid w:val="00DE0569"/>
    <w:rsid w:val="00DE6364"/>
    <w:rsid w:val="00DE683E"/>
    <w:rsid w:val="00DF1C11"/>
    <w:rsid w:val="00DF2D18"/>
    <w:rsid w:val="00DF44C9"/>
    <w:rsid w:val="00DF48A0"/>
    <w:rsid w:val="00DF589D"/>
    <w:rsid w:val="00DF69C0"/>
    <w:rsid w:val="00DF7A25"/>
    <w:rsid w:val="00DF7F64"/>
    <w:rsid w:val="00E004A7"/>
    <w:rsid w:val="00E00E21"/>
    <w:rsid w:val="00E018AB"/>
    <w:rsid w:val="00E060FF"/>
    <w:rsid w:val="00E069C0"/>
    <w:rsid w:val="00E06A45"/>
    <w:rsid w:val="00E10AFA"/>
    <w:rsid w:val="00E11A2B"/>
    <w:rsid w:val="00E12D03"/>
    <w:rsid w:val="00E1422B"/>
    <w:rsid w:val="00E14D1B"/>
    <w:rsid w:val="00E14FF2"/>
    <w:rsid w:val="00E24B5B"/>
    <w:rsid w:val="00E250D4"/>
    <w:rsid w:val="00E25307"/>
    <w:rsid w:val="00E25EB3"/>
    <w:rsid w:val="00E260FD"/>
    <w:rsid w:val="00E304F0"/>
    <w:rsid w:val="00E309AB"/>
    <w:rsid w:val="00E31B41"/>
    <w:rsid w:val="00E31BEB"/>
    <w:rsid w:val="00E31EE3"/>
    <w:rsid w:val="00E32565"/>
    <w:rsid w:val="00E3574D"/>
    <w:rsid w:val="00E36C55"/>
    <w:rsid w:val="00E378C4"/>
    <w:rsid w:val="00E4072F"/>
    <w:rsid w:val="00E40E31"/>
    <w:rsid w:val="00E416E4"/>
    <w:rsid w:val="00E42173"/>
    <w:rsid w:val="00E42783"/>
    <w:rsid w:val="00E434D1"/>
    <w:rsid w:val="00E46F02"/>
    <w:rsid w:val="00E473C0"/>
    <w:rsid w:val="00E47536"/>
    <w:rsid w:val="00E51ADF"/>
    <w:rsid w:val="00E547AB"/>
    <w:rsid w:val="00E561E0"/>
    <w:rsid w:val="00E6040E"/>
    <w:rsid w:val="00E61FC3"/>
    <w:rsid w:val="00E639DC"/>
    <w:rsid w:val="00E65C2D"/>
    <w:rsid w:val="00E661B2"/>
    <w:rsid w:val="00E663C9"/>
    <w:rsid w:val="00E66AA2"/>
    <w:rsid w:val="00E708D7"/>
    <w:rsid w:val="00E70A56"/>
    <w:rsid w:val="00E70E30"/>
    <w:rsid w:val="00E71F29"/>
    <w:rsid w:val="00E725AC"/>
    <w:rsid w:val="00E72A6D"/>
    <w:rsid w:val="00E733B2"/>
    <w:rsid w:val="00E74C1C"/>
    <w:rsid w:val="00E753BC"/>
    <w:rsid w:val="00E76F57"/>
    <w:rsid w:val="00E80E04"/>
    <w:rsid w:val="00E81DCD"/>
    <w:rsid w:val="00E833EE"/>
    <w:rsid w:val="00E8778F"/>
    <w:rsid w:val="00E912B7"/>
    <w:rsid w:val="00E916F7"/>
    <w:rsid w:val="00E91F00"/>
    <w:rsid w:val="00EA1751"/>
    <w:rsid w:val="00EA1E31"/>
    <w:rsid w:val="00EA2B63"/>
    <w:rsid w:val="00EA343B"/>
    <w:rsid w:val="00EA578A"/>
    <w:rsid w:val="00EA5966"/>
    <w:rsid w:val="00EA714E"/>
    <w:rsid w:val="00EA744C"/>
    <w:rsid w:val="00EA7EDD"/>
    <w:rsid w:val="00EB3ED6"/>
    <w:rsid w:val="00EB4869"/>
    <w:rsid w:val="00EC06FF"/>
    <w:rsid w:val="00EC0851"/>
    <w:rsid w:val="00EC1A58"/>
    <w:rsid w:val="00EC4828"/>
    <w:rsid w:val="00EC5528"/>
    <w:rsid w:val="00EC62EA"/>
    <w:rsid w:val="00EC76D7"/>
    <w:rsid w:val="00ED2548"/>
    <w:rsid w:val="00ED4054"/>
    <w:rsid w:val="00ED6851"/>
    <w:rsid w:val="00ED7E21"/>
    <w:rsid w:val="00EE005B"/>
    <w:rsid w:val="00EE17F8"/>
    <w:rsid w:val="00EE46B5"/>
    <w:rsid w:val="00EE5059"/>
    <w:rsid w:val="00EE6456"/>
    <w:rsid w:val="00EE7FC4"/>
    <w:rsid w:val="00EF257F"/>
    <w:rsid w:val="00EF27B6"/>
    <w:rsid w:val="00EF55C4"/>
    <w:rsid w:val="00EF6BDA"/>
    <w:rsid w:val="00EF7ADE"/>
    <w:rsid w:val="00F010AD"/>
    <w:rsid w:val="00F02751"/>
    <w:rsid w:val="00F11812"/>
    <w:rsid w:val="00F156CD"/>
    <w:rsid w:val="00F1622B"/>
    <w:rsid w:val="00F22970"/>
    <w:rsid w:val="00F25289"/>
    <w:rsid w:val="00F27E3F"/>
    <w:rsid w:val="00F31C1B"/>
    <w:rsid w:val="00F32F37"/>
    <w:rsid w:val="00F33388"/>
    <w:rsid w:val="00F36D22"/>
    <w:rsid w:val="00F37DBA"/>
    <w:rsid w:val="00F43420"/>
    <w:rsid w:val="00F43C41"/>
    <w:rsid w:val="00F43F0A"/>
    <w:rsid w:val="00F44226"/>
    <w:rsid w:val="00F452F7"/>
    <w:rsid w:val="00F454A6"/>
    <w:rsid w:val="00F4666C"/>
    <w:rsid w:val="00F512AC"/>
    <w:rsid w:val="00F55E23"/>
    <w:rsid w:val="00F561AE"/>
    <w:rsid w:val="00F5766B"/>
    <w:rsid w:val="00F57B2C"/>
    <w:rsid w:val="00F60F86"/>
    <w:rsid w:val="00F661CB"/>
    <w:rsid w:val="00F67D73"/>
    <w:rsid w:val="00F7179B"/>
    <w:rsid w:val="00F7286C"/>
    <w:rsid w:val="00F748C0"/>
    <w:rsid w:val="00F7610C"/>
    <w:rsid w:val="00F804B2"/>
    <w:rsid w:val="00F80B87"/>
    <w:rsid w:val="00F860EB"/>
    <w:rsid w:val="00F87853"/>
    <w:rsid w:val="00F923EE"/>
    <w:rsid w:val="00F93DCF"/>
    <w:rsid w:val="00F94961"/>
    <w:rsid w:val="00F94A7F"/>
    <w:rsid w:val="00FA1ADD"/>
    <w:rsid w:val="00FA377D"/>
    <w:rsid w:val="00FA75E6"/>
    <w:rsid w:val="00FB2D9A"/>
    <w:rsid w:val="00FB467B"/>
    <w:rsid w:val="00FB539A"/>
    <w:rsid w:val="00FC0DC9"/>
    <w:rsid w:val="00FC145A"/>
    <w:rsid w:val="00FC1BB7"/>
    <w:rsid w:val="00FC2A44"/>
    <w:rsid w:val="00FC409C"/>
    <w:rsid w:val="00FC4AB1"/>
    <w:rsid w:val="00FC4C27"/>
    <w:rsid w:val="00FD02D5"/>
    <w:rsid w:val="00FD16F4"/>
    <w:rsid w:val="00FD214C"/>
    <w:rsid w:val="00FE09FB"/>
    <w:rsid w:val="00FE0FF6"/>
    <w:rsid w:val="00FE10AA"/>
    <w:rsid w:val="00FE4099"/>
    <w:rsid w:val="00FF079C"/>
    <w:rsid w:val="00FF07A3"/>
    <w:rsid w:val="00FF2D8C"/>
    <w:rsid w:val="00FF40C4"/>
    <w:rsid w:val="00FF6FAE"/>
    <w:rsid w:val="07DC2129"/>
    <w:rsid w:val="513D65B4"/>
    <w:rsid w:val="54A41B7E"/>
    <w:rsid w:val="58A9D809"/>
    <w:rsid w:val="6D3284E5"/>
    <w:rsid w:val="72300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52869481"/>
  <w15:docId w15:val="{80936625-C85A-4E86-8A01-A0E368714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440BCD"/>
    <w:pPr>
      <w:spacing w:after="120"/>
    </w:pPr>
    <w:rPr>
      <w:rFonts w:asciiTheme="minorHAnsi" w:hAnsiTheme="minorHAnsi"/>
      <w:sz w:val="24"/>
      <w:lang w:val="en-US" w:eastAsia="en-US"/>
    </w:rPr>
  </w:style>
  <w:style w:type="paragraph" w:styleId="Heading1">
    <w:name w:val="heading 1"/>
    <w:basedOn w:val="Normal"/>
    <w:next w:val="BodyText"/>
    <w:qFormat/>
    <w:rsid w:val="00A7592D"/>
    <w:pPr>
      <w:keepNext/>
      <w:widowControl w:val="0"/>
      <w:numPr>
        <w:numId w:val="11"/>
      </w:numPr>
      <w:tabs>
        <w:tab w:val="left" w:pos="576"/>
      </w:tabs>
      <w:spacing w:before="240" w:after="60"/>
      <w:outlineLvl w:val="0"/>
    </w:pPr>
    <w:rPr>
      <w:rFonts w:cstheme="minorHAnsi"/>
      <w:b/>
      <w:caps/>
      <w:kern w:val="28"/>
      <w:sz w:val="28"/>
    </w:rPr>
  </w:style>
  <w:style w:type="paragraph" w:styleId="Heading2">
    <w:name w:val="heading 2"/>
    <w:basedOn w:val="Normal"/>
    <w:next w:val="BodyText"/>
    <w:link w:val="Heading2Char"/>
    <w:qFormat/>
    <w:rsid w:val="002D60C9"/>
    <w:pPr>
      <w:keepNext/>
      <w:numPr>
        <w:ilvl w:val="1"/>
        <w:numId w:val="11"/>
      </w:numPr>
      <w:tabs>
        <w:tab w:val="left" w:pos="720"/>
      </w:tabs>
      <w:spacing w:before="240" w:after="60"/>
      <w:outlineLvl w:val="1"/>
    </w:pPr>
    <w:rPr>
      <w:rFonts w:ascii="Arial" w:hAnsi="Arial"/>
      <w:b/>
      <w:caps/>
    </w:rPr>
  </w:style>
  <w:style w:type="paragraph" w:styleId="Heading3">
    <w:name w:val="heading 3"/>
    <w:basedOn w:val="Normal"/>
    <w:next w:val="BodyText"/>
    <w:qFormat/>
    <w:rsid w:val="00734E4F"/>
    <w:pPr>
      <w:keepNext/>
      <w:numPr>
        <w:ilvl w:val="2"/>
        <w:numId w:val="11"/>
      </w:numPr>
      <w:spacing w:before="240" w:after="60"/>
      <w:outlineLvl w:val="2"/>
    </w:pPr>
    <w:rPr>
      <w:rFonts w:ascii="Arial" w:hAnsi="Arial"/>
      <w:b/>
      <w:i/>
    </w:rPr>
  </w:style>
  <w:style w:type="paragraph" w:styleId="Heading4">
    <w:name w:val="heading 4"/>
    <w:basedOn w:val="Normal"/>
    <w:next w:val="BodyText"/>
    <w:qFormat/>
    <w:rsid w:val="002D60C9"/>
    <w:pPr>
      <w:keepNext/>
      <w:numPr>
        <w:ilvl w:val="3"/>
        <w:numId w:val="11"/>
      </w:numPr>
      <w:spacing w:before="240" w:after="60"/>
      <w:outlineLvl w:val="3"/>
    </w:pPr>
    <w:rPr>
      <w:rFonts w:ascii="Arial" w:hAnsi="Arial"/>
      <w:b/>
      <w:color w:val="000000"/>
    </w:rPr>
  </w:style>
  <w:style w:type="paragraph" w:styleId="Heading5">
    <w:name w:val="heading 5"/>
    <w:basedOn w:val="Normal"/>
    <w:next w:val="BodyText"/>
    <w:qFormat/>
    <w:rsid w:val="00325E64"/>
    <w:pPr>
      <w:keepNext/>
      <w:numPr>
        <w:ilvl w:val="4"/>
        <w:numId w:val="11"/>
      </w:numPr>
      <w:tabs>
        <w:tab w:val="left" w:pos="1152"/>
      </w:tabs>
      <w:spacing w:before="240" w:after="60"/>
      <w:outlineLvl w:val="4"/>
    </w:pPr>
    <w:rPr>
      <w:b/>
      <w:i/>
    </w:rPr>
  </w:style>
  <w:style w:type="paragraph" w:styleId="Heading6">
    <w:name w:val="heading 6"/>
    <w:basedOn w:val="Normal"/>
    <w:next w:val="BodyText"/>
    <w:qFormat/>
    <w:rsid w:val="00E31B41"/>
    <w:pPr>
      <w:keepNext/>
      <w:numPr>
        <w:ilvl w:val="5"/>
        <w:numId w:val="11"/>
      </w:numPr>
      <w:tabs>
        <w:tab w:val="left" w:pos="1296"/>
      </w:tabs>
      <w:spacing w:before="240" w:after="60"/>
      <w:outlineLvl w:val="5"/>
    </w:pPr>
    <w:rPr>
      <w:b/>
    </w:rPr>
  </w:style>
  <w:style w:type="paragraph" w:styleId="Heading7">
    <w:name w:val="heading 7"/>
    <w:aliases w:val="App Lev 1"/>
    <w:next w:val="BodyText"/>
    <w:rsid w:val="00E31B41"/>
    <w:pPr>
      <w:keepNext/>
      <w:pageBreakBefore/>
      <w:numPr>
        <w:ilvl w:val="6"/>
        <w:numId w:val="11"/>
      </w:numPr>
      <w:tabs>
        <w:tab w:val="left" w:pos="576"/>
      </w:tabs>
      <w:spacing w:before="240" w:after="60"/>
      <w:outlineLvl w:val="6"/>
    </w:pPr>
    <w:rPr>
      <w:rFonts w:ascii="Arial" w:hAnsi="Arial"/>
      <w:b/>
      <w:caps/>
      <w:sz w:val="28"/>
      <w:lang w:val="en-US" w:eastAsia="en-US"/>
    </w:rPr>
  </w:style>
  <w:style w:type="paragraph" w:styleId="Heading8">
    <w:name w:val="heading 8"/>
    <w:aliases w:val="App Lev 2"/>
    <w:next w:val="BodyText"/>
    <w:rsid w:val="00E31B41"/>
    <w:pPr>
      <w:keepNext/>
      <w:numPr>
        <w:ilvl w:val="7"/>
        <w:numId w:val="11"/>
      </w:numPr>
      <w:tabs>
        <w:tab w:val="left" w:pos="720"/>
      </w:tabs>
      <w:spacing w:before="240" w:after="60"/>
      <w:outlineLvl w:val="7"/>
    </w:pPr>
    <w:rPr>
      <w:rFonts w:ascii="Arial" w:hAnsi="Arial"/>
      <w:b/>
      <w:caps/>
      <w:sz w:val="24"/>
      <w:lang w:val="en-US" w:eastAsia="en-US"/>
    </w:rPr>
  </w:style>
  <w:style w:type="paragraph" w:styleId="Heading9">
    <w:name w:val="heading 9"/>
    <w:aliases w:val="App Lev 3"/>
    <w:basedOn w:val="Normal"/>
    <w:next w:val="BodyText"/>
    <w:rsid w:val="00E31B41"/>
    <w:pPr>
      <w:keepNext/>
      <w:numPr>
        <w:ilvl w:val="8"/>
        <w:numId w:val="11"/>
      </w:numPr>
      <w:spacing w:before="240" w:after="60"/>
      <w:outlineLvl w:val="8"/>
    </w:pPr>
    <w:rPr>
      <w:rFonts w:ascii="Arial" w:hAnsi="Arial"/>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440BCD"/>
  </w:style>
  <w:style w:type="paragraph" w:styleId="TOC1">
    <w:name w:val="toc 1"/>
    <w:basedOn w:val="Normal"/>
    <w:next w:val="Normal"/>
    <w:uiPriority w:val="39"/>
    <w:rsid w:val="00440BCD"/>
    <w:pPr>
      <w:tabs>
        <w:tab w:val="right" w:leader="dot" w:pos="9360"/>
      </w:tabs>
      <w:spacing w:before="120" w:after="0"/>
    </w:pPr>
    <w:rPr>
      <w:b/>
      <w:smallCaps/>
    </w:rPr>
  </w:style>
  <w:style w:type="paragraph" w:styleId="TOC2">
    <w:name w:val="toc 2"/>
    <w:basedOn w:val="Normal"/>
    <w:next w:val="Normal"/>
    <w:uiPriority w:val="39"/>
    <w:rsid w:val="00440BCD"/>
    <w:pPr>
      <w:tabs>
        <w:tab w:val="right" w:leader="dot" w:pos="9360"/>
      </w:tabs>
      <w:spacing w:after="0"/>
      <w:ind w:left="238"/>
    </w:pPr>
    <w:rPr>
      <w:smallCaps/>
      <w:sz w:val="20"/>
    </w:rPr>
  </w:style>
  <w:style w:type="paragraph" w:styleId="TOC3">
    <w:name w:val="toc 3"/>
    <w:basedOn w:val="Normal"/>
    <w:next w:val="Normal"/>
    <w:uiPriority w:val="39"/>
    <w:rsid w:val="00440BCD"/>
    <w:pPr>
      <w:tabs>
        <w:tab w:val="right" w:leader="dot" w:pos="9360"/>
      </w:tabs>
      <w:spacing w:after="0"/>
      <w:ind w:left="482"/>
    </w:pPr>
    <w:rPr>
      <w:i/>
      <w:sz w:val="20"/>
    </w:rPr>
  </w:style>
  <w:style w:type="paragraph" w:styleId="TOC4">
    <w:name w:val="toc 4"/>
    <w:basedOn w:val="Normal"/>
    <w:next w:val="Normal"/>
    <w:semiHidden/>
    <w:rsid w:val="00E31B41"/>
    <w:pPr>
      <w:tabs>
        <w:tab w:val="right" w:leader="dot" w:pos="9360"/>
      </w:tabs>
      <w:ind w:left="720"/>
    </w:pPr>
    <w:rPr>
      <w:i/>
      <w:sz w:val="18"/>
    </w:rPr>
  </w:style>
  <w:style w:type="paragraph" w:styleId="TOC5">
    <w:name w:val="toc 5"/>
    <w:basedOn w:val="Normal"/>
    <w:next w:val="Normal"/>
    <w:semiHidden/>
    <w:rsid w:val="00E31B41"/>
    <w:pPr>
      <w:tabs>
        <w:tab w:val="right" w:leader="dot" w:pos="9360"/>
      </w:tabs>
      <w:ind w:left="960"/>
    </w:pPr>
    <w:rPr>
      <w:i/>
      <w:sz w:val="18"/>
    </w:rPr>
  </w:style>
  <w:style w:type="character" w:styleId="PageNumber">
    <w:name w:val="page number"/>
    <w:basedOn w:val="DefaultParagraphFont"/>
    <w:rsid w:val="00E31B41"/>
  </w:style>
  <w:style w:type="paragraph" w:styleId="Footer">
    <w:name w:val="footer"/>
    <w:basedOn w:val="Normal"/>
    <w:rsid w:val="00E31B41"/>
    <w:pPr>
      <w:tabs>
        <w:tab w:val="center" w:pos="4320"/>
        <w:tab w:val="right" w:pos="8640"/>
      </w:tabs>
    </w:pPr>
  </w:style>
  <w:style w:type="paragraph" w:styleId="DocumentMap">
    <w:name w:val="Document Map"/>
    <w:basedOn w:val="Normal"/>
    <w:semiHidden/>
    <w:rsid w:val="00E31B41"/>
    <w:pPr>
      <w:shd w:val="clear" w:color="auto" w:fill="000080"/>
    </w:pPr>
    <w:rPr>
      <w:rFonts w:ascii="Tahoma" w:hAnsi="Tahoma"/>
    </w:rPr>
  </w:style>
  <w:style w:type="paragraph" w:styleId="Caption">
    <w:name w:val="caption"/>
    <w:aliases w:val="Caption-Figure,FIGCAPTION,Caption Char1,Caption Char Char,Légende italique,topic,3559Caption,c,C,Legend,topic1,topic2,topic3,Legend Char,3559Caption Char,Légende italique Char,kuvateksti Char,kuvateksti,Figure No,Figure-caption,CAPTION,c1"/>
    <w:basedOn w:val="Normal"/>
    <w:next w:val="BodyText"/>
    <w:link w:val="CaptionChar"/>
    <w:uiPriority w:val="35"/>
    <w:qFormat/>
    <w:rsid w:val="00E31B41"/>
    <w:pPr>
      <w:spacing w:before="120"/>
      <w:jc w:val="center"/>
    </w:pPr>
    <w:rPr>
      <w:rFonts w:ascii="Arial" w:hAnsi="Arial"/>
      <w:b/>
      <w:caps/>
      <w:sz w:val="22"/>
    </w:rPr>
  </w:style>
  <w:style w:type="paragraph" w:styleId="TableofFigures">
    <w:name w:val="table of figures"/>
    <w:basedOn w:val="Normal"/>
    <w:next w:val="Normal"/>
    <w:uiPriority w:val="99"/>
    <w:rsid w:val="00E31B41"/>
    <w:pPr>
      <w:tabs>
        <w:tab w:val="right" w:leader="dot" w:pos="9360"/>
      </w:tabs>
      <w:spacing w:before="40" w:after="40"/>
      <w:ind w:left="403" w:hanging="403"/>
    </w:pPr>
    <w:rPr>
      <w:rFonts w:ascii="Helvetica" w:hAnsi="Helvetica"/>
      <w:caps/>
      <w:sz w:val="18"/>
    </w:rPr>
  </w:style>
  <w:style w:type="paragraph" w:styleId="TOC6">
    <w:name w:val="toc 6"/>
    <w:basedOn w:val="Normal"/>
    <w:next w:val="Normal"/>
    <w:autoRedefine/>
    <w:semiHidden/>
    <w:rsid w:val="00E31B41"/>
    <w:pPr>
      <w:ind w:left="1000"/>
    </w:pPr>
    <w:rPr>
      <w:i/>
      <w:sz w:val="16"/>
    </w:rPr>
  </w:style>
  <w:style w:type="paragraph" w:styleId="TOC7">
    <w:name w:val="toc 7"/>
    <w:basedOn w:val="Normal"/>
    <w:next w:val="Normal"/>
    <w:autoRedefine/>
    <w:semiHidden/>
    <w:rsid w:val="00E31B41"/>
    <w:pPr>
      <w:ind w:left="1195"/>
    </w:pPr>
    <w:rPr>
      <w:i/>
      <w:sz w:val="16"/>
    </w:rPr>
  </w:style>
  <w:style w:type="paragraph" w:styleId="TOC8">
    <w:name w:val="toc 8"/>
    <w:basedOn w:val="Normal"/>
    <w:next w:val="Normal"/>
    <w:autoRedefine/>
    <w:semiHidden/>
    <w:rsid w:val="00E31B41"/>
    <w:pPr>
      <w:ind w:left="1400"/>
    </w:pPr>
    <w:rPr>
      <w:i/>
    </w:rPr>
  </w:style>
  <w:style w:type="paragraph" w:styleId="TOC9">
    <w:name w:val="toc 9"/>
    <w:basedOn w:val="Normal"/>
    <w:next w:val="Normal"/>
    <w:autoRedefine/>
    <w:semiHidden/>
    <w:rsid w:val="00E31B41"/>
    <w:pPr>
      <w:ind w:left="1600"/>
    </w:pPr>
    <w:rPr>
      <w:i/>
    </w:rPr>
  </w:style>
  <w:style w:type="paragraph" w:styleId="Header">
    <w:name w:val="header"/>
    <w:aliases w:val="header/odd"/>
    <w:basedOn w:val="Normal"/>
    <w:rsid w:val="00E31B41"/>
    <w:pPr>
      <w:tabs>
        <w:tab w:val="center" w:pos="4320"/>
        <w:tab w:val="right" w:pos="9360"/>
      </w:tabs>
    </w:pPr>
  </w:style>
  <w:style w:type="character" w:styleId="Hyperlink">
    <w:name w:val="Hyperlink"/>
    <w:basedOn w:val="DefaultParagraphFont"/>
    <w:uiPriority w:val="99"/>
    <w:rsid w:val="00E31B41"/>
    <w:rPr>
      <w:color w:val="0000FF"/>
      <w:u w:val="single"/>
    </w:rPr>
  </w:style>
  <w:style w:type="paragraph" w:customStyle="1" w:styleId="Table">
    <w:name w:val="Table"/>
    <w:basedOn w:val="BodyText"/>
    <w:rsid w:val="008E40C7"/>
    <w:pPr>
      <w:tabs>
        <w:tab w:val="left" w:pos="284"/>
      </w:tabs>
      <w:spacing w:before="40" w:after="40"/>
    </w:pPr>
  </w:style>
  <w:style w:type="paragraph" w:customStyle="1" w:styleId="TableHeading">
    <w:name w:val="Table Heading"/>
    <w:basedOn w:val="Table"/>
    <w:next w:val="Table"/>
    <w:rsid w:val="008E40C7"/>
    <w:pPr>
      <w:jc w:val="center"/>
    </w:pPr>
    <w:rPr>
      <w:b/>
    </w:rPr>
  </w:style>
  <w:style w:type="paragraph" w:styleId="BodyText2">
    <w:name w:val="Body Text 2"/>
    <w:basedOn w:val="Normal"/>
    <w:link w:val="BodyText2Char"/>
    <w:rsid w:val="00797E9A"/>
    <w:pPr>
      <w:pBdr>
        <w:top w:val="single" w:sz="4" w:space="1" w:color="FF0000"/>
        <w:left w:val="single" w:sz="4" w:space="4" w:color="FF0000"/>
        <w:bottom w:val="single" w:sz="4" w:space="1" w:color="FF0000"/>
        <w:right w:val="single" w:sz="4" w:space="4" w:color="FF0000"/>
      </w:pBdr>
      <w:jc w:val="center"/>
    </w:pPr>
    <w:rPr>
      <w:rFonts w:ascii="Arial" w:hAnsi="Arial" w:cs="Arial"/>
      <w:color w:val="FF0000"/>
      <w:sz w:val="16"/>
    </w:rPr>
  </w:style>
  <w:style w:type="paragraph" w:styleId="CommentText">
    <w:name w:val="annotation text"/>
    <w:basedOn w:val="Normal"/>
    <w:link w:val="CommentTextChar"/>
    <w:rsid w:val="00E31B41"/>
    <w:rPr>
      <w:sz w:val="20"/>
      <w:lang w:val="en-CA"/>
    </w:rPr>
  </w:style>
  <w:style w:type="character" w:styleId="CommentReference">
    <w:name w:val="annotation reference"/>
    <w:basedOn w:val="DefaultParagraphFont"/>
    <w:semiHidden/>
    <w:rsid w:val="00E31B41"/>
    <w:rPr>
      <w:sz w:val="16"/>
    </w:rPr>
  </w:style>
  <w:style w:type="paragraph" w:customStyle="1" w:styleId="Heading-unnumbered">
    <w:name w:val="Heading - unnumbered"/>
    <w:basedOn w:val="Normal"/>
    <w:rsid w:val="00E31B41"/>
    <w:pPr>
      <w:spacing w:before="40"/>
      <w:jc w:val="center"/>
    </w:pPr>
    <w:rPr>
      <w:rFonts w:ascii="Arial" w:hAnsi="Arial"/>
      <w:b/>
      <w:caps/>
    </w:rPr>
  </w:style>
  <w:style w:type="paragraph" w:customStyle="1" w:styleId="underlined">
    <w:name w:val="underlined"/>
    <w:basedOn w:val="BodyText"/>
    <w:next w:val="Normal"/>
    <w:rsid w:val="00E31B41"/>
    <w:pPr>
      <w:spacing w:before="120" w:after="240"/>
    </w:pPr>
    <w:rPr>
      <w:u w:val="single"/>
    </w:rPr>
  </w:style>
  <w:style w:type="paragraph" w:styleId="FootnoteText">
    <w:name w:val="footnote text"/>
    <w:basedOn w:val="Normal"/>
    <w:semiHidden/>
    <w:rsid w:val="00E31B41"/>
    <w:rPr>
      <w:sz w:val="20"/>
    </w:rPr>
  </w:style>
  <w:style w:type="paragraph" w:styleId="Title">
    <w:name w:val="Title"/>
    <w:basedOn w:val="Normal"/>
    <w:link w:val="TitleChar"/>
    <w:uiPriority w:val="10"/>
    <w:qFormat/>
    <w:rsid w:val="00E31B41"/>
    <w:pPr>
      <w:spacing w:before="40"/>
      <w:outlineLvl w:val="0"/>
    </w:pPr>
    <w:rPr>
      <w:rFonts w:ascii="Helvetica" w:hAnsi="Helvetica"/>
      <w:b/>
      <w:kern w:val="28"/>
      <w:sz w:val="48"/>
    </w:rPr>
  </w:style>
  <w:style w:type="paragraph" w:styleId="Subtitle">
    <w:name w:val="Subtitle"/>
    <w:basedOn w:val="Normal"/>
    <w:link w:val="SubtitleChar"/>
    <w:uiPriority w:val="11"/>
    <w:qFormat/>
    <w:rsid w:val="001C177E"/>
    <w:pPr>
      <w:outlineLvl w:val="1"/>
    </w:pPr>
    <w:rPr>
      <w:rFonts w:ascii="Helvetica" w:hAnsi="Helvetica"/>
      <w:b/>
      <w:sz w:val="36"/>
    </w:rPr>
  </w:style>
  <w:style w:type="character" w:styleId="FootnoteReference">
    <w:name w:val="footnote reference"/>
    <w:basedOn w:val="DefaultParagraphFont"/>
    <w:semiHidden/>
    <w:rsid w:val="00E31B41"/>
    <w:rPr>
      <w:vertAlign w:val="superscript"/>
    </w:rPr>
  </w:style>
  <w:style w:type="paragraph" w:customStyle="1" w:styleId="TOC">
    <w:name w:val="TOC"/>
    <w:basedOn w:val="Heading-unnumbered"/>
    <w:next w:val="BodyText"/>
    <w:rsid w:val="00E31B41"/>
  </w:style>
  <w:style w:type="paragraph" w:customStyle="1" w:styleId="BodyTextCentered">
    <w:name w:val="Body Text Centered"/>
    <w:basedOn w:val="BodyText"/>
    <w:rsid w:val="0017657E"/>
    <w:pPr>
      <w:jc w:val="center"/>
    </w:pPr>
  </w:style>
  <w:style w:type="paragraph" w:styleId="ListBullet">
    <w:name w:val="List Bullet"/>
    <w:basedOn w:val="Normal"/>
    <w:qFormat/>
    <w:rsid w:val="00E40E31"/>
    <w:pPr>
      <w:numPr>
        <w:numId w:val="1"/>
      </w:numPr>
      <w:spacing w:before="60" w:after="60"/>
      <w:ind w:left="360"/>
    </w:pPr>
  </w:style>
  <w:style w:type="paragraph" w:styleId="ListBullet2">
    <w:name w:val="List Bullet 2"/>
    <w:basedOn w:val="Normal"/>
    <w:qFormat/>
    <w:rsid w:val="00E40E31"/>
    <w:pPr>
      <w:numPr>
        <w:numId w:val="2"/>
      </w:numPr>
      <w:spacing w:before="60" w:after="60"/>
    </w:pPr>
  </w:style>
  <w:style w:type="paragraph" w:styleId="ListBullet3">
    <w:name w:val="List Bullet 3"/>
    <w:basedOn w:val="Normal"/>
    <w:qFormat/>
    <w:rsid w:val="00E40E31"/>
    <w:pPr>
      <w:numPr>
        <w:numId w:val="8"/>
      </w:numPr>
      <w:spacing w:before="60" w:after="60"/>
    </w:pPr>
  </w:style>
  <w:style w:type="paragraph" w:styleId="ListBullet4">
    <w:name w:val="List Bullet 4"/>
    <w:basedOn w:val="Normal"/>
    <w:qFormat/>
    <w:rsid w:val="00E40E31"/>
    <w:pPr>
      <w:numPr>
        <w:numId w:val="9"/>
      </w:numPr>
      <w:spacing w:before="60" w:after="60"/>
    </w:pPr>
  </w:style>
  <w:style w:type="paragraph" w:styleId="ListBullet5">
    <w:name w:val="List Bullet 5"/>
    <w:basedOn w:val="Normal"/>
    <w:qFormat/>
    <w:rsid w:val="00E40E31"/>
    <w:pPr>
      <w:numPr>
        <w:numId w:val="10"/>
      </w:numPr>
      <w:spacing w:before="60" w:after="60"/>
    </w:pPr>
  </w:style>
  <w:style w:type="paragraph" w:styleId="ListNumber">
    <w:name w:val="List Number"/>
    <w:basedOn w:val="Normal"/>
    <w:qFormat/>
    <w:rsid w:val="007A47E0"/>
    <w:pPr>
      <w:numPr>
        <w:numId w:val="3"/>
      </w:numPr>
    </w:pPr>
  </w:style>
  <w:style w:type="paragraph" w:styleId="ListNumber2">
    <w:name w:val="List Number 2"/>
    <w:basedOn w:val="Normal"/>
    <w:qFormat/>
    <w:rsid w:val="007A47E0"/>
    <w:pPr>
      <w:numPr>
        <w:numId w:val="4"/>
      </w:numPr>
      <w:spacing w:before="60" w:after="60"/>
    </w:pPr>
  </w:style>
  <w:style w:type="paragraph" w:styleId="ListNumber3">
    <w:name w:val="List Number 3"/>
    <w:basedOn w:val="Normal"/>
    <w:qFormat/>
    <w:rsid w:val="007A47E0"/>
    <w:pPr>
      <w:numPr>
        <w:numId w:val="6"/>
      </w:numPr>
      <w:spacing w:before="60" w:after="60"/>
    </w:pPr>
  </w:style>
  <w:style w:type="paragraph" w:styleId="ListNumber4">
    <w:name w:val="List Number 4"/>
    <w:basedOn w:val="Normal"/>
    <w:qFormat/>
    <w:rsid w:val="007A47E0"/>
    <w:pPr>
      <w:numPr>
        <w:numId w:val="5"/>
      </w:numPr>
      <w:spacing w:before="60" w:after="60"/>
    </w:pPr>
  </w:style>
  <w:style w:type="paragraph" w:styleId="ListNumber5">
    <w:name w:val="List Number 5"/>
    <w:basedOn w:val="Normal"/>
    <w:qFormat/>
    <w:rsid w:val="007A47E0"/>
    <w:pPr>
      <w:numPr>
        <w:numId w:val="7"/>
      </w:numPr>
      <w:spacing w:before="60" w:after="60"/>
    </w:pPr>
  </w:style>
  <w:style w:type="paragraph" w:customStyle="1" w:styleId="Appendices">
    <w:name w:val="Appendices"/>
    <w:basedOn w:val="Subtitle"/>
    <w:rsid w:val="00E31B41"/>
    <w:pPr>
      <w:jc w:val="center"/>
    </w:pPr>
    <w:rPr>
      <w:caps/>
    </w:rPr>
  </w:style>
  <w:style w:type="paragraph" w:customStyle="1" w:styleId="DocTitle">
    <w:name w:val="DocTitle"/>
    <w:basedOn w:val="Normal"/>
    <w:rsid w:val="00E31B41"/>
    <w:pPr>
      <w:spacing w:before="40"/>
    </w:pPr>
    <w:rPr>
      <w:rFonts w:ascii="Helvetica" w:hAnsi="Helvetica"/>
      <w:b/>
      <w:sz w:val="48"/>
    </w:rPr>
  </w:style>
  <w:style w:type="paragraph" w:customStyle="1" w:styleId="DocNumber">
    <w:name w:val="DocNumber"/>
    <w:basedOn w:val="DocTitle"/>
    <w:rsid w:val="001C177E"/>
    <w:pPr>
      <w:jc w:val="right"/>
    </w:pPr>
    <w:rPr>
      <w:bCs/>
      <w:sz w:val="40"/>
    </w:rPr>
  </w:style>
  <w:style w:type="character" w:customStyle="1" w:styleId="TOCHeadings">
    <w:name w:val="TOC Headings"/>
    <w:basedOn w:val="DefaultParagraphFont"/>
    <w:rsid w:val="001C177E"/>
    <w:rPr>
      <w:rFonts w:ascii="Arial" w:hAnsi="Arial"/>
      <w:sz w:val="22"/>
    </w:rPr>
  </w:style>
  <w:style w:type="paragraph" w:customStyle="1" w:styleId="SignatureBlock">
    <w:name w:val="Signature Block"/>
    <w:basedOn w:val="Normal"/>
    <w:rsid w:val="001C177E"/>
    <w:pPr>
      <w:spacing w:before="120"/>
    </w:pPr>
  </w:style>
  <w:style w:type="paragraph" w:customStyle="1" w:styleId="TableCentered">
    <w:name w:val="Table Centered"/>
    <w:basedOn w:val="Table"/>
    <w:rsid w:val="008E40C7"/>
    <w:pPr>
      <w:jc w:val="center"/>
    </w:pPr>
    <w:rPr>
      <w:lang w:val="en-CA"/>
    </w:rPr>
  </w:style>
  <w:style w:type="paragraph" w:customStyle="1" w:styleId="DocumentParent">
    <w:name w:val="Document Parent"/>
    <w:basedOn w:val="Table"/>
    <w:rsid w:val="008E40C7"/>
    <w:pPr>
      <w:numPr>
        <w:numId w:val="12"/>
      </w:numPr>
      <w:jc w:val="center"/>
    </w:pPr>
    <w:rPr>
      <w:lang w:val="en-CA"/>
    </w:rPr>
  </w:style>
  <w:style w:type="paragraph" w:customStyle="1" w:styleId="DocumentApplicable">
    <w:name w:val="Document Applicable"/>
    <w:basedOn w:val="TableCentered"/>
    <w:rsid w:val="0056535C"/>
    <w:pPr>
      <w:numPr>
        <w:numId w:val="13"/>
      </w:numPr>
    </w:pPr>
  </w:style>
  <w:style w:type="paragraph" w:customStyle="1" w:styleId="DocumentReference">
    <w:name w:val="Document Reference"/>
    <w:basedOn w:val="TableCentered"/>
    <w:rsid w:val="002443F0"/>
    <w:pPr>
      <w:numPr>
        <w:numId w:val="14"/>
      </w:numPr>
    </w:pPr>
  </w:style>
  <w:style w:type="paragraph" w:customStyle="1" w:styleId="DocumentData">
    <w:name w:val="Document Data"/>
    <w:basedOn w:val="TableCentered"/>
    <w:rsid w:val="00C36B5E"/>
    <w:pPr>
      <w:numPr>
        <w:numId w:val="15"/>
      </w:numPr>
    </w:pPr>
  </w:style>
  <w:style w:type="paragraph" w:styleId="ListParagraph">
    <w:name w:val="List Paragraph"/>
    <w:basedOn w:val="Normal"/>
    <w:link w:val="ListParagraphChar"/>
    <w:uiPriority w:val="34"/>
    <w:qFormat/>
    <w:rsid w:val="00317985"/>
    <w:pPr>
      <w:ind w:left="720"/>
      <w:contextualSpacing/>
    </w:pPr>
  </w:style>
  <w:style w:type="character" w:customStyle="1" w:styleId="BodyText2Char">
    <w:name w:val="Body Text 2 Char"/>
    <w:basedOn w:val="DefaultParagraphFont"/>
    <w:link w:val="BodyText2"/>
    <w:rsid w:val="00124B1A"/>
    <w:rPr>
      <w:rFonts w:ascii="Arial" w:hAnsi="Arial" w:cs="Arial"/>
      <w:color w:val="FF0000"/>
      <w:sz w:val="16"/>
      <w:lang w:val="en-US" w:eastAsia="en-US"/>
    </w:rPr>
  </w:style>
  <w:style w:type="paragraph" w:styleId="NormalWeb">
    <w:name w:val="Normal (Web)"/>
    <w:basedOn w:val="Normal"/>
    <w:uiPriority w:val="99"/>
    <w:unhideWhenUsed/>
    <w:rsid w:val="00184471"/>
    <w:pPr>
      <w:spacing w:before="100" w:beforeAutospacing="1" w:after="100" w:afterAutospacing="1"/>
    </w:pPr>
    <w:rPr>
      <w:rFonts w:eastAsiaTheme="minorEastAsia"/>
      <w:szCs w:val="24"/>
      <w:lang w:val="en-CA" w:eastAsia="en-CA"/>
    </w:rPr>
  </w:style>
  <w:style w:type="table" w:styleId="TableGrid">
    <w:name w:val="Table Grid"/>
    <w:basedOn w:val="TableNormal"/>
    <w:uiPriority w:val="59"/>
    <w:rsid w:val="001844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A936AB"/>
    <w:rPr>
      <w:sz w:val="24"/>
      <w:lang w:val="en-US" w:eastAsia="en-US"/>
    </w:rPr>
  </w:style>
  <w:style w:type="paragraph" w:customStyle="1" w:styleId="NormalBullet">
    <w:name w:val="NormalBullet"/>
    <w:basedOn w:val="Normal"/>
    <w:rsid w:val="00A936AB"/>
    <w:pPr>
      <w:numPr>
        <w:numId w:val="16"/>
      </w:numPr>
      <w:spacing w:line="276" w:lineRule="auto"/>
      <w:ind w:left="360"/>
    </w:pPr>
    <w:rPr>
      <w:rFonts w:ascii="Calibri" w:hAnsi="Calibri"/>
      <w:sz w:val="22"/>
      <w:szCs w:val="22"/>
      <w:lang w:bidi="en-US"/>
    </w:rPr>
  </w:style>
  <w:style w:type="paragraph" w:customStyle="1" w:styleId="NormalBulletIndent">
    <w:name w:val="NormalBulletIndent"/>
    <w:basedOn w:val="NormalBullet"/>
    <w:rsid w:val="00A936AB"/>
    <w:pPr>
      <w:ind w:left="720"/>
      <w:jc w:val="both"/>
    </w:pPr>
    <w:rPr>
      <w:lang w:val="en-GB"/>
    </w:rPr>
  </w:style>
  <w:style w:type="character" w:customStyle="1" w:styleId="CaptionChar">
    <w:name w:val="Caption Char"/>
    <w:aliases w:val="Caption-Figure Char,FIGCAPTION Char,Caption Char1 Char,Caption Char Char Char,Légende italique Char1,topic Char,3559Caption Char1,c Char,C Char,Legend Char1,topic1 Char,topic2 Char,topic3 Char,Legend Char Char,3559Caption Char Char,c1 Char"/>
    <w:basedOn w:val="DefaultParagraphFont"/>
    <w:link w:val="Caption"/>
    <w:uiPriority w:val="35"/>
    <w:rsid w:val="00A936AB"/>
    <w:rPr>
      <w:rFonts w:ascii="Arial" w:hAnsi="Arial"/>
      <w:b/>
      <w:caps/>
      <w:sz w:val="22"/>
      <w:lang w:val="en-US" w:eastAsia="en-US"/>
    </w:rPr>
  </w:style>
  <w:style w:type="paragraph" w:customStyle="1" w:styleId="TABLE-Header">
    <w:name w:val="TABLE - Header"/>
    <w:basedOn w:val="TableofFigures"/>
    <w:link w:val="TABLE-HeaderChar"/>
    <w:rsid w:val="001E7E84"/>
    <w:pPr>
      <w:tabs>
        <w:tab w:val="clear" w:pos="9360"/>
      </w:tabs>
      <w:spacing w:before="0" w:after="0" w:line="276" w:lineRule="auto"/>
      <w:ind w:left="0" w:firstLine="0"/>
      <w:jc w:val="center"/>
    </w:pPr>
    <w:rPr>
      <w:rFonts w:ascii="Cambria" w:eastAsiaTheme="majorEastAsia" w:hAnsi="Cambria" w:cstheme="majorBidi"/>
      <w:b/>
      <w:caps w:val="0"/>
      <w:color w:val="FFFFFF"/>
      <w:sz w:val="24"/>
      <w:szCs w:val="24"/>
    </w:rPr>
  </w:style>
  <w:style w:type="character" w:customStyle="1" w:styleId="TABLE-HeaderChar">
    <w:name w:val="TABLE - Header Char"/>
    <w:basedOn w:val="DefaultParagraphFont"/>
    <w:link w:val="TABLE-Header"/>
    <w:rsid w:val="001E7E84"/>
    <w:rPr>
      <w:rFonts w:ascii="Cambria" w:eastAsiaTheme="majorEastAsia" w:hAnsi="Cambria" w:cstheme="majorBidi"/>
      <w:b/>
      <w:color w:val="FFFFFF"/>
      <w:sz w:val="24"/>
      <w:szCs w:val="24"/>
      <w:lang w:val="en-US" w:eastAsia="en-US"/>
    </w:rPr>
  </w:style>
  <w:style w:type="paragraph" w:customStyle="1" w:styleId="TableTextLeft">
    <w:name w:val="TableTextLeft"/>
    <w:basedOn w:val="Normal"/>
    <w:rsid w:val="001E7E84"/>
    <w:pPr>
      <w:tabs>
        <w:tab w:val="left" w:pos="720"/>
        <w:tab w:val="left" w:pos="1440"/>
      </w:tabs>
      <w:spacing w:before="20" w:after="20"/>
    </w:pPr>
    <w:rPr>
      <w:sz w:val="22"/>
      <w:szCs w:val="22"/>
      <w:lang w:bidi="en-US"/>
    </w:rPr>
  </w:style>
  <w:style w:type="paragraph" w:customStyle="1" w:styleId="TableTextBullet">
    <w:name w:val="TableTextBullet"/>
    <w:basedOn w:val="TableTextLeft"/>
    <w:rsid w:val="001E7E84"/>
    <w:pPr>
      <w:tabs>
        <w:tab w:val="clear" w:pos="720"/>
        <w:tab w:val="clear" w:pos="1440"/>
      </w:tabs>
      <w:ind w:left="216" w:hanging="216"/>
    </w:pPr>
  </w:style>
  <w:style w:type="paragraph" w:customStyle="1" w:styleId="InstructionStyle">
    <w:name w:val="Instruction Style"/>
    <w:basedOn w:val="PlainText"/>
    <w:link w:val="InstructionStyleChar"/>
    <w:rsid w:val="001E7E84"/>
    <w:pPr>
      <w:spacing w:before="120" w:line="276" w:lineRule="auto"/>
    </w:pPr>
    <w:rPr>
      <w:rFonts w:ascii="Cambria" w:eastAsiaTheme="majorEastAsia" w:hAnsi="Cambria" w:cs="Consolas"/>
      <w:b/>
      <w:i/>
      <w:sz w:val="24"/>
      <w:lang w:val="en-GB"/>
    </w:rPr>
  </w:style>
  <w:style w:type="character" w:customStyle="1" w:styleId="InstructionStyleChar">
    <w:name w:val="Instruction Style Char"/>
    <w:basedOn w:val="DefaultParagraphFont"/>
    <w:link w:val="InstructionStyle"/>
    <w:rsid w:val="001E7E84"/>
    <w:rPr>
      <w:rFonts w:ascii="Cambria" w:eastAsiaTheme="majorEastAsia" w:hAnsi="Cambria" w:cs="Consolas"/>
      <w:b/>
      <w:i/>
      <w:sz w:val="24"/>
      <w:szCs w:val="21"/>
      <w:lang w:val="en-GB" w:eastAsia="en-US"/>
    </w:rPr>
  </w:style>
  <w:style w:type="paragraph" w:styleId="PlainText">
    <w:name w:val="Plain Text"/>
    <w:basedOn w:val="Normal"/>
    <w:link w:val="PlainTextChar"/>
    <w:semiHidden/>
    <w:unhideWhenUsed/>
    <w:rsid w:val="001E7E84"/>
    <w:rPr>
      <w:rFonts w:ascii="Consolas" w:hAnsi="Consolas"/>
      <w:sz w:val="21"/>
      <w:szCs w:val="21"/>
    </w:rPr>
  </w:style>
  <w:style w:type="character" w:customStyle="1" w:styleId="PlainTextChar">
    <w:name w:val="Plain Text Char"/>
    <w:basedOn w:val="DefaultParagraphFont"/>
    <w:link w:val="PlainText"/>
    <w:semiHidden/>
    <w:rsid w:val="001E7E84"/>
    <w:rPr>
      <w:rFonts w:ascii="Consolas" w:hAnsi="Consolas"/>
      <w:sz w:val="21"/>
      <w:szCs w:val="21"/>
      <w:lang w:val="en-US" w:eastAsia="en-US"/>
    </w:rPr>
  </w:style>
  <w:style w:type="character" w:styleId="Strong">
    <w:name w:val="Strong"/>
    <w:basedOn w:val="DefaultParagraphFont"/>
    <w:uiPriority w:val="22"/>
    <w:qFormat/>
    <w:rsid w:val="008A267C"/>
    <w:rPr>
      <w:b/>
      <w:bCs/>
    </w:rPr>
  </w:style>
  <w:style w:type="character" w:customStyle="1" w:styleId="CommentTextChar">
    <w:name w:val="Comment Text Char"/>
    <w:basedOn w:val="DefaultParagraphFont"/>
    <w:link w:val="CommentText"/>
    <w:rsid w:val="00045303"/>
    <w:rPr>
      <w:lang w:eastAsia="en-US"/>
    </w:rPr>
  </w:style>
  <w:style w:type="paragraph" w:styleId="BalloonText">
    <w:name w:val="Balloon Text"/>
    <w:basedOn w:val="Normal"/>
    <w:link w:val="BalloonTextChar"/>
    <w:semiHidden/>
    <w:unhideWhenUsed/>
    <w:rsid w:val="00045303"/>
    <w:rPr>
      <w:rFonts w:ascii="Segoe UI" w:hAnsi="Segoe UI" w:cs="Segoe UI"/>
      <w:sz w:val="18"/>
      <w:szCs w:val="18"/>
    </w:rPr>
  </w:style>
  <w:style w:type="character" w:customStyle="1" w:styleId="BalloonTextChar">
    <w:name w:val="Balloon Text Char"/>
    <w:basedOn w:val="DefaultParagraphFont"/>
    <w:link w:val="BalloonText"/>
    <w:semiHidden/>
    <w:rsid w:val="00045303"/>
    <w:rPr>
      <w:rFonts w:ascii="Segoe UI" w:hAnsi="Segoe UI" w:cs="Segoe UI"/>
      <w:sz w:val="18"/>
      <w:szCs w:val="18"/>
      <w:lang w:val="en-US" w:eastAsia="en-US"/>
    </w:rPr>
  </w:style>
  <w:style w:type="paragraph" w:styleId="CommentSubject">
    <w:name w:val="annotation subject"/>
    <w:basedOn w:val="CommentText"/>
    <w:next w:val="CommentText"/>
    <w:link w:val="CommentSubjectChar"/>
    <w:semiHidden/>
    <w:unhideWhenUsed/>
    <w:rsid w:val="00ED4054"/>
    <w:rPr>
      <w:b/>
      <w:bCs/>
      <w:lang w:val="en-US"/>
    </w:rPr>
  </w:style>
  <w:style w:type="character" w:customStyle="1" w:styleId="CommentSubjectChar">
    <w:name w:val="Comment Subject Char"/>
    <w:basedOn w:val="CommentTextChar"/>
    <w:link w:val="CommentSubject"/>
    <w:semiHidden/>
    <w:rsid w:val="00ED4054"/>
    <w:rPr>
      <w:b/>
      <w:bCs/>
      <w:lang w:val="en-US" w:eastAsia="en-US"/>
    </w:rPr>
  </w:style>
  <w:style w:type="character" w:styleId="UnresolvedMention">
    <w:name w:val="Unresolved Mention"/>
    <w:basedOn w:val="DefaultParagraphFont"/>
    <w:uiPriority w:val="99"/>
    <w:semiHidden/>
    <w:unhideWhenUsed/>
    <w:rsid w:val="00723895"/>
    <w:rPr>
      <w:color w:val="605E5C"/>
      <w:shd w:val="clear" w:color="auto" w:fill="E1DFDD"/>
    </w:rPr>
  </w:style>
  <w:style w:type="character" w:styleId="FollowedHyperlink">
    <w:name w:val="FollowedHyperlink"/>
    <w:basedOn w:val="DefaultParagraphFont"/>
    <w:semiHidden/>
    <w:unhideWhenUsed/>
    <w:rsid w:val="00964584"/>
    <w:rPr>
      <w:color w:val="800080" w:themeColor="followedHyperlink"/>
      <w:u w:val="single"/>
    </w:rPr>
  </w:style>
  <w:style w:type="character" w:customStyle="1" w:styleId="TitleChar">
    <w:name w:val="Title Char"/>
    <w:basedOn w:val="DefaultParagraphFont"/>
    <w:link w:val="Title"/>
    <w:uiPriority w:val="10"/>
    <w:rsid w:val="00A04443"/>
    <w:rPr>
      <w:rFonts w:ascii="Helvetica" w:hAnsi="Helvetica"/>
      <w:b/>
      <w:kern w:val="28"/>
      <w:sz w:val="48"/>
      <w:lang w:val="en-US" w:eastAsia="en-US"/>
    </w:rPr>
  </w:style>
  <w:style w:type="character" w:customStyle="1" w:styleId="s">
    <w:name w:val="s"/>
    <w:basedOn w:val="DefaultParagraphFont"/>
    <w:rsid w:val="007E7DA8"/>
  </w:style>
  <w:style w:type="paragraph" w:customStyle="1" w:styleId="Heading3b">
    <w:name w:val="Heading 3b"/>
    <w:basedOn w:val="Heading3"/>
    <w:autoRedefine/>
    <w:qFormat/>
    <w:rsid w:val="007E7DA8"/>
    <w:pPr>
      <w:numPr>
        <w:ilvl w:val="0"/>
        <w:numId w:val="0"/>
      </w:numPr>
      <w:spacing w:before="120"/>
      <w:ind w:left="792" w:hanging="792"/>
    </w:pPr>
    <w:rPr>
      <w:rFonts w:cs="Arial"/>
      <w:bCs/>
      <w:i w:val="0"/>
      <w:iCs/>
      <w:sz w:val="22"/>
      <w:szCs w:val="24"/>
    </w:rPr>
  </w:style>
  <w:style w:type="paragraph" w:customStyle="1" w:styleId="Body">
    <w:name w:val="Body"/>
    <w:basedOn w:val="Normal"/>
    <w:rsid w:val="007E7DA8"/>
    <w:rPr>
      <w:rFonts w:ascii="Times" w:hAnsi="Times"/>
      <w:color w:val="000000"/>
    </w:rPr>
  </w:style>
  <w:style w:type="paragraph" w:customStyle="1" w:styleId="Bullet">
    <w:name w:val="Bullet"/>
    <w:basedOn w:val="Normal"/>
    <w:rsid w:val="007E7DA8"/>
    <w:pPr>
      <w:numPr>
        <w:numId w:val="17"/>
      </w:numPr>
      <w:spacing w:after="60"/>
      <w:ind w:left="1080" w:hanging="360"/>
    </w:pPr>
    <w:rPr>
      <w:bCs/>
      <w:szCs w:val="24"/>
    </w:rPr>
  </w:style>
  <w:style w:type="paragraph" w:customStyle="1" w:styleId="Caption1">
    <w:name w:val="Caption1"/>
    <w:basedOn w:val="Normal"/>
    <w:next w:val="Normal"/>
    <w:rsid w:val="007E7DA8"/>
    <w:rPr>
      <w:noProof/>
    </w:rPr>
  </w:style>
  <w:style w:type="paragraph" w:styleId="List">
    <w:name w:val="List"/>
    <w:basedOn w:val="Normal"/>
    <w:rsid w:val="007E7DA8"/>
    <w:pPr>
      <w:ind w:left="360" w:hanging="360"/>
    </w:pPr>
    <w:rPr>
      <w:szCs w:val="24"/>
    </w:rPr>
  </w:style>
  <w:style w:type="paragraph" w:customStyle="1" w:styleId="xl30">
    <w:name w:val="xl30"/>
    <w:basedOn w:val="Normal"/>
    <w:rsid w:val="007E7DA8"/>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szCs w:val="24"/>
    </w:rPr>
  </w:style>
  <w:style w:type="paragraph" w:customStyle="1" w:styleId="WPDefaults">
    <w:name w:val="WP Defaults"/>
    <w:rsid w:val="007E7DA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both"/>
    </w:pPr>
    <w:rPr>
      <w:rFonts w:ascii="Courier" w:hAnsi="Courier"/>
      <w:sz w:val="24"/>
      <w:szCs w:val="24"/>
      <w:lang w:val="en-US" w:eastAsia="en-US"/>
    </w:rPr>
  </w:style>
  <w:style w:type="paragraph" w:customStyle="1" w:styleId="Answer">
    <w:name w:val="Answer"/>
    <w:basedOn w:val="Normal"/>
    <w:link w:val="AnswerChar"/>
    <w:qFormat/>
    <w:rsid w:val="007E7DA8"/>
    <w:rPr>
      <w:rFonts w:ascii="Calibri" w:eastAsia="Calibri" w:hAnsi="Calibri"/>
      <w:color w:val="1F4E79"/>
      <w:sz w:val="20"/>
      <w:szCs w:val="22"/>
    </w:rPr>
  </w:style>
  <w:style w:type="character" w:customStyle="1" w:styleId="AnswerChar">
    <w:name w:val="Answer Char"/>
    <w:link w:val="Answer"/>
    <w:rsid w:val="007E7DA8"/>
    <w:rPr>
      <w:rFonts w:ascii="Calibri" w:eastAsia="Calibri" w:hAnsi="Calibri"/>
      <w:color w:val="1F4E79"/>
      <w:szCs w:val="22"/>
      <w:lang w:val="en-US" w:eastAsia="en-US"/>
    </w:rPr>
  </w:style>
  <w:style w:type="character" w:customStyle="1" w:styleId="ui-provider">
    <w:name w:val="ui-provider"/>
    <w:basedOn w:val="DefaultParagraphFont"/>
    <w:rsid w:val="007E7DA8"/>
  </w:style>
  <w:style w:type="numbering" w:customStyle="1" w:styleId="Ref">
    <w:name w:val="Ref"/>
    <w:uiPriority w:val="99"/>
    <w:rsid w:val="007E7DA8"/>
    <w:pPr>
      <w:numPr>
        <w:numId w:val="18"/>
      </w:numPr>
    </w:pPr>
  </w:style>
  <w:style w:type="paragraph" w:customStyle="1" w:styleId="DocNumber0">
    <w:name w:val="Doc Number"/>
    <w:basedOn w:val="Title"/>
    <w:uiPriority w:val="99"/>
    <w:unhideWhenUsed/>
    <w:rsid w:val="007E7DA8"/>
    <w:pPr>
      <w:jc w:val="right"/>
    </w:pPr>
    <w:rPr>
      <w:b w:val="0"/>
      <w:caps/>
      <w:sz w:val="40"/>
      <w:lang w:val="en-CA" w:eastAsia="en-CA" w:bidi="en-CA"/>
    </w:rPr>
  </w:style>
  <w:style w:type="character" w:customStyle="1" w:styleId="SubtitleChar">
    <w:name w:val="Subtitle Char"/>
    <w:basedOn w:val="DefaultParagraphFont"/>
    <w:link w:val="Subtitle"/>
    <w:uiPriority w:val="11"/>
    <w:rsid w:val="007E7DA8"/>
    <w:rPr>
      <w:rFonts w:ascii="Helvetica" w:hAnsi="Helvetica"/>
      <w:b/>
      <w:sz w:val="36"/>
      <w:lang w:val="en-US" w:eastAsia="en-US"/>
    </w:rPr>
  </w:style>
  <w:style w:type="paragraph" w:styleId="Revision">
    <w:name w:val="Revision"/>
    <w:hidden/>
    <w:uiPriority w:val="99"/>
    <w:semiHidden/>
    <w:rsid w:val="00534817"/>
    <w:rPr>
      <w:sz w:val="24"/>
      <w:lang w:val="en-US" w:eastAsia="en-US"/>
    </w:rPr>
  </w:style>
  <w:style w:type="character" w:customStyle="1" w:styleId="fontstyle01">
    <w:name w:val="fontstyle01"/>
    <w:basedOn w:val="DefaultParagraphFont"/>
    <w:rsid w:val="003F6D77"/>
    <w:rPr>
      <w:rFonts w:ascii="Arial" w:hAnsi="Arial" w:cs="Arial" w:hint="default"/>
      <w:b w:val="0"/>
      <w:bCs w:val="0"/>
      <w:i w:val="0"/>
      <w:iCs w:val="0"/>
      <w:color w:val="000000"/>
      <w:sz w:val="22"/>
      <w:szCs w:val="22"/>
    </w:rPr>
  </w:style>
  <w:style w:type="character" w:customStyle="1" w:styleId="fontstyle21">
    <w:name w:val="fontstyle21"/>
    <w:basedOn w:val="DefaultParagraphFont"/>
    <w:rsid w:val="003F6D77"/>
    <w:rPr>
      <w:rFonts w:ascii="Symbol" w:hAnsi="Symbol" w:hint="default"/>
      <w:b w:val="0"/>
      <w:bCs w:val="0"/>
      <w:i w:val="0"/>
      <w:iCs w:val="0"/>
      <w:color w:val="000000"/>
      <w:sz w:val="22"/>
      <w:szCs w:val="22"/>
    </w:rPr>
  </w:style>
  <w:style w:type="character" w:customStyle="1" w:styleId="fontstyle31">
    <w:name w:val="fontstyle31"/>
    <w:basedOn w:val="DefaultParagraphFont"/>
    <w:rsid w:val="003300F9"/>
    <w:rPr>
      <w:rFonts w:ascii="Courier New" w:hAnsi="Courier New" w:cs="Courier New" w:hint="default"/>
      <w:b w:val="0"/>
      <w:bCs w:val="0"/>
      <w:i w:val="0"/>
      <w:iCs w:val="0"/>
      <w:color w:val="000000"/>
      <w:sz w:val="22"/>
      <w:szCs w:val="22"/>
    </w:rPr>
  </w:style>
  <w:style w:type="character" w:customStyle="1" w:styleId="genid24502">
    <w:name w:val="genid24_502"/>
    <w:basedOn w:val="DefaultParagraphFont"/>
    <w:rsid w:val="0095190C"/>
  </w:style>
  <w:style w:type="table" w:styleId="TableGridLight">
    <w:name w:val="Grid Table Light"/>
    <w:basedOn w:val="TableNormal"/>
    <w:uiPriority w:val="40"/>
    <w:rsid w:val="00A0225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C552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rsid w:val="00044BD6"/>
    <w:rPr>
      <w:rFonts w:ascii="Arial" w:hAnsi="Arial"/>
      <w:b/>
      <w:caps/>
      <w:sz w:val="24"/>
      <w:lang w:val="en-US" w:eastAsia="en-US"/>
    </w:rPr>
  </w:style>
  <w:style w:type="paragraph" w:customStyle="1" w:styleId="pdq2pgselectionanchorcontainer">
    <w:name w:val="pdq2pg_selectionanchorcontainer"/>
    <w:basedOn w:val="Normal"/>
    <w:rsid w:val="00AA4C88"/>
    <w:pPr>
      <w:spacing w:before="100" w:beforeAutospacing="1" w:after="100" w:afterAutospacing="1"/>
    </w:pPr>
    <w:rPr>
      <w:rFonts w:ascii="Times New Roman" w:hAnsi="Times New Roman"/>
      <w:szCs w:val="24"/>
    </w:rPr>
  </w:style>
  <w:style w:type="paragraph" w:customStyle="1" w:styleId="TextBody">
    <w:name w:val="Text Body"/>
    <w:basedOn w:val="Normal"/>
    <w:link w:val="TextBodyChar"/>
    <w:qFormat/>
    <w:rsid w:val="0025206F"/>
    <w:pPr>
      <w:overflowPunct w:val="0"/>
      <w:autoSpaceDE w:val="0"/>
      <w:autoSpaceDN w:val="0"/>
      <w:adjustRightInd w:val="0"/>
      <w:spacing w:after="200" w:line="320" w:lineRule="exact"/>
      <w:ind w:left="1512" w:right="432"/>
      <w:jc w:val="both"/>
      <w:textAlignment w:val="baseline"/>
    </w:pPr>
    <w:rPr>
      <w:rFonts w:ascii="Helvetica" w:hAnsi="Helvetica"/>
      <w:sz w:val="20"/>
      <w:lang w:val="en-CA"/>
    </w:rPr>
  </w:style>
  <w:style w:type="character" w:customStyle="1" w:styleId="TextBodyChar">
    <w:name w:val="Text Body Char"/>
    <w:aliases w:val="text body Char,tb Char,textbodt Char,table body Char,table(body) Char"/>
    <w:basedOn w:val="DefaultParagraphFont"/>
    <w:link w:val="TextBody"/>
    <w:rsid w:val="0025206F"/>
    <w:rPr>
      <w:rFonts w:ascii="Helvetica" w:hAnsi="Helvetica"/>
      <w:lang w:eastAsia="en-US"/>
    </w:rPr>
  </w:style>
  <w:style w:type="table" w:styleId="GridTable4-Accent1">
    <w:name w:val="Grid Table 4 Accent 1"/>
    <w:basedOn w:val="TableNormal"/>
    <w:uiPriority w:val="49"/>
    <w:rsid w:val="001D50DE"/>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6220">
      <w:bodyDiv w:val="1"/>
      <w:marLeft w:val="0"/>
      <w:marRight w:val="0"/>
      <w:marTop w:val="0"/>
      <w:marBottom w:val="0"/>
      <w:divBdr>
        <w:top w:val="none" w:sz="0" w:space="0" w:color="auto"/>
        <w:left w:val="none" w:sz="0" w:space="0" w:color="auto"/>
        <w:bottom w:val="none" w:sz="0" w:space="0" w:color="auto"/>
        <w:right w:val="none" w:sz="0" w:space="0" w:color="auto"/>
      </w:divBdr>
    </w:div>
    <w:div w:id="45032511">
      <w:bodyDiv w:val="1"/>
      <w:marLeft w:val="0"/>
      <w:marRight w:val="0"/>
      <w:marTop w:val="0"/>
      <w:marBottom w:val="0"/>
      <w:divBdr>
        <w:top w:val="none" w:sz="0" w:space="0" w:color="auto"/>
        <w:left w:val="none" w:sz="0" w:space="0" w:color="auto"/>
        <w:bottom w:val="none" w:sz="0" w:space="0" w:color="auto"/>
        <w:right w:val="none" w:sz="0" w:space="0" w:color="auto"/>
      </w:divBdr>
      <w:divsChild>
        <w:div w:id="129827879">
          <w:marLeft w:val="-225"/>
          <w:marRight w:val="-225"/>
          <w:marTop w:val="0"/>
          <w:marBottom w:val="0"/>
          <w:divBdr>
            <w:top w:val="none" w:sz="0" w:space="0" w:color="auto"/>
            <w:left w:val="none" w:sz="0" w:space="0" w:color="auto"/>
            <w:bottom w:val="none" w:sz="0" w:space="0" w:color="auto"/>
            <w:right w:val="none" w:sz="0" w:space="0" w:color="auto"/>
          </w:divBdr>
          <w:divsChild>
            <w:div w:id="741636498">
              <w:marLeft w:val="0"/>
              <w:marRight w:val="0"/>
              <w:marTop w:val="0"/>
              <w:marBottom w:val="0"/>
              <w:divBdr>
                <w:top w:val="none" w:sz="0" w:space="0" w:color="auto"/>
                <w:left w:val="none" w:sz="0" w:space="0" w:color="auto"/>
                <w:bottom w:val="none" w:sz="0" w:space="0" w:color="auto"/>
                <w:right w:val="none" w:sz="0" w:space="0" w:color="auto"/>
              </w:divBdr>
              <w:divsChild>
                <w:div w:id="137870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54185">
          <w:marLeft w:val="-225"/>
          <w:marRight w:val="-225"/>
          <w:marTop w:val="0"/>
          <w:marBottom w:val="0"/>
          <w:divBdr>
            <w:top w:val="none" w:sz="0" w:space="0" w:color="auto"/>
            <w:left w:val="none" w:sz="0" w:space="0" w:color="auto"/>
            <w:bottom w:val="none" w:sz="0" w:space="0" w:color="auto"/>
            <w:right w:val="none" w:sz="0" w:space="0" w:color="auto"/>
          </w:divBdr>
          <w:divsChild>
            <w:div w:id="31423421">
              <w:marLeft w:val="0"/>
              <w:marRight w:val="0"/>
              <w:marTop w:val="0"/>
              <w:marBottom w:val="0"/>
              <w:divBdr>
                <w:top w:val="none" w:sz="0" w:space="0" w:color="auto"/>
                <w:left w:val="none" w:sz="0" w:space="0" w:color="auto"/>
                <w:bottom w:val="none" w:sz="0" w:space="0" w:color="auto"/>
                <w:right w:val="none" w:sz="0" w:space="0" w:color="auto"/>
              </w:divBdr>
              <w:divsChild>
                <w:div w:id="205442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00358">
          <w:marLeft w:val="-225"/>
          <w:marRight w:val="-225"/>
          <w:marTop w:val="0"/>
          <w:marBottom w:val="0"/>
          <w:divBdr>
            <w:top w:val="none" w:sz="0" w:space="0" w:color="auto"/>
            <w:left w:val="none" w:sz="0" w:space="0" w:color="auto"/>
            <w:bottom w:val="none" w:sz="0" w:space="0" w:color="auto"/>
            <w:right w:val="none" w:sz="0" w:space="0" w:color="auto"/>
          </w:divBdr>
          <w:divsChild>
            <w:div w:id="2001805055">
              <w:marLeft w:val="0"/>
              <w:marRight w:val="0"/>
              <w:marTop w:val="0"/>
              <w:marBottom w:val="0"/>
              <w:divBdr>
                <w:top w:val="none" w:sz="0" w:space="0" w:color="auto"/>
                <w:left w:val="none" w:sz="0" w:space="0" w:color="auto"/>
                <w:bottom w:val="none" w:sz="0" w:space="0" w:color="auto"/>
                <w:right w:val="none" w:sz="0" w:space="0" w:color="auto"/>
              </w:divBdr>
              <w:divsChild>
                <w:div w:id="157288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60243">
          <w:marLeft w:val="-225"/>
          <w:marRight w:val="-225"/>
          <w:marTop w:val="0"/>
          <w:marBottom w:val="0"/>
          <w:divBdr>
            <w:top w:val="none" w:sz="0" w:space="0" w:color="auto"/>
            <w:left w:val="none" w:sz="0" w:space="0" w:color="auto"/>
            <w:bottom w:val="none" w:sz="0" w:space="0" w:color="auto"/>
            <w:right w:val="none" w:sz="0" w:space="0" w:color="auto"/>
          </w:divBdr>
          <w:divsChild>
            <w:div w:id="2070883816">
              <w:marLeft w:val="0"/>
              <w:marRight w:val="0"/>
              <w:marTop w:val="0"/>
              <w:marBottom w:val="0"/>
              <w:divBdr>
                <w:top w:val="none" w:sz="0" w:space="0" w:color="auto"/>
                <w:left w:val="none" w:sz="0" w:space="0" w:color="auto"/>
                <w:bottom w:val="none" w:sz="0" w:space="0" w:color="auto"/>
                <w:right w:val="none" w:sz="0" w:space="0" w:color="auto"/>
              </w:divBdr>
              <w:divsChild>
                <w:div w:id="8536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22392">
          <w:marLeft w:val="-225"/>
          <w:marRight w:val="-225"/>
          <w:marTop w:val="450"/>
          <w:marBottom w:val="0"/>
          <w:divBdr>
            <w:top w:val="none" w:sz="0" w:space="0" w:color="auto"/>
            <w:left w:val="none" w:sz="0" w:space="0" w:color="auto"/>
            <w:bottom w:val="none" w:sz="0" w:space="0" w:color="auto"/>
            <w:right w:val="none" w:sz="0" w:space="0" w:color="auto"/>
          </w:divBdr>
          <w:divsChild>
            <w:div w:id="1136533978">
              <w:marLeft w:val="0"/>
              <w:marRight w:val="0"/>
              <w:marTop w:val="0"/>
              <w:marBottom w:val="0"/>
              <w:divBdr>
                <w:top w:val="none" w:sz="0" w:space="0" w:color="auto"/>
                <w:left w:val="none" w:sz="0" w:space="0" w:color="auto"/>
                <w:bottom w:val="none" w:sz="0" w:space="0" w:color="auto"/>
                <w:right w:val="none" w:sz="0" w:space="0" w:color="auto"/>
              </w:divBdr>
              <w:divsChild>
                <w:div w:id="174387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346563">
          <w:marLeft w:val="-225"/>
          <w:marRight w:val="-225"/>
          <w:marTop w:val="0"/>
          <w:marBottom w:val="0"/>
          <w:divBdr>
            <w:top w:val="none" w:sz="0" w:space="0" w:color="auto"/>
            <w:left w:val="none" w:sz="0" w:space="0" w:color="auto"/>
            <w:bottom w:val="none" w:sz="0" w:space="0" w:color="auto"/>
            <w:right w:val="none" w:sz="0" w:space="0" w:color="auto"/>
          </w:divBdr>
          <w:divsChild>
            <w:div w:id="1175153046">
              <w:marLeft w:val="0"/>
              <w:marRight w:val="0"/>
              <w:marTop w:val="0"/>
              <w:marBottom w:val="0"/>
              <w:divBdr>
                <w:top w:val="none" w:sz="0" w:space="0" w:color="auto"/>
                <w:left w:val="none" w:sz="0" w:space="0" w:color="auto"/>
                <w:bottom w:val="none" w:sz="0" w:space="0" w:color="auto"/>
                <w:right w:val="none" w:sz="0" w:space="0" w:color="auto"/>
              </w:divBdr>
              <w:divsChild>
                <w:div w:id="151599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12717">
          <w:marLeft w:val="-225"/>
          <w:marRight w:val="-225"/>
          <w:marTop w:val="0"/>
          <w:marBottom w:val="0"/>
          <w:divBdr>
            <w:top w:val="none" w:sz="0" w:space="0" w:color="auto"/>
            <w:left w:val="none" w:sz="0" w:space="0" w:color="auto"/>
            <w:bottom w:val="none" w:sz="0" w:space="0" w:color="auto"/>
            <w:right w:val="none" w:sz="0" w:space="0" w:color="auto"/>
          </w:divBdr>
          <w:divsChild>
            <w:div w:id="1865636235">
              <w:marLeft w:val="0"/>
              <w:marRight w:val="0"/>
              <w:marTop w:val="0"/>
              <w:marBottom w:val="0"/>
              <w:divBdr>
                <w:top w:val="none" w:sz="0" w:space="0" w:color="auto"/>
                <w:left w:val="none" w:sz="0" w:space="0" w:color="auto"/>
                <w:bottom w:val="none" w:sz="0" w:space="0" w:color="auto"/>
                <w:right w:val="none" w:sz="0" w:space="0" w:color="auto"/>
              </w:divBdr>
              <w:divsChild>
                <w:div w:id="55759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90824">
          <w:marLeft w:val="-225"/>
          <w:marRight w:val="-225"/>
          <w:marTop w:val="0"/>
          <w:marBottom w:val="0"/>
          <w:divBdr>
            <w:top w:val="none" w:sz="0" w:space="0" w:color="auto"/>
            <w:left w:val="none" w:sz="0" w:space="0" w:color="auto"/>
            <w:bottom w:val="none" w:sz="0" w:space="0" w:color="auto"/>
            <w:right w:val="none" w:sz="0" w:space="0" w:color="auto"/>
          </w:divBdr>
          <w:divsChild>
            <w:div w:id="785974278">
              <w:marLeft w:val="0"/>
              <w:marRight w:val="0"/>
              <w:marTop w:val="0"/>
              <w:marBottom w:val="0"/>
              <w:divBdr>
                <w:top w:val="none" w:sz="0" w:space="0" w:color="auto"/>
                <w:left w:val="none" w:sz="0" w:space="0" w:color="auto"/>
                <w:bottom w:val="none" w:sz="0" w:space="0" w:color="auto"/>
                <w:right w:val="none" w:sz="0" w:space="0" w:color="auto"/>
              </w:divBdr>
              <w:divsChild>
                <w:div w:id="150793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726036">
          <w:marLeft w:val="-225"/>
          <w:marRight w:val="-225"/>
          <w:marTop w:val="0"/>
          <w:marBottom w:val="0"/>
          <w:divBdr>
            <w:top w:val="none" w:sz="0" w:space="0" w:color="auto"/>
            <w:left w:val="none" w:sz="0" w:space="0" w:color="auto"/>
            <w:bottom w:val="none" w:sz="0" w:space="0" w:color="auto"/>
            <w:right w:val="none" w:sz="0" w:space="0" w:color="auto"/>
          </w:divBdr>
          <w:divsChild>
            <w:div w:id="1757049042">
              <w:marLeft w:val="0"/>
              <w:marRight w:val="0"/>
              <w:marTop w:val="0"/>
              <w:marBottom w:val="0"/>
              <w:divBdr>
                <w:top w:val="none" w:sz="0" w:space="0" w:color="auto"/>
                <w:left w:val="none" w:sz="0" w:space="0" w:color="auto"/>
                <w:bottom w:val="none" w:sz="0" w:space="0" w:color="auto"/>
                <w:right w:val="none" w:sz="0" w:space="0" w:color="auto"/>
              </w:divBdr>
              <w:divsChild>
                <w:div w:id="41609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85485">
          <w:marLeft w:val="-225"/>
          <w:marRight w:val="-225"/>
          <w:marTop w:val="0"/>
          <w:marBottom w:val="0"/>
          <w:divBdr>
            <w:top w:val="none" w:sz="0" w:space="0" w:color="auto"/>
            <w:left w:val="none" w:sz="0" w:space="0" w:color="auto"/>
            <w:bottom w:val="none" w:sz="0" w:space="0" w:color="auto"/>
            <w:right w:val="none" w:sz="0" w:space="0" w:color="auto"/>
          </w:divBdr>
          <w:divsChild>
            <w:div w:id="671224446">
              <w:marLeft w:val="0"/>
              <w:marRight w:val="0"/>
              <w:marTop w:val="0"/>
              <w:marBottom w:val="0"/>
              <w:divBdr>
                <w:top w:val="none" w:sz="0" w:space="0" w:color="auto"/>
                <w:left w:val="none" w:sz="0" w:space="0" w:color="auto"/>
                <w:bottom w:val="none" w:sz="0" w:space="0" w:color="auto"/>
                <w:right w:val="none" w:sz="0" w:space="0" w:color="auto"/>
              </w:divBdr>
              <w:divsChild>
                <w:div w:id="104270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32943">
      <w:bodyDiv w:val="1"/>
      <w:marLeft w:val="0"/>
      <w:marRight w:val="0"/>
      <w:marTop w:val="0"/>
      <w:marBottom w:val="0"/>
      <w:divBdr>
        <w:top w:val="none" w:sz="0" w:space="0" w:color="auto"/>
        <w:left w:val="none" w:sz="0" w:space="0" w:color="auto"/>
        <w:bottom w:val="none" w:sz="0" w:space="0" w:color="auto"/>
        <w:right w:val="none" w:sz="0" w:space="0" w:color="auto"/>
      </w:divBdr>
    </w:div>
    <w:div w:id="149714384">
      <w:bodyDiv w:val="1"/>
      <w:marLeft w:val="0"/>
      <w:marRight w:val="0"/>
      <w:marTop w:val="0"/>
      <w:marBottom w:val="0"/>
      <w:divBdr>
        <w:top w:val="none" w:sz="0" w:space="0" w:color="auto"/>
        <w:left w:val="none" w:sz="0" w:space="0" w:color="auto"/>
        <w:bottom w:val="none" w:sz="0" w:space="0" w:color="auto"/>
        <w:right w:val="none" w:sz="0" w:space="0" w:color="auto"/>
      </w:divBdr>
      <w:divsChild>
        <w:div w:id="76287156">
          <w:marLeft w:val="360"/>
          <w:marRight w:val="0"/>
          <w:marTop w:val="0"/>
          <w:marBottom w:val="120"/>
          <w:divBdr>
            <w:top w:val="none" w:sz="0" w:space="0" w:color="auto"/>
            <w:left w:val="none" w:sz="0" w:space="0" w:color="auto"/>
            <w:bottom w:val="none" w:sz="0" w:space="0" w:color="auto"/>
            <w:right w:val="none" w:sz="0" w:space="0" w:color="auto"/>
          </w:divBdr>
        </w:div>
        <w:div w:id="644512176">
          <w:marLeft w:val="360"/>
          <w:marRight w:val="0"/>
          <w:marTop w:val="0"/>
          <w:marBottom w:val="120"/>
          <w:divBdr>
            <w:top w:val="none" w:sz="0" w:space="0" w:color="auto"/>
            <w:left w:val="none" w:sz="0" w:space="0" w:color="auto"/>
            <w:bottom w:val="none" w:sz="0" w:space="0" w:color="auto"/>
            <w:right w:val="none" w:sz="0" w:space="0" w:color="auto"/>
          </w:divBdr>
        </w:div>
        <w:div w:id="701134273">
          <w:marLeft w:val="360"/>
          <w:marRight w:val="0"/>
          <w:marTop w:val="0"/>
          <w:marBottom w:val="120"/>
          <w:divBdr>
            <w:top w:val="none" w:sz="0" w:space="0" w:color="auto"/>
            <w:left w:val="none" w:sz="0" w:space="0" w:color="auto"/>
            <w:bottom w:val="none" w:sz="0" w:space="0" w:color="auto"/>
            <w:right w:val="none" w:sz="0" w:space="0" w:color="auto"/>
          </w:divBdr>
        </w:div>
        <w:div w:id="893739137">
          <w:marLeft w:val="360"/>
          <w:marRight w:val="0"/>
          <w:marTop w:val="0"/>
          <w:marBottom w:val="0"/>
          <w:divBdr>
            <w:top w:val="none" w:sz="0" w:space="0" w:color="auto"/>
            <w:left w:val="none" w:sz="0" w:space="0" w:color="auto"/>
            <w:bottom w:val="none" w:sz="0" w:space="0" w:color="auto"/>
            <w:right w:val="none" w:sz="0" w:space="0" w:color="auto"/>
          </w:divBdr>
        </w:div>
        <w:div w:id="985210419">
          <w:marLeft w:val="360"/>
          <w:marRight w:val="0"/>
          <w:marTop w:val="0"/>
          <w:marBottom w:val="0"/>
          <w:divBdr>
            <w:top w:val="none" w:sz="0" w:space="0" w:color="auto"/>
            <w:left w:val="none" w:sz="0" w:space="0" w:color="auto"/>
            <w:bottom w:val="none" w:sz="0" w:space="0" w:color="auto"/>
            <w:right w:val="none" w:sz="0" w:space="0" w:color="auto"/>
          </w:divBdr>
        </w:div>
        <w:div w:id="1355501287">
          <w:marLeft w:val="360"/>
          <w:marRight w:val="0"/>
          <w:marTop w:val="0"/>
          <w:marBottom w:val="120"/>
          <w:divBdr>
            <w:top w:val="none" w:sz="0" w:space="0" w:color="auto"/>
            <w:left w:val="none" w:sz="0" w:space="0" w:color="auto"/>
            <w:bottom w:val="none" w:sz="0" w:space="0" w:color="auto"/>
            <w:right w:val="none" w:sz="0" w:space="0" w:color="auto"/>
          </w:divBdr>
        </w:div>
        <w:div w:id="2116436108">
          <w:marLeft w:val="360"/>
          <w:marRight w:val="0"/>
          <w:marTop w:val="0"/>
          <w:marBottom w:val="0"/>
          <w:divBdr>
            <w:top w:val="none" w:sz="0" w:space="0" w:color="auto"/>
            <w:left w:val="none" w:sz="0" w:space="0" w:color="auto"/>
            <w:bottom w:val="none" w:sz="0" w:space="0" w:color="auto"/>
            <w:right w:val="none" w:sz="0" w:space="0" w:color="auto"/>
          </w:divBdr>
        </w:div>
      </w:divsChild>
    </w:div>
    <w:div w:id="227114996">
      <w:bodyDiv w:val="1"/>
      <w:marLeft w:val="0"/>
      <w:marRight w:val="0"/>
      <w:marTop w:val="0"/>
      <w:marBottom w:val="0"/>
      <w:divBdr>
        <w:top w:val="none" w:sz="0" w:space="0" w:color="auto"/>
        <w:left w:val="none" w:sz="0" w:space="0" w:color="auto"/>
        <w:bottom w:val="none" w:sz="0" w:space="0" w:color="auto"/>
        <w:right w:val="none" w:sz="0" w:space="0" w:color="auto"/>
      </w:divBdr>
    </w:div>
    <w:div w:id="268121857">
      <w:bodyDiv w:val="1"/>
      <w:marLeft w:val="0"/>
      <w:marRight w:val="0"/>
      <w:marTop w:val="0"/>
      <w:marBottom w:val="0"/>
      <w:divBdr>
        <w:top w:val="none" w:sz="0" w:space="0" w:color="auto"/>
        <w:left w:val="none" w:sz="0" w:space="0" w:color="auto"/>
        <w:bottom w:val="none" w:sz="0" w:space="0" w:color="auto"/>
        <w:right w:val="none" w:sz="0" w:space="0" w:color="auto"/>
      </w:divBdr>
    </w:div>
    <w:div w:id="274679000">
      <w:bodyDiv w:val="1"/>
      <w:marLeft w:val="0"/>
      <w:marRight w:val="0"/>
      <w:marTop w:val="0"/>
      <w:marBottom w:val="0"/>
      <w:divBdr>
        <w:top w:val="none" w:sz="0" w:space="0" w:color="auto"/>
        <w:left w:val="none" w:sz="0" w:space="0" w:color="auto"/>
        <w:bottom w:val="none" w:sz="0" w:space="0" w:color="auto"/>
        <w:right w:val="none" w:sz="0" w:space="0" w:color="auto"/>
      </w:divBdr>
    </w:div>
    <w:div w:id="304046424">
      <w:bodyDiv w:val="1"/>
      <w:marLeft w:val="0"/>
      <w:marRight w:val="0"/>
      <w:marTop w:val="0"/>
      <w:marBottom w:val="0"/>
      <w:divBdr>
        <w:top w:val="none" w:sz="0" w:space="0" w:color="auto"/>
        <w:left w:val="none" w:sz="0" w:space="0" w:color="auto"/>
        <w:bottom w:val="none" w:sz="0" w:space="0" w:color="auto"/>
        <w:right w:val="none" w:sz="0" w:space="0" w:color="auto"/>
      </w:divBdr>
    </w:div>
    <w:div w:id="311257815">
      <w:bodyDiv w:val="1"/>
      <w:marLeft w:val="0"/>
      <w:marRight w:val="0"/>
      <w:marTop w:val="0"/>
      <w:marBottom w:val="0"/>
      <w:divBdr>
        <w:top w:val="none" w:sz="0" w:space="0" w:color="auto"/>
        <w:left w:val="none" w:sz="0" w:space="0" w:color="auto"/>
        <w:bottom w:val="none" w:sz="0" w:space="0" w:color="auto"/>
        <w:right w:val="none" w:sz="0" w:space="0" w:color="auto"/>
      </w:divBdr>
    </w:div>
    <w:div w:id="352338643">
      <w:bodyDiv w:val="1"/>
      <w:marLeft w:val="0"/>
      <w:marRight w:val="0"/>
      <w:marTop w:val="0"/>
      <w:marBottom w:val="0"/>
      <w:divBdr>
        <w:top w:val="none" w:sz="0" w:space="0" w:color="auto"/>
        <w:left w:val="none" w:sz="0" w:space="0" w:color="auto"/>
        <w:bottom w:val="none" w:sz="0" w:space="0" w:color="auto"/>
        <w:right w:val="none" w:sz="0" w:space="0" w:color="auto"/>
      </w:divBdr>
    </w:div>
    <w:div w:id="447554390">
      <w:bodyDiv w:val="1"/>
      <w:marLeft w:val="0"/>
      <w:marRight w:val="0"/>
      <w:marTop w:val="0"/>
      <w:marBottom w:val="0"/>
      <w:divBdr>
        <w:top w:val="none" w:sz="0" w:space="0" w:color="auto"/>
        <w:left w:val="none" w:sz="0" w:space="0" w:color="auto"/>
        <w:bottom w:val="none" w:sz="0" w:space="0" w:color="auto"/>
        <w:right w:val="none" w:sz="0" w:space="0" w:color="auto"/>
      </w:divBdr>
    </w:div>
    <w:div w:id="562063157">
      <w:bodyDiv w:val="1"/>
      <w:marLeft w:val="0"/>
      <w:marRight w:val="0"/>
      <w:marTop w:val="0"/>
      <w:marBottom w:val="0"/>
      <w:divBdr>
        <w:top w:val="none" w:sz="0" w:space="0" w:color="auto"/>
        <w:left w:val="none" w:sz="0" w:space="0" w:color="auto"/>
        <w:bottom w:val="none" w:sz="0" w:space="0" w:color="auto"/>
        <w:right w:val="none" w:sz="0" w:space="0" w:color="auto"/>
      </w:divBdr>
      <w:divsChild>
        <w:div w:id="870454034">
          <w:marLeft w:val="274"/>
          <w:marRight w:val="0"/>
          <w:marTop w:val="120"/>
          <w:marBottom w:val="0"/>
          <w:divBdr>
            <w:top w:val="none" w:sz="0" w:space="0" w:color="auto"/>
            <w:left w:val="none" w:sz="0" w:space="0" w:color="auto"/>
            <w:bottom w:val="none" w:sz="0" w:space="0" w:color="auto"/>
            <w:right w:val="none" w:sz="0" w:space="0" w:color="auto"/>
          </w:divBdr>
        </w:div>
        <w:div w:id="1183739682">
          <w:marLeft w:val="274"/>
          <w:marRight w:val="0"/>
          <w:marTop w:val="120"/>
          <w:marBottom w:val="0"/>
          <w:divBdr>
            <w:top w:val="none" w:sz="0" w:space="0" w:color="auto"/>
            <w:left w:val="none" w:sz="0" w:space="0" w:color="auto"/>
            <w:bottom w:val="none" w:sz="0" w:space="0" w:color="auto"/>
            <w:right w:val="none" w:sz="0" w:space="0" w:color="auto"/>
          </w:divBdr>
        </w:div>
        <w:div w:id="1719278678">
          <w:marLeft w:val="274"/>
          <w:marRight w:val="0"/>
          <w:marTop w:val="120"/>
          <w:marBottom w:val="0"/>
          <w:divBdr>
            <w:top w:val="none" w:sz="0" w:space="0" w:color="auto"/>
            <w:left w:val="none" w:sz="0" w:space="0" w:color="auto"/>
            <w:bottom w:val="none" w:sz="0" w:space="0" w:color="auto"/>
            <w:right w:val="none" w:sz="0" w:space="0" w:color="auto"/>
          </w:divBdr>
        </w:div>
        <w:div w:id="1987473537">
          <w:marLeft w:val="274"/>
          <w:marRight w:val="0"/>
          <w:marTop w:val="120"/>
          <w:marBottom w:val="0"/>
          <w:divBdr>
            <w:top w:val="none" w:sz="0" w:space="0" w:color="auto"/>
            <w:left w:val="none" w:sz="0" w:space="0" w:color="auto"/>
            <w:bottom w:val="none" w:sz="0" w:space="0" w:color="auto"/>
            <w:right w:val="none" w:sz="0" w:space="0" w:color="auto"/>
          </w:divBdr>
        </w:div>
      </w:divsChild>
    </w:div>
    <w:div w:id="611327517">
      <w:bodyDiv w:val="1"/>
      <w:marLeft w:val="0"/>
      <w:marRight w:val="0"/>
      <w:marTop w:val="0"/>
      <w:marBottom w:val="0"/>
      <w:divBdr>
        <w:top w:val="none" w:sz="0" w:space="0" w:color="auto"/>
        <w:left w:val="none" w:sz="0" w:space="0" w:color="auto"/>
        <w:bottom w:val="none" w:sz="0" w:space="0" w:color="auto"/>
        <w:right w:val="none" w:sz="0" w:space="0" w:color="auto"/>
      </w:divBdr>
    </w:div>
    <w:div w:id="682782088">
      <w:bodyDiv w:val="1"/>
      <w:marLeft w:val="0"/>
      <w:marRight w:val="0"/>
      <w:marTop w:val="0"/>
      <w:marBottom w:val="0"/>
      <w:divBdr>
        <w:top w:val="none" w:sz="0" w:space="0" w:color="auto"/>
        <w:left w:val="none" w:sz="0" w:space="0" w:color="auto"/>
        <w:bottom w:val="none" w:sz="0" w:space="0" w:color="auto"/>
        <w:right w:val="none" w:sz="0" w:space="0" w:color="auto"/>
      </w:divBdr>
    </w:div>
    <w:div w:id="798189428">
      <w:bodyDiv w:val="1"/>
      <w:marLeft w:val="0"/>
      <w:marRight w:val="0"/>
      <w:marTop w:val="0"/>
      <w:marBottom w:val="0"/>
      <w:divBdr>
        <w:top w:val="none" w:sz="0" w:space="0" w:color="auto"/>
        <w:left w:val="none" w:sz="0" w:space="0" w:color="auto"/>
        <w:bottom w:val="none" w:sz="0" w:space="0" w:color="auto"/>
        <w:right w:val="none" w:sz="0" w:space="0" w:color="auto"/>
      </w:divBdr>
    </w:div>
    <w:div w:id="1300261998">
      <w:bodyDiv w:val="1"/>
      <w:marLeft w:val="0"/>
      <w:marRight w:val="0"/>
      <w:marTop w:val="0"/>
      <w:marBottom w:val="0"/>
      <w:divBdr>
        <w:top w:val="none" w:sz="0" w:space="0" w:color="auto"/>
        <w:left w:val="none" w:sz="0" w:space="0" w:color="auto"/>
        <w:bottom w:val="none" w:sz="0" w:space="0" w:color="auto"/>
        <w:right w:val="none" w:sz="0" w:space="0" w:color="auto"/>
      </w:divBdr>
      <w:divsChild>
        <w:div w:id="8993063">
          <w:marLeft w:val="0"/>
          <w:marRight w:val="0"/>
          <w:marTop w:val="0"/>
          <w:marBottom w:val="0"/>
          <w:divBdr>
            <w:top w:val="single" w:sz="2" w:space="0" w:color="333333"/>
            <w:left w:val="single" w:sz="2" w:space="0" w:color="333333"/>
            <w:bottom w:val="single" w:sz="2" w:space="0" w:color="333333"/>
            <w:right w:val="single" w:sz="2" w:space="0" w:color="333333"/>
          </w:divBdr>
        </w:div>
        <w:div w:id="137454845">
          <w:marLeft w:val="0"/>
          <w:marRight w:val="0"/>
          <w:marTop w:val="0"/>
          <w:marBottom w:val="0"/>
          <w:divBdr>
            <w:top w:val="single" w:sz="2" w:space="0" w:color="333333"/>
            <w:left w:val="single" w:sz="2" w:space="0" w:color="333333"/>
            <w:bottom w:val="single" w:sz="2" w:space="0" w:color="333333"/>
            <w:right w:val="single" w:sz="2" w:space="0" w:color="333333"/>
          </w:divBdr>
        </w:div>
        <w:div w:id="407458360">
          <w:marLeft w:val="0"/>
          <w:marRight w:val="0"/>
          <w:marTop w:val="0"/>
          <w:marBottom w:val="0"/>
          <w:divBdr>
            <w:top w:val="single" w:sz="2" w:space="0" w:color="333333"/>
            <w:left w:val="single" w:sz="2" w:space="0" w:color="333333"/>
            <w:bottom w:val="single" w:sz="2" w:space="0" w:color="333333"/>
            <w:right w:val="single" w:sz="2" w:space="0" w:color="333333"/>
          </w:divBdr>
        </w:div>
        <w:div w:id="667291006">
          <w:marLeft w:val="0"/>
          <w:marRight w:val="0"/>
          <w:marTop w:val="0"/>
          <w:marBottom w:val="0"/>
          <w:divBdr>
            <w:top w:val="single" w:sz="2" w:space="0" w:color="333333"/>
            <w:left w:val="single" w:sz="2" w:space="0" w:color="333333"/>
            <w:bottom w:val="single" w:sz="2" w:space="0" w:color="333333"/>
            <w:right w:val="single" w:sz="2" w:space="0" w:color="333333"/>
          </w:divBdr>
        </w:div>
        <w:div w:id="930048456">
          <w:marLeft w:val="0"/>
          <w:marRight w:val="0"/>
          <w:marTop w:val="0"/>
          <w:marBottom w:val="0"/>
          <w:divBdr>
            <w:top w:val="single" w:sz="2" w:space="0" w:color="333333"/>
            <w:left w:val="single" w:sz="2" w:space="0" w:color="333333"/>
            <w:bottom w:val="single" w:sz="2" w:space="0" w:color="333333"/>
            <w:right w:val="single" w:sz="2" w:space="0" w:color="333333"/>
          </w:divBdr>
        </w:div>
        <w:div w:id="1025639668">
          <w:marLeft w:val="0"/>
          <w:marRight w:val="0"/>
          <w:marTop w:val="0"/>
          <w:marBottom w:val="0"/>
          <w:divBdr>
            <w:top w:val="single" w:sz="2" w:space="0" w:color="333333"/>
            <w:left w:val="single" w:sz="2" w:space="0" w:color="333333"/>
            <w:bottom w:val="single" w:sz="2" w:space="0" w:color="333333"/>
            <w:right w:val="single" w:sz="2" w:space="0" w:color="333333"/>
          </w:divBdr>
        </w:div>
        <w:div w:id="1295987601">
          <w:marLeft w:val="0"/>
          <w:marRight w:val="0"/>
          <w:marTop w:val="0"/>
          <w:marBottom w:val="0"/>
          <w:divBdr>
            <w:top w:val="single" w:sz="2" w:space="0" w:color="333333"/>
            <w:left w:val="single" w:sz="2" w:space="0" w:color="333333"/>
            <w:bottom w:val="single" w:sz="2" w:space="0" w:color="333333"/>
            <w:right w:val="single" w:sz="2" w:space="0" w:color="333333"/>
          </w:divBdr>
        </w:div>
        <w:div w:id="1390886465">
          <w:marLeft w:val="0"/>
          <w:marRight w:val="0"/>
          <w:marTop w:val="0"/>
          <w:marBottom w:val="0"/>
          <w:divBdr>
            <w:top w:val="single" w:sz="2" w:space="0" w:color="333333"/>
            <w:left w:val="single" w:sz="2" w:space="0" w:color="333333"/>
            <w:bottom w:val="single" w:sz="2" w:space="0" w:color="333333"/>
            <w:right w:val="single" w:sz="2" w:space="0" w:color="333333"/>
          </w:divBdr>
        </w:div>
        <w:div w:id="1429885308">
          <w:marLeft w:val="0"/>
          <w:marRight w:val="0"/>
          <w:marTop w:val="0"/>
          <w:marBottom w:val="0"/>
          <w:divBdr>
            <w:top w:val="single" w:sz="2" w:space="0" w:color="333333"/>
            <w:left w:val="single" w:sz="2" w:space="0" w:color="333333"/>
            <w:bottom w:val="single" w:sz="2" w:space="0" w:color="333333"/>
            <w:right w:val="single" w:sz="2" w:space="0" w:color="333333"/>
          </w:divBdr>
        </w:div>
      </w:divsChild>
    </w:div>
    <w:div w:id="1464343940">
      <w:bodyDiv w:val="1"/>
      <w:marLeft w:val="0"/>
      <w:marRight w:val="0"/>
      <w:marTop w:val="0"/>
      <w:marBottom w:val="0"/>
      <w:divBdr>
        <w:top w:val="none" w:sz="0" w:space="0" w:color="auto"/>
        <w:left w:val="none" w:sz="0" w:space="0" w:color="auto"/>
        <w:bottom w:val="none" w:sz="0" w:space="0" w:color="auto"/>
        <w:right w:val="none" w:sz="0" w:space="0" w:color="auto"/>
      </w:divBdr>
    </w:div>
    <w:div w:id="1498036914">
      <w:bodyDiv w:val="1"/>
      <w:marLeft w:val="0"/>
      <w:marRight w:val="0"/>
      <w:marTop w:val="0"/>
      <w:marBottom w:val="0"/>
      <w:divBdr>
        <w:top w:val="none" w:sz="0" w:space="0" w:color="auto"/>
        <w:left w:val="none" w:sz="0" w:space="0" w:color="auto"/>
        <w:bottom w:val="none" w:sz="0" w:space="0" w:color="auto"/>
        <w:right w:val="none" w:sz="0" w:space="0" w:color="auto"/>
      </w:divBdr>
    </w:div>
    <w:div w:id="1571188568">
      <w:bodyDiv w:val="1"/>
      <w:marLeft w:val="0"/>
      <w:marRight w:val="0"/>
      <w:marTop w:val="0"/>
      <w:marBottom w:val="0"/>
      <w:divBdr>
        <w:top w:val="none" w:sz="0" w:space="0" w:color="auto"/>
        <w:left w:val="none" w:sz="0" w:space="0" w:color="auto"/>
        <w:bottom w:val="none" w:sz="0" w:space="0" w:color="auto"/>
        <w:right w:val="none" w:sz="0" w:space="0" w:color="auto"/>
      </w:divBdr>
    </w:div>
    <w:div w:id="1595288608">
      <w:bodyDiv w:val="1"/>
      <w:marLeft w:val="0"/>
      <w:marRight w:val="0"/>
      <w:marTop w:val="0"/>
      <w:marBottom w:val="0"/>
      <w:divBdr>
        <w:top w:val="none" w:sz="0" w:space="0" w:color="auto"/>
        <w:left w:val="none" w:sz="0" w:space="0" w:color="auto"/>
        <w:bottom w:val="none" w:sz="0" w:space="0" w:color="auto"/>
        <w:right w:val="none" w:sz="0" w:space="0" w:color="auto"/>
      </w:divBdr>
    </w:div>
    <w:div w:id="1696928165">
      <w:bodyDiv w:val="1"/>
      <w:marLeft w:val="0"/>
      <w:marRight w:val="0"/>
      <w:marTop w:val="0"/>
      <w:marBottom w:val="0"/>
      <w:divBdr>
        <w:top w:val="none" w:sz="0" w:space="0" w:color="auto"/>
        <w:left w:val="none" w:sz="0" w:space="0" w:color="auto"/>
        <w:bottom w:val="none" w:sz="0" w:space="0" w:color="auto"/>
        <w:right w:val="none" w:sz="0" w:space="0" w:color="auto"/>
      </w:divBdr>
    </w:div>
    <w:div w:id="1788694904">
      <w:bodyDiv w:val="1"/>
      <w:marLeft w:val="0"/>
      <w:marRight w:val="0"/>
      <w:marTop w:val="0"/>
      <w:marBottom w:val="0"/>
      <w:divBdr>
        <w:top w:val="none" w:sz="0" w:space="0" w:color="auto"/>
        <w:left w:val="none" w:sz="0" w:space="0" w:color="auto"/>
        <w:bottom w:val="none" w:sz="0" w:space="0" w:color="auto"/>
        <w:right w:val="none" w:sz="0" w:space="0" w:color="auto"/>
      </w:divBdr>
    </w:div>
    <w:div w:id="1869482982">
      <w:bodyDiv w:val="1"/>
      <w:marLeft w:val="0"/>
      <w:marRight w:val="0"/>
      <w:marTop w:val="0"/>
      <w:marBottom w:val="0"/>
      <w:divBdr>
        <w:top w:val="none" w:sz="0" w:space="0" w:color="auto"/>
        <w:left w:val="none" w:sz="0" w:space="0" w:color="auto"/>
        <w:bottom w:val="none" w:sz="0" w:space="0" w:color="auto"/>
        <w:right w:val="none" w:sz="0" w:space="0" w:color="auto"/>
      </w:divBdr>
    </w:div>
    <w:div w:id="1875460043">
      <w:bodyDiv w:val="1"/>
      <w:marLeft w:val="0"/>
      <w:marRight w:val="0"/>
      <w:marTop w:val="0"/>
      <w:marBottom w:val="0"/>
      <w:divBdr>
        <w:top w:val="none" w:sz="0" w:space="0" w:color="auto"/>
        <w:left w:val="none" w:sz="0" w:space="0" w:color="auto"/>
        <w:bottom w:val="none" w:sz="0" w:space="0" w:color="auto"/>
        <w:right w:val="none" w:sz="0" w:space="0" w:color="auto"/>
      </w:divBdr>
    </w:div>
    <w:div w:id="1950355848">
      <w:bodyDiv w:val="1"/>
      <w:marLeft w:val="0"/>
      <w:marRight w:val="0"/>
      <w:marTop w:val="0"/>
      <w:marBottom w:val="0"/>
      <w:divBdr>
        <w:top w:val="none" w:sz="0" w:space="0" w:color="auto"/>
        <w:left w:val="none" w:sz="0" w:space="0" w:color="auto"/>
        <w:bottom w:val="none" w:sz="0" w:space="0" w:color="auto"/>
        <w:right w:val="none" w:sz="0" w:space="0" w:color="auto"/>
      </w:divBdr>
    </w:div>
    <w:div w:id="2138714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19" Type="http://schemas.openxmlformats.org/officeDocument/2006/relationships/header" Target="header4.xml"/><Relationship Id="rId20" Type="http://schemas.openxmlformats.org/officeDocument/2006/relationships/image" Target="media/image5.png"/><Relationship Id="rId2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jean\AppData\Local\Microsoft\Windows\Temporary%20Internet%20Files\Content.Outlook\LG4SHS74\CSA-CM-FORM-0016%20Document_Template-CSA_Project-generi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4716F69-6061-46E2-90B5-21C9723F8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CSA-CM-FORM-0016 Document_Template-CSA_Project-generic.dotx</Template>
  <TotalTime>8385</TotalTime>
  <Pages>20</Pages>
  <Words>4384</Words>
  <Characters>27664</Characters>
  <Application>Microsoft Office Word</Application>
  <DocSecurity>0</DocSecurity>
  <Lines>922</Lines>
  <Paragraphs>464</Paragraphs>
  <ScaleCrop>false</ScaleCrop>
  <HeadingPairs>
    <vt:vector size="2" baseType="variant">
      <vt:variant>
        <vt:lpstr>Title</vt:lpstr>
      </vt:variant>
      <vt:variant>
        <vt:i4>1</vt:i4>
      </vt:variant>
    </vt:vector>
  </HeadingPairs>
  <TitlesOfParts>
    <vt:vector size="1" baseType="lpstr">
      <vt:lpstr>CSA-FIN-RD-0765</vt:lpstr>
    </vt:vector>
  </TitlesOfParts>
  <Company>Canadian Space Agency</Company>
  <LinksUpToDate>false</LinksUpToDate>
  <CharactersWithSpaces>31584</CharactersWithSpaces>
  <SharedDoc>false</SharedDoc>
  <HLinks>
    <vt:vector size="294" baseType="variant">
      <vt:variant>
        <vt:i4>852052</vt:i4>
      </vt:variant>
      <vt:variant>
        <vt:i4>432</vt:i4>
      </vt:variant>
      <vt:variant>
        <vt:i4>0</vt:i4>
      </vt:variant>
      <vt:variant>
        <vt:i4>5</vt:i4>
      </vt:variant>
      <vt:variant>
        <vt:lpwstr>https://livelink/livelink/llisapi.dll/Open/293580313</vt:lpwstr>
      </vt:variant>
      <vt:variant>
        <vt:lpwstr/>
      </vt:variant>
      <vt:variant>
        <vt:i4>4456471</vt:i4>
      </vt:variant>
      <vt:variant>
        <vt:i4>429</vt:i4>
      </vt:variant>
      <vt:variant>
        <vt:i4>0</vt:i4>
      </vt:variant>
      <vt:variant>
        <vt:i4>5</vt:i4>
      </vt:variant>
      <vt:variant>
        <vt:lpwstr>http://livelink/livelink/llisapi.dll?func=ll&amp;objId=46643805&amp;objAction=Open&amp;nexturl=%2Flivelink%2Fllisapi%2Edll%3Ffunc%3Dll%26objId%3D38499166%26objAction%3Dbrowse%26viewType%3D1</vt:lpwstr>
      </vt:variant>
      <vt:variant>
        <vt:lpwstr/>
      </vt:variant>
      <vt:variant>
        <vt:i4>2293794</vt:i4>
      </vt:variant>
      <vt:variant>
        <vt:i4>426</vt:i4>
      </vt:variant>
      <vt:variant>
        <vt:i4>0</vt:i4>
      </vt:variant>
      <vt:variant>
        <vt:i4>5</vt:i4>
      </vt:variant>
      <vt:variant>
        <vt:lpwstr>https://livelink/livelink/llisapi.dll?func=ll&amp;objId=46943430&amp;objAction=Open&amp;nexturl=%2Flivelink%2Fllisapi%2Edll%3Ffunc%3Dll%26objId%3D38499161%26objAction%3Dbrowse</vt:lpwstr>
      </vt:variant>
      <vt:variant>
        <vt:lpwstr/>
      </vt:variant>
      <vt:variant>
        <vt:i4>458818</vt:i4>
      </vt:variant>
      <vt:variant>
        <vt:i4>405</vt:i4>
      </vt:variant>
      <vt:variant>
        <vt:i4>0</vt:i4>
      </vt:variant>
      <vt:variant>
        <vt:i4>5</vt:i4>
      </vt:variant>
      <vt:variant>
        <vt:lpwstr>https://storage.googleapis.com/rideshare-static/Cake_Topper_Payload_Users_Guide.pdf</vt:lpwstr>
      </vt:variant>
      <vt:variant>
        <vt:lpwstr/>
      </vt:variant>
      <vt:variant>
        <vt:i4>1441843</vt:i4>
      </vt:variant>
      <vt:variant>
        <vt:i4>323</vt:i4>
      </vt:variant>
      <vt:variant>
        <vt:i4>0</vt:i4>
      </vt:variant>
      <vt:variant>
        <vt:i4>5</vt:i4>
      </vt:variant>
      <vt:variant>
        <vt:lpwstr/>
      </vt:variant>
      <vt:variant>
        <vt:lpwstr>_Toc173507148</vt:lpwstr>
      </vt:variant>
      <vt:variant>
        <vt:i4>1441843</vt:i4>
      </vt:variant>
      <vt:variant>
        <vt:i4>317</vt:i4>
      </vt:variant>
      <vt:variant>
        <vt:i4>0</vt:i4>
      </vt:variant>
      <vt:variant>
        <vt:i4>5</vt:i4>
      </vt:variant>
      <vt:variant>
        <vt:lpwstr/>
      </vt:variant>
      <vt:variant>
        <vt:lpwstr>_Toc173507147</vt:lpwstr>
      </vt:variant>
      <vt:variant>
        <vt:i4>1441843</vt:i4>
      </vt:variant>
      <vt:variant>
        <vt:i4>311</vt:i4>
      </vt:variant>
      <vt:variant>
        <vt:i4>0</vt:i4>
      </vt:variant>
      <vt:variant>
        <vt:i4>5</vt:i4>
      </vt:variant>
      <vt:variant>
        <vt:lpwstr/>
      </vt:variant>
      <vt:variant>
        <vt:lpwstr>_Toc173507146</vt:lpwstr>
      </vt:variant>
      <vt:variant>
        <vt:i4>1441843</vt:i4>
      </vt:variant>
      <vt:variant>
        <vt:i4>305</vt:i4>
      </vt:variant>
      <vt:variant>
        <vt:i4>0</vt:i4>
      </vt:variant>
      <vt:variant>
        <vt:i4>5</vt:i4>
      </vt:variant>
      <vt:variant>
        <vt:lpwstr/>
      </vt:variant>
      <vt:variant>
        <vt:lpwstr>_Toc173507145</vt:lpwstr>
      </vt:variant>
      <vt:variant>
        <vt:i4>1441843</vt:i4>
      </vt:variant>
      <vt:variant>
        <vt:i4>299</vt:i4>
      </vt:variant>
      <vt:variant>
        <vt:i4>0</vt:i4>
      </vt:variant>
      <vt:variant>
        <vt:i4>5</vt:i4>
      </vt:variant>
      <vt:variant>
        <vt:lpwstr/>
      </vt:variant>
      <vt:variant>
        <vt:lpwstr>_Toc173507144</vt:lpwstr>
      </vt:variant>
      <vt:variant>
        <vt:i4>1441843</vt:i4>
      </vt:variant>
      <vt:variant>
        <vt:i4>293</vt:i4>
      </vt:variant>
      <vt:variant>
        <vt:i4>0</vt:i4>
      </vt:variant>
      <vt:variant>
        <vt:i4>5</vt:i4>
      </vt:variant>
      <vt:variant>
        <vt:lpwstr/>
      </vt:variant>
      <vt:variant>
        <vt:lpwstr>_Toc173507143</vt:lpwstr>
      </vt:variant>
      <vt:variant>
        <vt:i4>1441843</vt:i4>
      </vt:variant>
      <vt:variant>
        <vt:i4>287</vt:i4>
      </vt:variant>
      <vt:variant>
        <vt:i4>0</vt:i4>
      </vt:variant>
      <vt:variant>
        <vt:i4>5</vt:i4>
      </vt:variant>
      <vt:variant>
        <vt:lpwstr/>
      </vt:variant>
      <vt:variant>
        <vt:lpwstr>_Toc173507142</vt:lpwstr>
      </vt:variant>
      <vt:variant>
        <vt:i4>1441843</vt:i4>
      </vt:variant>
      <vt:variant>
        <vt:i4>281</vt:i4>
      </vt:variant>
      <vt:variant>
        <vt:i4>0</vt:i4>
      </vt:variant>
      <vt:variant>
        <vt:i4>5</vt:i4>
      </vt:variant>
      <vt:variant>
        <vt:lpwstr/>
      </vt:variant>
      <vt:variant>
        <vt:lpwstr>_Toc173507141</vt:lpwstr>
      </vt:variant>
      <vt:variant>
        <vt:i4>1441843</vt:i4>
      </vt:variant>
      <vt:variant>
        <vt:i4>275</vt:i4>
      </vt:variant>
      <vt:variant>
        <vt:i4>0</vt:i4>
      </vt:variant>
      <vt:variant>
        <vt:i4>5</vt:i4>
      </vt:variant>
      <vt:variant>
        <vt:lpwstr/>
      </vt:variant>
      <vt:variant>
        <vt:lpwstr>_Toc173507140</vt:lpwstr>
      </vt:variant>
      <vt:variant>
        <vt:i4>1114163</vt:i4>
      </vt:variant>
      <vt:variant>
        <vt:i4>269</vt:i4>
      </vt:variant>
      <vt:variant>
        <vt:i4>0</vt:i4>
      </vt:variant>
      <vt:variant>
        <vt:i4>5</vt:i4>
      </vt:variant>
      <vt:variant>
        <vt:lpwstr/>
      </vt:variant>
      <vt:variant>
        <vt:lpwstr>_Toc173507139</vt:lpwstr>
      </vt:variant>
      <vt:variant>
        <vt:i4>1114163</vt:i4>
      </vt:variant>
      <vt:variant>
        <vt:i4>263</vt:i4>
      </vt:variant>
      <vt:variant>
        <vt:i4>0</vt:i4>
      </vt:variant>
      <vt:variant>
        <vt:i4>5</vt:i4>
      </vt:variant>
      <vt:variant>
        <vt:lpwstr/>
      </vt:variant>
      <vt:variant>
        <vt:lpwstr>_Toc173507138</vt:lpwstr>
      </vt:variant>
      <vt:variant>
        <vt:i4>1114163</vt:i4>
      </vt:variant>
      <vt:variant>
        <vt:i4>257</vt:i4>
      </vt:variant>
      <vt:variant>
        <vt:i4>0</vt:i4>
      </vt:variant>
      <vt:variant>
        <vt:i4>5</vt:i4>
      </vt:variant>
      <vt:variant>
        <vt:lpwstr/>
      </vt:variant>
      <vt:variant>
        <vt:lpwstr>_Toc173507137</vt:lpwstr>
      </vt:variant>
      <vt:variant>
        <vt:i4>1114163</vt:i4>
      </vt:variant>
      <vt:variant>
        <vt:i4>251</vt:i4>
      </vt:variant>
      <vt:variant>
        <vt:i4>0</vt:i4>
      </vt:variant>
      <vt:variant>
        <vt:i4>5</vt:i4>
      </vt:variant>
      <vt:variant>
        <vt:lpwstr/>
      </vt:variant>
      <vt:variant>
        <vt:lpwstr>_Toc173507136</vt:lpwstr>
      </vt:variant>
      <vt:variant>
        <vt:i4>1572916</vt:i4>
      </vt:variant>
      <vt:variant>
        <vt:i4>194</vt:i4>
      </vt:variant>
      <vt:variant>
        <vt:i4>0</vt:i4>
      </vt:variant>
      <vt:variant>
        <vt:i4>5</vt:i4>
      </vt:variant>
      <vt:variant>
        <vt:lpwstr/>
      </vt:variant>
      <vt:variant>
        <vt:lpwstr>_Toc173508657</vt:lpwstr>
      </vt:variant>
      <vt:variant>
        <vt:i4>1572916</vt:i4>
      </vt:variant>
      <vt:variant>
        <vt:i4>188</vt:i4>
      </vt:variant>
      <vt:variant>
        <vt:i4>0</vt:i4>
      </vt:variant>
      <vt:variant>
        <vt:i4>5</vt:i4>
      </vt:variant>
      <vt:variant>
        <vt:lpwstr/>
      </vt:variant>
      <vt:variant>
        <vt:lpwstr>_Toc173508656</vt:lpwstr>
      </vt:variant>
      <vt:variant>
        <vt:i4>1572916</vt:i4>
      </vt:variant>
      <vt:variant>
        <vt:i4>182</vt:i4>
      </vt:variant>
      <vt:variant>
        <vt:i4>0</vt:i4>
      </vt:variant>
      <vt:variant>
        <vt:i4>5</vt:i4>
      </vt:variant>
      <vt:variant>
        <vt:lpwstr/>
      </vt:variant>
      <vt:variant>
        <vt:lpwstr>_Toc173508655</vt:lpwstr>
      </vt:variant>
      <vt:variant>
        <vt:i4>1572916</vt:i4>
      </vt:variant>
      <vt:variant>
        <vt:i4>176</vt:i4>
      </vt:variant>
      <vt:variant>
        <vt:i4>0</vt:i4>
      </vt:variant>
      <vt:variant>
        <vt:i4>5</vt:i4>
      </vt:variant>
      <vt:variant>
        <vt:lpwstr/>
      </vt:variant>
      <vt:variant>
        <vt:lpwstr>_Toc173508654</vt:lpwstr>
      </vt:variant>
      <vt:variant>
        <vt:i4>1572916</vt:i4>
      </vt:variant>
      <vt:variant>
        <vt:i4>170</vt:i4>
      </vt:variant>
      <vt:variant>
        <vt:i4>0</vt:i4>
      </vt:variant>
      <vt:variant>
        <vt:i4>5</vt:i4>
      </vt:variant>
      <vt:variant>
        <vt:lpwstr/>
      </vt:variant>
      <vt:variant>
        <vt:lpwstr>_Toc173508653</vt:lpwstr>
      </vt:variant>
      <vt:variant>
        <vt:i4>1572916</vt:i4>
      </vt:variant>
      <vt:variant>
        <vt:i4>164</vt:i4>
      </vt:variant>
      <vt:variant>
        <vt:i4>0</vt:i4>
      </vt:variant>
      <vt:variant>
        <vt:i4>5</vt:i4>
      </vt:variant>
      <vt:variant>
        <vt:lpwstr/>
      </vt:variant>
      <vt:variant>
        <vt:lpwstr>_Toc173508652</vt:lpwstr>
      </vt:variant>
      <vt:variant>
        <vt:i4>1572916</vt:i4>
      </vt:variant>
      <vt:variant>
        <vt:i4>158</vt:i4>
      </vt:variant>
      <vt:variant>
        <vt:i4>0</vt:i4>
      </vt:variant>
      <vt:variant>
        <vt:i4>5</vt:i4>
      </vt:variant>
      <vt:variant>
        <vt:lpwstr/>
      </vt:variant>
      <vt:variant>
        <vt:lpwstr>_Toc173508651</vt:lpwstr>
      </vt:variant>
      <vt:variant>
        <vt:i4>1572916</vt:i4>
      </vt:variant>
      <vt:variant>
        <vt:i4>152</vt:i4>
      </vt:variant>
      <vt:variant>
        <vt:i4>0</vt:i4>
      </vt:variant>
      <vt:variant>
        <vt:i4>5</vt:i4>
      </vt:variant>
      <vt:variant>
        <vt:lpwstr/>
      </vt:variant>
      <vt:variant>
        <vt:lpwstr>_Toc173508650</vt:lpwstr>
      </vt:variant>
      <vt:variant>
        <vt:i4>1638452</vt:i4>
      </vt:variant>
      <vt:variant>
        <vt:i4>146</vt:i4>
      </vt:variant>
      <vt:variant>
        <vt:i4>0</vt:i4>
      </vt:variant>
      <vt:variant>
        <vt:i4>5</vt:i4>
      </vt:variant>
      <vt:variant>
        <vt:lpwstr/>
      </vt:variant>
      <vt:variant>
        <vt:lpwstr>_Toc173508649</vt:lpwstr>
      </vt:variant>
      <vt:variant>
        <vt:i4>1638452</vt:i4>
      </vt:variant>
      <vt:variant>
        <vt:i4>140</vt:i4>
      </vt:variant>
      <vt:variant>
        <vt:i4>0</vt:i4>
      </vt:variant>
      <vt:variant>
        <vt:i4>5</vt:i4>
      </vt:variant>
      <vt:variant>
        <vt:lpwstr/>
      </vt:variant>
      <vt:variant>
        <vt:lpwstr>_Toc173508648</vt:lpwstr>
      </vt:variant>
      <vt:variant>
        <vt:i4>1638452</vt:i4>
      </vt:variant>
      <vt:variant>
        <vt:i4>134</vt:i4>
      </vt:variant>
      <vt:variant>
        <vt:i4>0</vt:i4>
      </vt:variant>
      <vt:variant>
        <vt:i4>5</vt:i4>
      </vt:variant>
      <vt:variant>
        <vt:lpwstr/>
      </vt:variant>
      <vt:variant>
        <vt:lpwstr>_Toc173508647</vt:lpwstr>
      </vt:variant>
      <vt:variant>
        <vt:i4>1638452</vt:i4>
      </vt:variant>
      <vt:variant>
        <vt:i4>128</vt:i4>
      </vt:variant>
      <vt:variant>
        <vt:i4>0</vt:i4>
      </vt:variant>
      <vt:variant>
        <vt:i4>5</vt:i4>
      </vt:variant>
      <vt:variant>
        <vt:lpwstr/>
      </vt:variant>
      <vt:variant>
        <vt:lpwstr>_Toc173508646</vt:lpwstr>
      </vt:variant>
      <vt:variant>
        <vt:i4>1638452</vt:i4>
      </vt:variant>
      <vt:variant>
        <vt:i4>122</vt:i4>
      </vt:variant>
      <vt:variant>
        <vt:i4>0</vt:i4>
      </vt:variant>
      <vt:variant>
        <vt:i4>5</vt:i4>
      </vt:variant>
      <vt:variant>
        <vt:lpwstr/>
      </vt:variant>
      <vt:variant>
        <vt:lpwstr>_Toc173508645</vt:lpwstr>
      </vt:variant>
      <vt:variant>
        <vt:i4>1638452</vt:i4>
      </vt:variant>
      <vt:variant>
        <vt:i4>116</vt:i4>
      </vt:variant>
      <vt:variant>
        <vt:i4>0</vt:i4>
      </vt:variant>
      <vt:variant>
        <vt:i4>5</vt:i4>
      </vt:variant>
      <vt:variant>
        <vt:lpwstr/>
      </vt:variant>
      <vt:variant>
        <vt:lpwstr>_Toc173508644</vt:lpwstr>
      </vt:variant>
      <vt:variant>
        <vt:i4>1638452</vt:i4>
      </vt:variant>
      <vt:variant>
        <vt:i4>110</vt:i4>
      </vt:variant>
      <vt:variant>
        <vt:i4>0</vt:i4>
      </vt:variant>
      <vt:variant>
        <vt:i4>5</vt:i4>
      </vt:variant>
      <vt:variant>
        <vt:lpwstr/>
      </vt:variant>
      <vt:variant>
        <vt:lpwstr>_Toc173508643</vt:lpwstr>
      </vt:variant>
      <vt:variant>
        <vt:i4>1638452</vt:i4>
      </vt:variant>
      <vt:variant>
        <vt:i4>104</vt:i4>
      </vt:variant>
      <vt:variant>
        <vt:i4>0</vt:i4>
      </vt:variant>
      <vt:variant>
        <vt:i4>5</vt:i4>
      </vt:variant>
      <vt:variant>
        <vt:lpwstr/>
      </vt:variant>
      <vt:variant>
        <vt:lpwstr>_Toc173508642</vt:lpwstr>
      </vt:variant>
      <vt:variant>
        <vt:i4>1638452</vt:i4>
      </vt:variant>
      <vt:variant>
        <vt:i4>98</vt:i4>
      </vt:variant>
      <vt:variant>
        <vt:i4>0</vt:i4>
      </vt:variant>
      <vt:variant>
        <vt:i4>5</vt:i4>
      </vt:variant>
      <vt:variant>
        <vt:lpwstr/>
      </vt:variant>
      <vt:variant>
        <vt:lpwstr>_Toc173508641</vt:lpwstr>
      </vt:variant>
      <vt:variant>
        <vt:i4>1638452</vt:i4>
      </vt:variant>
      <vt:variant>
        <vt:i4>92</vt:i4>
      </vt:variant>
      <vt:variant>
        <vt:i4>0</vt:i4>
      </vt:variant>
      <vt:variant>
        <vt:i4>5</vt:i4>
      </vt:variant>
      <vt:variant>
        <vt:lpwstr/>
      </vt:variant>
      <vt:variant>
        <vt:lpwstr>_Toc173508640</vt:lpwstr>
      </vt:variant>
      <vt:variant>
        <vt:i4>1966132</vt:i4>
      </vt:variant>
      <vt:variant>
        <vt:i4>86</vt:i4>
      </vt:variant>
      <vt:variant>
        <vt:i4>0</vt:i4>
      </vt:variant>
      <vt:variant>
        <vt:i4>5</vt:i4>
      </vt:variant>
      <vt:variant>
        <vt:lpwstr/>
      </vt:variant>
      <vt:variant>
        <vt:lpwstr>_Toc173508639</vt:lpwstr>
      </vt:variant>
      <vt:variant>
        <vt:i4>1966132</vt:i4>
      </vt:variant>
      <vt:variant>
        <vt:i4>80</vt:i4>
      </vt:variant>
      <vt:variant>
        <vt:i4>0</vt:i4>
      </vt:variant>
      <vt:variant>
        <vt:i4>5</vt:i4>
      </vt:variant>
      <vt:variant>
        <vt:lpwstr/>
      </vt:variant>
      <vt:variant>
        <vt:lpwstr>_Toc173508638</vt:lpwstr>
      </vt:variant>
      <vt:variant>
        <vt:i4>1966132</vt:i4>
      </vt:variant>
      <vt:variant>
        <vt:i4>74</vt:i4>
      </vt:variant>
      <vt:variant>
        <vt:i4>0</vt:i4>
      </vt:variant>
      <vt:variant>
        <vt:i4>5</vt:i4>
      </vt:variant>
      <vt:variant>
        <vt:lpwstr/>
      </vt:variant>
      <vt:variant>
        <vt:lpwstr>_Toc173508637</vt:lpwstr>
      </vt:variant>
      <vt:variant>
        <vt:i4>1966132</vt:i4>
      </vt:variant>
      <vt:variant>
        <vt:i4>68</vt:i4>
      </vt:variant>
      <vt:variant>
        <vt:i4>0</vt:i4>
      </vt:variant>
      <vt:variant>
        <vt:i4>5</vt:i4>
      </vt:variant>
      <vt:variant>
        <vt:lpwstr/>
      </vt:variant>
      <vt:variant>
        <vt:lpwstr>_Toc173508636</vt:lpwstr>
      </vt:variant>
      <vt:variant>
        <vt:i4>1966132</vt:i4>
      </vt:variant>
      <vt:variant>
        <vt:i4>62</vt:i4>
      </vt:variant>
      <vt:variant>
        <vt:i4>0</vt:i4>
      </vt:variant>
      <vt:variant>
        <vt:i4>5</vt:i4>
      </vt:variant>
      <vt:variant>
        <vt:lpwstr/>
      </vt:variant>
      <vt:variant>
        <vt:lpwstr>_Toc173508635</vt:lpwstr>
      </vt:variant>
      <vt:variant>
        <vt:i4>1966132</vt:i4>
      </vt:variant>
      <vt:variant>
        <vt:i4>56</vt:i4>
      </vt:variant>
      <vt:variant>
        <vt:i4>0</vt:i4>
      </vt:variant>
      <vt:variant>
        <vt:i4>5</vt:i4>
      </vt:variant>
      <vt:variant>
        <vt:lpwstr/>
      </vt:variant>
      <vt:variant>
        <vt:lpwstr>_Toc173508634</vt:lpwstr>
      </vt:variant>
      <vt:variant>
        <vt:i4>1966132</vt:i4>
      </vt:variant>
      <vt:variant>
        <vt:i4>50</vt:i4>
      </vt:variant>
      <vt:variant>
        <vt:i4>0</vt:i4>
      </vt:variant>
      <vt:variant>
        <vt:i4>5</vt:i4>
      </vt:variant>
      <vt:variant>
        <vt:lpwstr/>
      </vt:variant>
      <vt:variant>
        <vt:lpwstr>_Toc173508633</vt:lpwstr>
      </vt:variant>
      <vt:variant>
        <vt:i4>1966132</vt:i4>
      </vt:variant>
      <vt:variant>
        <vt:i4>44</vt:i4>
      </vt:variant>
      <vt:variant>
        <vt:i4>0</vt:i4>
      </vt:variant>
      <vt:variant>
        <vt:i4>5</vt:i4>
      </vt:variant>
      <vt:variant>
        <vt:lpwstr/>
      </vt:variant>
      <vt:variant>
        <vt:lpwstr>_Toc173508632</vt:lpwstr>
      </vt:variant>
      <vt:variant>
        <vt:i4>1966132</vt:i4>
      </vt:variant>
      <vt:variant>
        <vt:i4>38</vt:i4>
      </vt:variant>
      <vt:variant>
        <vt:i4>0</vt:i4>
      </vt:variant>
      <vt:variant>
        <vt:i4>5</vt:i4>
      </vt:variant>
      <vt:variant>
        <vt:lpwstr/>
      </vt:variant>
      <vt:variant>
        <vt:lpwstr>_Toc173508631</vt:lpwstr>
      </vt:variant>
      <vt:variant>
        <vt:i4>1966132</vt:i4>
      </vt:variant>
      <vt:variant>
        <vt:i4>32</vt:i4>
      </vt:variant>
      <vt:variant>
        <vt:i4>0</vt:i4>
      </vt:variant>
      <vt:variant>
        <vt:i4>5</vt:i4>
      </vt:variant>
      <vt:variant>
        <vt:lpwstr/>
      </vt:variant>
      <vt:variant>
        <vt:lpwstr>_Toc173508630</vt:lpwstr>
      </vt:variant>
      <vt:variant>
        <vt:i4>2031668</vt:i4>
      </vt:variant>
      <vt:variant>
        <vt:i4>26</vt:i4>
      </vt:variant>
      <vt:variant>
        <vt:i4>0</vt:i4>
      </vt:variant>
      <vt:variant>
        <vt:i4>5</vt:i4>
      </vt:variant>
      <vt:variant>
        <vt:lpwstr/>
      </vt:variant>
      <vt:variant>
        <vt:lpwstr>_Toc173508629</vt:lpwstr>
      </vt:variant>
      <vt:variant>
        <vt:i4>2031668</vt:i4>
      </vt:variant>
      <vt:variant>
        <vt:i4>20</vt:i4>
      </vt:variant>
      <vt:variant>
        <vt:i4>0</vt:i4>
      </vt:variant>
      <vt:variant>
        <vt:i4>5</vt:i4>
      </vt:variant>
      <vt:variant>
        <vt:lpwstr/>
      </vt:variant>
      <vt:variant>
        <vt:lpwstr>_Toc173508628</vt:lpwstr>
      </vt:variant>
      <vt:variant>
        <vt:i4>2031668</vt:i4>
      </vt:variant>
      <vt:variant>
        <vt:i4>14</vt:i4>
      </vt:variant>
      <vt:variant>
        <vt:i4>0</vt:i4>
      </vt:variant>
      <vt:variant>
        <vt:i4>5</vt:i4>
      </vt:variant>
      <vt:variant>
        <vt:lpwstr/>
      </vt:variant>
      <vt:variant>
        <vt:lpwstr>_Toc173508627</vt:lpwstr>
      </vt:variant>
      <vt:variant>
        <vt:i4>2031668</vt:i4>
      </vt:variant>
      <vt:variant>
        <vt:i4>8</vt:i4>
      </vt:variant>
      <vt:variant>
        <vt:i4>0</vt:i4>
      </vt:variant>
      <vt:variant>
        <vt:i4>5</vt:i4>
      </vt:variant>
      <vt:variant>
        <vt:lpwstr/>
      </vt:variant>
      <vt:variant>
        <vt:lpwstr>_Toc173508626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CSA-FIN-RD-0765</dc:title>
  <dc:subject>CADRe Part A</dc:subject>
  <dc:creator>Mireille Bedirian</dc:creator>
  <cp:keywords/>
  <dc:description>Draft 1.0</dc:description>
  <cp:lastModifiedBy>Bedirian, Mireille (ASC/CSA)</cp:lastModifiedBy>
  <cp:revision>88</cp:revision>
  <cp:lastPrinted>2001-05-10T16:44:00Z</cp:lastPrinted>
  <dcterms:created xsi:type="dcterms:W3CDTF">2026-05-30T14:57:00Z</dcterms:created>
  <dcterms:modified xsi:type="dcterms:W3CDTF">2026-09-17T18:05:00Z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bf8d8b6-3c0e-4e86-9041-ef5f84df773e_Enabled">
    <vt:lpwstr>true</vt:lpwstr>
  </property>
  <property fmtid="{D5CDD505-2E9C-101B-9397-08002B2CF9AE}" pid="3" name="MSIP_Label_1bf8d8b6-3c0e-4e86-9041-ef5f84df773e_SetDate">
    <vt:lpwstr>2024-08-23T19:45:49Z</vt:lpwstr>
  </property>
  <property fmtid="{D5CDD505-2E9C-101B-9397-08002B2CF9AE}" pid="4" name="MSIP_Label_1bf8d8b6-3c0e-4e86-9041-ef5f84df773e_Method">
    <vt:lpwstr>Privileged</vt:lpwstr>
  </property>
  <property fmtid="{D5CDD505-2E9C-101B-9397-08002B2CF9AE}" pid="5" name="MSIP_Label_1bf8d8b6-3c0e-4e86-9041-ef5f84df773e_Name">
    <vt:lpwstr>PROTÉGÉ B - PROTECTED B</vt:lpwstr>
  </property>
  <property fmtid="{D5CDD505-2E9C-101B-9397-08002B2CF9AE}" pid="6" name="MSIP_Label_1bf8d8b6-3c0e-4e86-9041-ef5f84df773e_SiteId">
    <vt:lpwstr>ea59922f-ea3d-4e45-ba97-caf826fb9335</vt:lpwstr>
  </property>
  <property fmtid="{D5CDD505-2E9C-101B-9397-08002B2CF9AE}" pid="7" name="MSIP_Label_1bf8d8b6-3c0e-4e86-9041-ef5f84df773e_ActionId">
    <vt:lpwstr>8a7b4d6e-6547-493c-952e-bca26c0447a3</vt:lpwstr>
  </property>
  <property fmtid="{D5CDD505-2E9C-101B-9397-08002B2CF9AE}" pid="8" name="MSIP_Label_1bf8d8b6-3c0e-4e86-9041-ef5f84df773e_ContentBits">
    <vt:lpwstr>1</vt:lpwstr>
  </property>
</Properties>
</file>