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Number"/>
        <w:spacing w:after="640"/>
      </w:pPr>
      <w:r>
        <w:t>CADRe Part A • OADO</w:t>
      </w:r>
    </w:p>
    <w:p>
      <w:pPr>
        <w:pStyle w:val="DocTitle"/>
      </w:pPr>
      <w:r>
        <w:t>Mission Cost Analysis Directorate</w:t>
      </w:r>
    </w:p>
    <w:p>
      <w:pPr>
        <w:pStyle w:val="DocTitle"/>
      </w:pPr>
      <w:r>
        <w:t>Cost Analysis Data Requirements</w:t>
      </w:r>
    </w:p>
    <w:p>
      <w:pPr>
        <w:pStyle w:val="DocTitle"/>
      </w:pPr>
      <w:r>
        <w:t>PART A</w:t>
      </w:r>
    </w:p>
    <w:p>
      <w:pPr>
        <w:pStyle w:val="DocTitle"/>
      </w:pPr>
      <w:r>
        <w:t>Orastra Auroral Dynamics Observatory</w:t>
      </w:r>
    </w:p>
    <w:p>
      <w:pPr>
        <w:pStyle w:val="BodyText"/>
      </w:pPr>
      <w:r>
        <w:t>Planning baseline  •  Revision 1.0  •  23 September 2026</w:t>
      </w:r>
    </w:p>
    <w:p>
      <w:pPr>
        <w:pStyle w:val="BodyText"/>
      </w:pPr>
      <w:r>
        <w:t>This mission and all named organizations and individuals are fictional.</w:t>
      </w:r>
    </w:p>
    <w:p>
      <w:r>
        <w:br w:type="page"/>
      </w:r>
    </w:p>
    <w:p>
      <w:pPr>
        <w:pStyle w:val="Heading-unnumbered"/>
      </w:pPr>
      <w:r>
        <w:t>Revision History</w:t>
      </w:r>
    </w:p>
    <w:tbl>
      <w:tblPr>
        <w:tblStyle w:val="TableGrid"/>
        <w:tblW w:type="auto" w:w="0"/>
        <w:jc w:val="center"/>
        <w:tblLayout w:type="fixed"/>
        <w:tblLook w:firstColumn="1" w:firstRow="1" w:lastColumn="0" w:lastRow="0" w:noHBand="0" w:noVBand="1" w:val="04A0"/>
      </w:tblPr>
      <w:tblGrid>
        <w:gridCol w:w="1008"/>
        <w:gridCol w:w="4608"/>
        <w:gridCol w:w="2232"/>
        <w:gridCol w:w="1584"/>
      </w:tblGrid>
      <w:tr>
        <w:trPr>
          <w:tblHeader w:val="true"/>
        </w:trPr>
        <w:tc>
          <w:tcPr>
            <w:tcW w:type="dxa" w:w="2340"/>
            <w:vAlign w:val="center"/>
            <w:shd w:fill="DDE6EF"/>
            <w:tcMar>
              <w:top w:w="90" w:type="dxa"/>
              <w:left w:w="90" w:type="dxa"/>
              <w:bottom w:w="90" w:type="dxa"/>
              <w:right w:w="90" w:type="dxa"/>
            </w:tcMar>
          </w:tcPr>
          <w:p>
            <w:pPr>
              <w:spacing w:after="0"/>
            </w:pPr>
            <w:r>
              <w:rPr>
                <w:b/>
                <w:sz w:val="16"/>
              </w:rPr>
              <w:t>Rev.</w:t>
            </w:r>
          </w:p>
        </w:tc>
        <w:tc>
          <w:tcPr>
            <w:tcW w:type="dxa" w:w="2340"/>
            <w:vAlign w:val="center"/>
            <w:shd w:fill="DDE6EF"/>
            <w:tcMar>
              <w:top w:w="90" w:type="dxa"/>
              <w:left w:w="90" w:type="dxa"/>
              <w:bottom w:w="90" w:type="dxa"/>
              <w:right w:w="90" w:type="dxa"/>
            </w:tcMar>
          </w:tcPr>
          <w:p>
            <w:pPr>
              <w:spacing w:after="0"/>
            </w:pPr>
            <w:r>
              <w:rPr>
                <w:b/>
                <w:sz w:val="16"/>
              </w:rPr>
              <w:t>Description</w:t>
            </w:r>
          </w:p>
        </w:tc>
        <w:tc>
          <w:tcPr>
            <w:tcW w:type="dxa" w:w="2340"/>
            <w:vAlign w:val="center"/>
            <w:shd w:fill="DDE6EF"/>
            <w:tcMar>
              <w:top w:w="90" w:type="dxa"/>
              <w:left w:w="90" w:type="dxa"/>
              <w:bottom w:w="90" w:type="dxa"/>
              <w:right w:w="90" w:type="dxa"/>
            </w:tcMar>
          </w:tcPr>
          <w:p>
            <w:pPr>
              <w:spacing w:after="0"/>
            </w:pPr>
            <w:r>
              <w:rPr>
                <w:b/>
                <w:sz w:val="16"/>
              </w:rPr>
              <w:t>Prepared by</w:t>
            </w:r>
          </w:p>
        </w:tc>
        <w:tc>
          <w:tcPr>
            <w:tcW w:type="dxa" w:w="2340"/>
            <w:vAlign w:val="center"/>
            <w:shd w:fill="DDE6EF"/>
            <w:tcMar>
              <w:top w:w="90" w:type="dxa"/>
              <w:left w:w="90" w:type="dxa"/>
              <w:bottom w:w="90" w:type="dxa"/>
              <w:right w:w="90" w:type="dxa"/>
            </w:tcMar>
          </w:tcPr>
          <w:p>
            <w:pPr>
              <w:spacing w:after="0"/>
            </w:pPr>
            <w:r>
              <w:rPr>
                <w:b/>
                <w:sz w:val="16"/>
              </w:rPr>
              <w:t>Date</w:t>
            </w:r>
          </w:p>
        </w:tc>
      </w:tr>
      <w:tr>
        <w:tc>
          <w:tcPr>
            <w:tcW w:type="dxa" w:w="2340"/>
            <w:vAlign w:val="center"/>
            <w:tcMar>
              <w:top w:w="90" w:type="dxa"/>
              <w:left w:w="90" w:type="dxa"/>
              <w:bottom w:w="90" w:type="dxa"/>
              <w:right w:w="90" w:type="dxa"/>
            </w:tcMar>
          </w:tcPr>
          <w:p>
            <w:pPr>
              <w:spacing w:after="0"/>
            </w:pPr>
            <w:r>
              <w:rPr>
                <w:sz w:val="16"/>
              </w:rPr>
              <w:t>1.0</w:t>
            </w:r>
          </w:p>
        </w:tc>
        <w:tc>
          <w:tcPr>
            <w:tcW w:type="dxa" w:w="2340"/>
            <w:vAlign w:val="center"/>
            <w:tcMar>
              <w:top w:w="90" w:type="dxa"/>
              <w:left w:w="90" w:type="dxa"/>
              <w:bottom w:w="90" w:type="dxa"/>
              <w:right w:w="90" w:type="dxa"/>
            </w:tcMar>
          </w:tcPr>
          <w:p>
            <w:pPr>
              <w:spacing w:after="0"/>
            </w:pPr>
            <w:r>
              <w:rPr>
                <w:sz w:val="16"/>
              </w:rPr>
              <w:t>Template aligned mission concept</w:t>
            </w:r>
          </w:p>
        </w:tc>
        <w:tc>
          <w:tcPr>
            <w:tcW w:type="dxa" w:w="2340"/>
            <w:vAlign w:val="center"/>
            <w:tcMar>
              <w:top w:w="90" w:type="dxa"/>
              <w:left w:w="90" w:type="dxa"/>
              <w:bottom w:w="90" w:type="dxa"/>
              <w:right w:w="90" w:type="dxa"/>
            </w:tcMar>
          </w:tcPr>
          <w:p>
            <w:pPr>
              <w:spacing w:after="0"/>
            </w:pPr>
            <w:r>
              <w:rPr>
                <w:sz w:val="16"/>
              </w:rPr>
              <w:t>Mission Cost Analysis Directorate</w:t>
            </w:r>
          </w:p>
        </w:tc>
        <w:tc>
          <w:tcPr>
            <w:tcW w:type="dxa" w:w="2340"/>
            <w:vAlign w:val="center"/>
            <w:tcMar>
              <w:top w:w="90" w:type="dxa"/>
              <w:left w:w="90" w:type="dxa"/>
              <w:bottom w:w="90" w:type="dxa"/>
              <w:right w:w="90" w:type="dxa"/>
            </w:tcMar>
          </w:tcPr>
          <w:p>
            <w:pPr>
              <w:spacing w:after="0"/>
            </w:pPr>
            <w:r>
              <w:rPr>
                <w:sz w:val="16"/>
              </w:rPr>
              <w:t>23 Sep 2026</w:t>
            </w:r>
          </w:p>
        </w:tc>
      </w:tr>
    </w:tbl>
    <w:p>
      <w:pPr>
        <w:pStyle w:val="TOC"/>
      </w:pPr>
      <w:r>
        <w:t>Table of Contents</w:t>
      </w:r>
    </w:p>
    <w:p>
      <w:pPr>
        <w:pStyle w:val="TOC1"/>
      </w:pPr>
      <w:r>
        <w:t>1</w:t>
        <w:tab/>
        <w:t>Introduction</w:t>
      </w:r>
    </w:p>
    <w:p>
      <w:pPr>
        <w:pStyle w:val="TOC2"/>
      </w:pPr>
      <w:r>
        <w:t>1.1</w:t>
        <w:tab/>
        <w:t>Purpose of this document</w:t>
      </w:r>
    </w:p>
    <w:p>
      <w:pPr>
        <w:pStyle w:val="TOC1"/>
      </w:pPr>
      <w:r>
        <w:t>2</w:t>
        <w:tab/>
        <w:t>General Descriptive Information</w:t>
      </w:r>
    </w:p>
    <w:p>
      <w:pPr>
        <w:pStyle w:val="TOC2"/>
      </w:pPr>
      <w:r>
        <w:t>2.1</w:t>
        <w:tab/>
        <w:t>Mission Overview</w:t>
      </w:r>
    </w:p>
    <w:p>
      <w:pPr>
        <w:pStyle w:val="TOC2"/>
      </w:pPr>
      <w:r>
        <w:t>2.2</w:t>
        <w:tab/>
        <w:t>Strategic Objectives</w:t>
      </w:r>
    </w:p>
    <w:p>
      <w:pPr>
        <w:pStyle w:val="TOC2"/>
      </w:pPr>
      <w:r>
        <w:t>2.3</w:t>
        <w:tab/>
        <w:t>Selected Mission Requirements</w:t>
      </w:r>
    </w:p>
    <w:p>
      <w:pPr>
        <w:pStyle w:val="TOC2"/>
      </w:pPr>
      <w:r>
        <w:t>2.4</w:t>
        <w:tab/>
        <w:t>High-Level Mission Architecture</w:t>
      </w:r>
    </w:p>
    <w:p>
      <w:pPr>
        <w:pStyle w:val="TOC1"/>
      </w:pPr>
      <w:r>
        <w:t>3</w:t>
        <w:tab/>
        <w:t>Space Segment Description</w:t>
      </w:r>
    </w:p>
    <w:p>
      <w:pPr>
        <w:pStyle w:val="TOC2"/>
      </w:pPr>
      <w:r>
        <w:t>3.1</w:t>
        <w:tab/>
        <w:t>Spacecraft Bus</w:t>
      </w:r>
    </w:p>
    <w:p>
      <w:pPr>
        <w:pStyle w:val="TOC2"/>
      </w:pPr>
      <w:r>
        <w:t>3.2</w:t>
        <w:tab/>
        <w:t>Payload</w:t>
      </w:r>
    </w:p>
    <w:p>
      <w:pPr>
        <w:pStyle w:val="TOC1"/>
      </w:pPr>
      <w:r>
        <w:t>4</w:t>
        <w:tab/>
        <w:t>Launch Segment Description</w:t>
      </w:r>
    </w:p>
    <w:p>
      <w:pPr>
        <w:pStyle w:val="TOC1"/>
      </w:pPr>
      <w:r>
        <w:t>5</w:t>
        <w:tab/>
        <w:t>Ground Segment and Mission Operations</w:t>
      </w:r>
    </w:p>
    <w:p>
      <w:pPr>
        <w:pStyle w:val="TOC1"/>
      </w:pPr>
      <w:r>
        <w:t>6</w:t>
        <w:tab/>
        <w:t>Systems Engineering and Project Management Approach</w:t>
      </w:r>
    </w:p>
    <w:p>
      <w:pPr>
        <w:pStyle w:val="TOC2"/>
      </w:pPr>
      <w:r>
        <w:t>6.1</w:t>
        <w:tab/>
        <w:t>TRL Levels and Heritage</w:t>
      </w:r>
    </w:p>
    <w:p>
      <w:pPr>
        <w:pStyle w:val="TOC2"/>
      </w:pPr>
      <w:r>
        <w:t>6.2</w:t>
        <w:tab/>
        <w:t>Phasing Logic and Naming Conventions</w:t>
      </w:r>
    </w:p>
    <w:p>
      <w:pPr>
        <w:pStyle w:val="TOC2"/>
      </w:pPr>
      <w:r>
        <w:t>6.3</w:t>
        <w:tab/>
        <w:t>Project Milestones</w:t>
      </w:r>
    </w:p>
    <w:p>
      <w:pPr>
        <w:pStyle w:val="TOC2"/>
      </w:pPr>
      <w:r>
        <w:t>6.4</w:t>
        <w:tab/>
        <w:t>Safety and Mission Assurance</w:t>
      </w:r>
    </w:p>
    <w:p>
      <w:pPr>
        <w:pStyle w:val="TOC2"/>
      </w:pPr>
      <w:r>
        <w:t>6.5</w:t>
        <w:tab/>
        <w:t>Prototyping Model Philosophy Qualification and Verification Strategy</w:t>
      </w:r>
    </w:p>
    <w:p>
      <w:pPr>
        <w:pStyle w:val="TOC2"/>
      </w:pPr>
      <w:r>
        <w:t>6.6</w:t>
        <w:tab/>
        <w:t>Sparing Strategy</w:t>
      </w:r>
    </w:p>
    <w:p>
      <w:pPr>
        <w:pStyle w:val="TOC2"/>
      </w:pPr>
      <w:r>
        <w:t>6.7</w:t>
        <w:tab/>
        <w:t>Risk Assessment</w:t>
      </w:r>
    </w:p>
    <w:p>
      <w:pPr>
        <w:pStyle w:val="TOC2"/>
      </w:pPr>
      <w:r>
        <w:t>6.8</w:t>
        <w:tab/>
        <w:t>Organizational Breakdown Structure</w:t>
      </w:r>
    </w:p>
    <w:p>
      <w:pPr>
        <w:pStyle w:val="Heading-unnumbered"/>
      </w:pPr>
      <w:r>
        <w:t>List of Figures</w:t>
      </w:r>
    </w:p>
    <w:p>
      <w:pPr>
        <w:pStyle w:val="TableofFigures"/>
      </w:pPr>
      <w:r>
        <w:t>Figure 1 – Orastra Auroral Dynamics Observatory mission architecture</w:t>
      </w:r>
    </w:p>
    <w:p>
      <w:pPr>
        <w:pStyle w:val="TableofFigures"/>
      </w:pPr>
      <w:r>
        <w:t>Figure 2 – Payload measurement and data path</w:t>
      </w:r>
    </w:p>
    <w:p>
      <w:pPr>
        <w:pStyle w:val="Heading-unnumbered"/>
      </w:pPr>
      <w:r>
        <w:t>List of Tables</w:t>
      </w:r>
    </w:p>
    <w:p>
      <w:pPr>
        <w:pStyle w:val="TableofFigures"/>
      </w:pPr>
      <w:r>
        <w:t>Table 1 – Strategic Alignment</w:t>
      </w:r>
    </w:p>
    <w:p>
      <w:pPr>
        <w:pStyle w:val="TableofFigures"/>
      </w:pPr>
      <w:r>
        <w:t>Table 2 – Selected System Requirements</w:t>
      </w:r>
    </w:p>
    <w:p>
      <w:pPr>
        <w:pStyle w:val="TableofFigures"/>
      </w:pPr>
      <w:r>
        <w:t>Table 3 – Costing Phase Crosswalk</w:t>
      </w:r>
    </w:p>
    <w:p>
      <w:pPr>
        <w:pStyle w:val="TableofFigures"/>
      </w:pPr>
      <w:r>
        <w:t>Table 4 – Planning Phase Dates</w:t>
      </w:r>
    </w:p>
    <w:p>
      <w:pPr>
        <w:pStyle w:val="TableofFigures"/>
      </w:pPr>
      <w:r>
        <w:t>Table 5 – Major Milestones</w:t>
      </w:r>
    </w:p>
    <w:p>
      <w:pPr>
        <w:pStyle w:val="TableofFigures"/>
      </w:pPr>
      <w:r>
        <w:t>Table 6 – Mission Organizations</w:t>
      </w:r>
    </w:p>
    <w:p>
      <w:pPr>
        <w:pStyle w:val="TableofFigures"/>
      </w:pPr>
      <w:r>
        <w:t>Table 7 – Industrial Partners</w:t>
      </w:r>
    </w:p>
    <w:p>
      <w:pPr>
        <w:pStyle w:val="TableofFigures"/>
      </w:pPr>
      <w:r>
        <w:t>Table 8 – Research Institutions</w:t>
      </w:r>
    </w:p>
    <w:p>
      <w:pPr>
        <w:pStyle w:val="TableofFigures"/>
      </w:pPr>
      <w:r>
        <w:t>Table 9 – Scientific Leadership</w:t>
      </w:r>
    </w:p>
    <w:p>
      <w:r>
        <w:br w:type="page"/>
      </w:r>
    </w:p>
    <w:p>
      <w:pPr>
        <w:pStyle w:val="Heading1"/>
      </w:pPr>
      <w:r>
        <w:t>Introduction</w:t>
      </w:r>
    </w:p>
    <w:p>
      <w:pPr>
        <w:pStyle w:val="Heading2"/>
      </w:pPr>
      <w:r>
        <w:t>Purpose of this document</w:t>
      </w:r>
    </w:p>
    <w:p>
      <w:pPr>
        <w:pStyle w:val="BodyText"/>
      </w:pPr>
      <w:r>
        <w:t>CADRe Part A provides a concise, standardized synopsis of the mission to support cost analysis. It consolidates the mission objectives, system requirements, architecture, delivery boundaries, operations, verification strategy, schedule and participating organizations.</w:t>
      </w:r>
    </w:p>
    <w:p>
      <w:pPr>
        <w:pStyle w:val="BodyText"/>
      </w:pPr>
      <w:r>
        <w:t>The quantitative values are planning requirements or preliminary allocations. CADRe Part B records cost element parameters, Part C controls the phase schedule and risk register, and Part D records programmatic evidence.</w:t>
      </w:r>
    </w:p>
    <w:p>
      <w:pPr>
        <w:pStyle w:val="Heading1"/>
      </w:pPr>
      <w:r>
        <w:t>General Descriptive Information</w:t>
      </w:r>
    </w:p>
    <w:p>
      <w:pPr>
        <w:pStyle w:val="Heading2"/>
      </w:pPr>
      <w:r>
        <w:t>Mission Overview</w:t>
      </w:r>
    </w:p>
    <w:p>
      <w:pPr/>
      <w:r>
        <w:t>The reference configuration is two phased polar imaging spacecraft. Its operational environment is Two spacecraft in a 760 ±20 km near-circular orbit at 90° ±2° inclination; relative phase 180° ±10°. The nominal duration is Three-year nominal science after three-month commissioning; four-year flight design life. The flight or installed unit is sized at 260 kg and uses 720 W power generation or host allocation as stated in the subsystem budget.</w:t>
      </w:r>
    </w:p>
    <w:p>
      <w:pPr/>
      <w:r>
        <w:t>The design carries far-ultraviolet auroral imager, visible narrowband auroral imager and energetic particle context sensor. Each produces a separately calibrated record with common time, configuration and quality metadata. The science objectives are quantified in the requirement matrix below.</w:t>
      </w:r>
    </w:p>
    <w:p>
      <w:pPr>
        <w:jc w:val="center"/>
      </w:pPr>
      <w:r>
        <w:drawing>
          <wp:inline xmlns:a="http://schemas.openxmlformats.org/drawingml/2006/main" xmlns:pic="http://schemas.openxmlformats.org/drawingml/2006/picture">
            <wp:extent cx="5852160" cy="1694329"/>
            <wp:docPr id="1" name="Picture 1"/>
            <wp:cNvGraphicFramePr>
              <a:graphicFrameLocks noChangeAspect="1"/>
            </wp:cNvGraphicFramePr>
            <a:graphic>
              <a:graphicData uri="http://schemas.openxmlformats.org/drawingml/2006/picture">
                <pic:pic>
                  <pic:nvPicPr>
                    <pic:cNvPr id="0" name="OADO_architecture.png"/>
                    <pic:cNvPicPr/>
                  </pic:nvPicPr>
                  <pic:blipFill>
                    <a:blip r:embed="rId20"/>
                    <a:stretch>
                      <a:fillRect/>
                    </a:stretch>
                  </pic:blipFill>
                  <pic:spPr>
                    <a:xfrm>
                      <a:off x="0" y="0"/>
                      <a:ext cx="5852160" cy="1694329"/>
                    </a:xfrm>
                    <a:prstGeom prst="rect"/>
                  </pic:spPr>
                </pic:pic>
              </a:graphicData>
            </a:graphic>
          </wp:inline>
        </w:drawing>
      </w:r>
    </w:p>
    <w:p>
      <w:pPr>
        <w:pStyle w:val="Caption"/>
      </w:pPr>
      <w:r>
        <w:t>Figure 1 – Orastra Auroral Dynamics Observatory mission architecture. Labeled boxes identify responsibility boundaries; dimensions are schematic.</w:t>
      </w:r>
    </w:p>
    <w:p>
      <w:pPr>
        <w:pStyle w:val="Heading2"/>
      </w:pPr>
      <w:r>
        <w:t>Strategic Objectives</w:t>
      </w:r>
    </w:p>
    <w:p>
      <w:pPr>
        <w:pStyle w:val="BodyText"/>
      </w:pPr>
      <w:r>
        <w:t>The mission aligns the measurement or service objectives with the sponsoring authority’s stated science, capability and operations priorities.</w:t>
      </w:r>
    </w:p>
    <w:p>
      <w:pPr>
        <w:pStyle w:val="Caption"/>
      </w:pPr>
      <w:r>
        <w:t>Table 1 – Strategic Alignment</w:t>
      </w:r>
    </w:p>
    <w:tbl>
      <w:tblPr>
        <w:tblStyle w:val="TableGrid"/>
        <w:tblW w:type="auto" w:w="0"/>
        <w:jc w:val="center"/>
        <w:tblLayout w:type="fixed"/>
        <w:tblLook w:firstColumn="1" w:firstRow="1" w:lastColumn="0" w:lastRow="0" w:noHBand="0" w:noVBand="1" w:val="04A0"/>
      </w:tblPr>
      <w:tblGrid>
        <w:gridCol w:w="1584"/>
        <w:gridCol w:w="2880"/>
        <w:gridCol w:w="4824"/>
      </w:tblGrid>
      <w:tr>
        <w:trPr>
          <w:tblHeader w:val="true"/>
        </w:trPr>
        <w:tc>
          <w:tcPr>
            <w:tcW w:type="dxa" w:w="3120"/>
            <w:vAlign w:val="center"/>
            <w:shd w:fill="DDE6EF"/>
            <w:tcMar>
              <w:top w:w="90" w:type="dxa"/>
              <w:left w:w="90" w:type="dxa"/>
              <w:bottom w:w="90" w:type="dxa"/>
              <w:right w:w="90" w:type="dxa"/>
            </w:tcMar>
          </w:tcPr>
          <w:p>
            <w:pPr>
              <w:spacing w:after="0"/>
            </w:pPr>
            <w:r>
              <w:rPr>
                <w:b/>
                <w:sz w:val="16"/>
              </w:rPr>
              <w:t>Priority</w:t>
            </w:r>
          </w:p>
        </w:tc>
        <w:tc>
          <w:tcPr>
            <w:tcW w:type="dxa" w:w="3120"/>
            <w:vAlign w:val="center"/>
            <w:shd w:fill="DDE6EF"/>
            <w:tcMar>
              <w:top w:w="90" w:type="dxa"/>
              <w:left w:w="90" w:type="dxa"/>
              <w:bottom w:w="90" w:type="dxa"/>
              <w:right w:w="90" w:type="dxa"/>
            </w:tcMar>
          </w:tcPr>
          <w:p>
            <w:pPr>
              <w:spacing w:after="0"/>
            </w:pPr>
            <w:r>
              <w:rPr>
                <w:b/>
                <w:sz w:val="16"/>
              </w:rPr>
              <w:t>Strategic goal</w:t>
            </w:r>
          </w:p>
        </w:tc>
        <w:tc>
          <w:tcPr>
            <w:tcW w:type="dxa" w:w="3120"/>
            <w:vAlign w:val="center"/>
            <w:shd w:fill="DDE6EF"/>
            <w:tcMar>
              <w:top w:w="90" w:type="dxa"/>
              <w:left w:w="90" w:type="dxa"/>
              <w:bottom w:w="90" w:type="dxa"/>
              <w:right w:w="90" w:type="dxa"/>
            </w:tcMar>
          </w:tcPr>
          <w:p>
            <w:pPr>
              <w:spacing w:after="0"/>
            </w:pPr>
            <w:r>
              <w:rPr>
                <w:b/>
                <w:sz w:val="16"/>
              </w:rPr>
              <w:t>Mission contribution</w:t>
            </w:r>
          </w:p>
        </w:tc>
      </w:tr>
      <w:tr>
        <w:tc>
          <w:tcPr>
            <w:tcW w:type="dxa" w:w="3120"/>
            <w:vAlign w:val="center"/>
            <w:tcMar>
              <w:top w:w="90" w:type="dxa"/>
              <w:left w:w="90" w:type="dxa"/>
              <w:bottom w:w="90" w:type="dxa"/>
              <w:right w:w="90" w:type="dxa"/>
            </w:tcMar>
          </w:tcPr>
          <w:p>
            <w:pPr>
              <w:spacing w:after="0"/>
            </w:pPr>
            <w:r>
              <w:rPr>
                <w:sz w:val="16"/>
              </w:rPr>
              <w:t>1</w:t>
            </w:r>
          </w:p>
        </w:tc>
        <w:tc>
          <w:tcPr>
            <w:tcW w:type="dxa" w:w="3120"/>
            <w:vAlign w:val="center"/>
            <w:tcMar>
              <w:top w:w="90" w:type="dxa"/>
              <w:left w:w="90" w:type="dxa"/>
              <w:bottom w:w="90" w:type="dxa"/>
              <w:right w:w="90" w:type="dxa"/>
            </w:tcMar>
          </w:tcPr>
          <w:p>
            <w:pPr>
              <w:spacing w:after="0"/>
            </w:pPr>
            <w:r>
              <w:rPr>
                <w:sz w:val="16"/>
              </w:rPr>
              <w:t>Primary mission outcome</w:t>
            </w:r>
          </w:p>
        </w:tc>
        <w:tc>
          <w:tcPr>
            <w:tcW w:type="dxa" w:w="3120"/>
            <w:vAlign w:val="center"/>
            <w:tcMar>
              <w:top w:w="90" w:type="dxa"/>
              <w:left w:w="90" w:type="dxa"/>
              <w:bottom w:w="90" w:type="dxa"/>
              <w:right w:w="90" w:type="dxa"/>
            </w:tcMar>
          </w:tcPr>
          <w:p>
            <w:pPr>
              <w:spacing w:after="0"/>
            </w:pPr>
            <w:r>
              <w:rPr>
                <w:sz w:val="16"/>
              </w:rPr>
              <w:t>Map 65°–80° magnetic-latitude auroral emissions at ≤10 km projected sampling and ≤60 min median revisit during qualifying darkness; identify 20% brightness changes over two successive visits above the calibrated detection threshold.</w:t>
            </w:r>
          </w:p>
        </w:tc>
      </w:tr>
      <w:tr>
        <w:tc>
          <w:tcPr>
            <w:tcW w:type="dxa" w:w="3120"/>
            <w:vAlign w:val="center"/>
            <w:shd w:fill="F6F8FA"/>
            <w:tcMar>
              <w:top w:w="90" w:type="dxa"/>
              <w:left w:w="90" w:type="dxa"/>
              <w:bottom w:w="90" w:type="dxa"/>
              <w:right w:w="90" w:type="dxa"/>
            </w:tcMar>
          </w:tcPr>
          <w:p>
            <w:pPr>
              <w:spacing w:after="0"/>
            </w:pPr>
            <w:r>
              <w:rPr>
                <w:sz w:val="16"/>
              </w:rPr>
              <w:t>2</w:t>
            </w:r>
          </w:p>
        </w:tc>
        <w:tc>
          <w:tcPr>
            <w:tcW w:type="dxa" w:w="3120"/>
            <w:vAlign w:val="center"/>
            <w:shd w:fill="F6F8FA"/>
            <w:tcMar>
              <w:top w:w="90" w:type="dxa"/>
              <w:left w:w="90" w:type="dxa"/>
              <w:bottom w:w="90" w:type="dxa"/>
              <w:right w:w="90" w:type="dxa"/>
            </w:tcMar>
          </w:tcPr>
          <w:p>
            <w:pPr>
              <w:spacing w:after="0"/>
            </w:pPr>
            <w:r>
              <w:rPr>
                <w:sz w:val="16"/>
              </w:rPr>
              <w:t>Operational sustainability</w:t>
            </w:r>
          </w:p>
        </w:tc>
        <w:tc>
          <w:tcPr>
            <w:tcW w:type="dxa" w:w="3120"/>
            <w:vAlign w:val="center"/>
            <w:shd w:fill="F6F8FA"/>
            <w:tcMar>
              <w:top w:w="90" w:type="dxa"/>
              <w:left w:w="90" w:type="dxa"/>
              <w:bottom w:w="90" w:type="dxa"/>
              <w:right w:w="90" w:type="dxa"/>
            </w:tcMar>
          </w:tcPr>
          <w:p>
            <w:pPr>
              <w:spacing w:after="0"/>
            </w:pPr>
            <w:r>
              <w:rPr>
                <w:sz w:val="16"/>
              </w:rPr>
              <w:t>Deliver Three-year nominal science after three-month commissioning; four-year flight design life. with independently accepted baseline products and contingency procedures.</w:t>
            </w:r>
          </w:p>
        </w:tc>
      </w:tr>
    </w:tbl>
    <w:p>
      <w:pPr>
        <w:pStyle w:val="Heading2"/>
      </w:pPr>
      <w:r>
        <w:t>Selected Mission Requirements</w:t>
      </w:r>
    </w:p>
    <w:p>
      <w:pPr>
        <w:pStyle w:val="BodyText"/>
      </w:pPr>
      <w:r>
        <w:t>The following selected requirements control the major cost and complexity drivers. Their verification methods and approved values belong in the controlled requirements baseline.</w:t>
      </w:r>
    </w:p>
    <w:p>
      <w:pPr>
        <w:pStyle w:val="Caption"/>
      </w:pPr>
      <w:r>
        <w:t>Table 2 – Selected System Requirements</w:t>
      </w:r>
    </w:p>
    <w:tbl>
      <w:tblPr>
        <w:tblStyle w:val="TableGrid"/>
        <w:tblW w:type="auto" w:w="0"/>
        <w:jc w:val="center"/>
        <w:tblLayout w:type="fixed"/>
        <w:tblLook w:firstColumn="1" w:firstRow="1" w:lastColumn="0" w:lastRow="0" w:noHBand="0" w:noVBand="1" w:val="04A0"/>
      </w:tblPr>
      <w:tblGrid>
        <w:gridCol w:w="2088"/>
        <w:gridCol w:w="4536"/>
        <w:gridCol w:w="2592"/>
      </w:tblGrid>
      <w:tr>
        <w:trPr>
          <w:tblHeader w:val="true"/>
        </w:trPr>
        <w:tc>
          <w:tcPr>
            <w:tcW w:type="dxa" w:w="3120"/>
            <w:vAlign w:val="center"/>
            <w:shd w:fill="DDE6EF"/>
            <w:tcMar>
              <w:top w:w="90" w:type="dxa"/>
              <w:left w:w="90" w:type="dxa"/>
              <w:bottom w:w="90" w:type="dxa"/>
              <w:right w:w="90" w:type="dxa"/>
            </w:tcMar>
          </w:tcPr>
          <w:p>
            <w:pPr>
              <w:spacing w:after="0"/>
            </w:pPr>
            <w:r>
              <w:rPr>
                <w:b/>
                <w:sz w:val="16"/>
              </w:rPr>
              <w:t>Cost and complexity driver</w:t>
            </w:r>
          </w:p>
        </w:tc>
        <w:tc>
          <w:tcPr>
            <w:tcW w:type="dxa" w:w="3120"/>
            <w:vAlign w:val="center"/>
            <w:shd w:fill="DDE6EF"/>
            <w:tcMar>
              <w:top w:w="90" w:type="dxa"/>
              <w:left w:w="90" w:type="dxa"/>
              <w:bottom w:w="90" w:type="dxa"/>
              <w:right w:w="90" w:type="dxa"/>
            </w:tcMar>
          </w:tcPr>
          <w:p>
            <w:pPr>
              <w:spacing w:after="0"/>
            </w:pPr>
            <w:r>
              <w:rPr>
                <w:b/>
                <w:sz w:val="16"/>
              </w:rPr>
              <w:t>Preliminary requirement</w:t>
            </w:r>
          </w:p>
        </w:tc>
        <w:tc>
          <w:tcPr>
            <w:tcW w:type="dxa" w:w="3120"/>
            <w:vAlign w:val="center"/>
            <w:shd w:fill="DDE6EF"/>
            <w:tcMar>
              <w:top w:w="90" w:type="dxa"/>
              <w:left w:w="90" w:type="dxa"/>
              <w:bottom w:w="90" w:type="dxa"/>
              <w:right w:w="90" w:type="dxa"/>
            </w:tcMar>
          </w:tcPr>
          <w:p>
            <w:pPr>
              <w:spacing w:after="0"/>
            </w:pPr>
            <w:r>
              <w:rPr>
                <w:b/>
                <w:sz w:val="16"/>
              </w:rPr>
              <w:t>Principal cost or complexity effect</w:t>
            </w:r>
          </w:p>
        </w:tc>
      </w:tr>
      <w:tr>
        <w:tc>
          <w:tcPr>
            <w:tcW w:type="dxa" w:w="3120"/>
            <w:vAlign w:val="center"/>
            <w:tcMar>
              <w:top w:w="90" w:type="dxa"/>
              <w:left w:w="90" w:type="dxa"/>
              <w:bottom w:w="90" w:type="dxa"/>
              <w:right w:w="90" w:type="dxa"/>
            </w:tcMar>
          </w:tcPr>
          <w:p>
            <w:pPr>
              <w:spacing w:after="0"/>
            </w:pPr>
            <w:r>
              <w:rPr>
                <w:sz w:val="16"/>
              </w:rPr>
              <w:t>Mission architecture</w:t>
            </w:r>
          </w:p>
        </w:tc>
        <w:tc>
          <w:tcPr>
            <w:tcW w:type="dxa" w:w="3120"/>
            <w:vAlign w:val="center"/>
            <w:tcMar>
              <w:top w:w="90" w:type="dxa"/>
              <w:left w:w="90" w:type="dxa"/>
              <w:bottom w:w="90" w:type="dxa"/>
              <w:right w:w="90" w:type="dxa"/>
            </w:tcMar>
          </w:tcPr>
          <w:p>
            <w:pPr>
              <w:spacing w:after="0"/>
            </w:pPr>
            <w:r>
              <w:rPr>
                <w:sz w:val="16"/>
              </w:rPr>
              <w:t>Two phased polar imaging spacecraft; 2 unit(s).</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Operating environment</w:t>
            </w:r>
          </w:p>
        </w:tc>
        <w:tc>
          <w:tcPr>
            <w:tcW w:type="dxa" w:w="3120"/>
            <w:vAlign w:val="center"/>
            <w:shd w:fill="F6F8FA"/>
            <w:tcMar>
              <w:top w:w="90" w:type="dxa"/>
              <w:left w:w="90" w:type="dxa"/>
              <w:bottom w:w="90" w:type="dxa"/>
              <w:right w:w="90" w:type="dxa"/>
            </w:tcMar>
          </w:tcPr>
          <w:p>
            <w:pPr>
              <w:spacing w:after="0"/>
            </w:pPr>
            <w:r>
              <w:rPr>
                <w:sz w:val="16"/>
              </w:rPr>
              <w:t>Two spacecraft in a 760 ±20 km near-circular orbit at 90° ±2° inclination; relative phase 180° ±10°.</w:t>
            </w:r>
          </w:p>
        </w:tc>
        <w:tc>
          <w:tcPr>
            <w:tcW w:type="dxa" w:w="3120"/>
            <w:vAlign w:val="center"/>
            <w:shd w:fill="F6F8FA"/>
            <w:tcMar>
              <w:top w:w="90" w:type="dxa"/>
              <w:left w:w="90" w:type="dxa"/>
              <w:bottom w:w="90" w:type="dxa"/>
              <w:right w:w="90" w:type="dxa"/>
            </w:tcMar>
          </w:tcPr>
          <w:p>
            <w:pPr>
              <w:spacing w:after="0"/>
            </w:pPr>
            <w:r>
              <w:rPr>
                <w:sz w:val="16"/>
              </w:rPr>
              <w:t>Propellant, navigation, flight dynamics and delivery accuracy.</w:t>
            </w:r>
          </w:p>
        </w:tc>
      </w:tr>
      <w:tr>
        <w:tc>
          <w:tcPr>
            <w:tcW w:type="dxa" w:w="3120"/>
            <w:vAlign w:val="center"/>
            <w:tcMar>
              <w:top w:w="90" w:type="dxa"/>
              <w:left w:w="90" w:type="dxa"/>
              <w:bottom w:w="90" w:type="dxa"/>
              <w:right w:w="90" w:type="dxa"/>
            </w:tcMar>
          </w:tcPr>
          <w:p>
            <w:pPr>
              <w:spacing w:after="0"/>
            </w:pPr>
            <w:r>
              <w:rPr>
                <w:sz w:val="16"/>
              </w:rPr>
              <w:t>Mission duration</w:t>
            </w:r>
          </w:p>
        </w:tc>
        <w:tc>
          <w:tcPr>
            <w:tcW w:type="dxa" w:w="3120"/>
            <w:vAlign w:val="center"/>
            <w:tcMar>
              <w:top w:w="90" w:type="dxa"/>
              <w:left w:w="90" w:type="dxa"/>
              <w:bottom w:w="90" w:type="dxa"/>
              <w:right w:w="90" w:type="dxa"/>
            </w:tcMar>
          </w:tcPr>
          <w:p>
            <w:pPr>
              <w:spacing w:after="0"/>
            </w:pPr>
            <w:r>
              <w:rPr>
                <w:sz w:val="16"/>
              </w:rPr>
              <w:t>Three-year nominal science after three-month commissioning; four-year flight design life.</w:t>
            </w:r>
          </w:p>
        </w:tc>
        <w:tc>
          <w:tcPr>
            <w:tcW w:type="dxa" w:w="3120"/>
            <w:vAlign w:val="center"/>
            <w:tcMar>
              <w:top w:w="90" w:type="dxa"/>
              <w:left w:w="90" w:type="dxa"/>
              <w:bottom w:w="90" w:type="dxa"/>
              <w:right w:w="90" w:type="dxa"/>
            </w:tcMar>
          </w:tcPr>
          <w:p>
            <w:pPr>
              <w:spacing w:after="0"/>
            </w:pPr>
            <w:r>
              <w:rPr>
                <w:sz w:val="16"/>
              </w:rPr>
              <w:t>Parts screening, redundancy, spares and operations staffing.</w:t>
            </w:r>
          </w:p>
        </w:tc>
      </w:tr>
      <w:tr>
        <w:tc>
          <w:tcPr>
            <w:tcW w:type="dxa" w:w="3120"/>
            <w:vAlign w:val="center"/>
            <w:shd w:fill="F6F8FA"/>
            <w:tcMar>
              <w:top w:w="90" w:type="dxa"/>
              <w:left w:w="90" w:type="dxa"/>
              <w:bottom w:w="90" w:type="dxa"/>
              <w:right w:w="90" w:type="dxa"/>
            </w:tcMar>
          </w:tcPr>
          <w:p>
            <w:pPr>
              <w:spacing w:after="0"/>
            </w:pPr>
            <w:r>
              <w:rPr>
                <w:sz w:val="16"/>
              </w:rPr>
              <w:t>Unit mass</w:t>
            </w:r>
          </w:p>
        </w:tc>
        <w:tc>
          <w:tcPr>
            <w:tcW w:type="dxa" w:w="3120"/>
            <w:vAlign w:val="center"/>
            <w:shd w:fill="F6F8FA"/>
            <w:tcMar>
              <w:top w:w="90" w:type="dxa"/>
              <w:left w:w="90" w:type="dxa"/>
              <w:bottom w:w="90" w:type="dxa"/>
              <w:right w:w="90" w:type="dxa"/>
            </w:tcMar>
          </w:tcPr>
          <w:p>
            <w:pPr>
              <w:spacing w:after="0"/>
            </w:pPr>
            <w:r>
              <w:rPr>
                <w:sz w:val="16"/>
              </w:rPr>
              <w:t>≤260 kg as delivered or at launch, including the budgeted contents.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Payload allocation</w:t>
            </w:r>
          </w:p>
        </w:tc>
        <w:tc>
          <w:tcPr>
            <w:tcW w:type="dxa" w:w="3120"/>
            <w:vAlign w:val="center"/>
            <w:tcMar>
              <w:top w:w="90" w:type="dxa"/>
              <w:left w:w="90" w:type="dxa"/>
              <w:bottom w:w="90" w:type="dxa"/>
              <w:right w:w="90" w:type="dxa"/>
            </w:tcMar>
          </w:tcPr>
          <w:p>
            <w:pPr>
              <w:spacing w:after="0"/>
            </w:pPr>
            <w:r>
              <w:rPr>
                <w:sz w:val="16"/>
              </w:rPr>
              <w:t>≤40 kg, with definitions controlled by the mass table.</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Power generation / provision</w:t>
            </w:r>
          </w:p>
        </w:tc>
        <w:tc>
          <w:tcPr>
            <w:tcW w:type="dxa" w:w="3120"/>
            <w:vAlign w:val="center"/>
            <w:shd w:fill="F6F8FA"/>
            <w:tcMar>
              <w:top w:w="90" w:type="dxa"/>
              <w:left w:w="90" w:type="dxa"/>
              <w:bottom w:w="90" w:type="dxa"/>
              <w:right w:w="90" w:type="dxa"/>
            </w:tcMar>
          </w:tcPr>
          <w:p>
            <w:pPr>
              <w:spacing w:after="0"/>
            </w:pPr>
            <w:r>
              <w:rPr>
                <w:sz w:val="16"/>
              </w:rPr>
              <w:t>720 W at specified reference; nominal 410 W and peak 600 W.</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Primary measurement</w:t>
            </w:r>
          </w:p>
        </w:tc>
        <w:tc>
          <w:tcPr>
            <w:tcW w:type="dxa" w:w="3120"/>
            <w:vAlign w:val="center"/>
            <w:tcMar>
              <w:top w:w="90" w:type="dxa"/>
              <w:left w:w="90" w:type="dxa"/>
              <w:bottom w:w="90" w:type="dxa"/>
              <w:right w:w="90" w:type="dxa"/>
            </w:tcMar>
          </w:tcPr>
          <w:p>
            <w:pPr>
              <w:spacing w:after="0"/>
            </w:pPr>
            <w:r>
              <w:rPr>
                <w:sz w:val="16"/>
              </w:rPr>
              <w:t>Map 65°–80° magnetic-latitude auroral emissions at ≤10 km projected sampling and ≤60 min median revisit during qualifying darkness; identify 20% brightness changes over two successive visits above the calibrated detection threshold.</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Instrument 1</w:t>
            </w:r>
          </w:p>
        </w:tc>
        <w:tc>
          <w:tcPr>
            <w:tcW w:type="dxa" w:w="3120"/>
            <w:vAlign w:val="center"/>
            <w:shd w:fill="F6F8FA"/>
            <w:tcMar>
              <w:top w:w="90" w:type="dxa"/>
              <w:left w:w="90" w:type="dxa"/>
              <w:bottom w:w="90" w:type="dxa"/>
              <w:right w:w="90" w:type="dxa"/>
            </w:tcMar>
          </w:tcPr>
          <w:p>
            <w:pPr>
              <w:spacing w:after="0"/>
            </w:pPr>
            <w:r>
              <w:rPr>
                <w:sz w:val="16"/>
              </w:rPr>
              <w:t>20 kg / 105 W; 130–170 nm passband; ≤10 km mapped sampling at reference view; 30 s frames with dayglow rejection.</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Instrument 2</w:t>
            </w:r>
          </w:p>
        </w:tc>
        <w:tc>
          <w:tcPr>
            <w:tcW w:type="dxa" w:w="3120"/>
            <w:vAlign w:val="center"/>
            <w:tcMar>
              <w:top w:w="90" w:type="dxa"/>
              <w:left w:w="90" w:type="dxa"/>
              <w:bottom w:w="90" w:type="dxa"/>
              <w:right w:w="90" w:type="dxa"/>
            </w:tcMar>
          </w:tcPr>
          <w:p>
            <w:pPr>
              <w:spacing w:after="0"/>
            </w:pPr>
            <w:r>
              <w:rPr>
                <w:sz w:val="16"/>
              </w:rPr>
              <w:t>12 kg / 65 W; 557.7 nm line with ≤2 nm passband; ≤10 km mapped sampling in darkness; 5 s exposure target.</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Instrument 3</w:t>
            </w:r>
          </w:p>
        </w:tc>
        <w:tc>
          <w:tcPr>
            <w:tcW w:type="dxa" w:w="3120"/>
            <w:vAlign w:val="center"/>
            <w:shd w:fill="F6F8FA"/>
            <w:tcMar>
              <w:top w:w="90" w:type="dxa"/>
              <w:left w:w="90" w:type="dxa"/>
              <w:bottom w:w="90" w:type="dxa"/>
              <w:right w:w="90" w:type="dxa"/>
            </w:tcMar>
          </w:tcPr>
          <w:p>
            <w:pPr>
              <w:spacing w:after="0"/>
            </w:pPr>
            <w:r>
              <w:rPr>
                <w:sz w:val="16"/>
              </w:rPr>
              <w:t>8 kg / 35 W; 1–100 keV particles in 16 energy bins with 1 s burst sampling and 10 s nominal sampling.</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Pointing or positioning</w:t>
            </w:r>
          </w:p>
        </w:tc>
        <w:tc>
          <w:tcPr>
            <w:tcW w:type="dxa" w:w="3120"/>
            <w:vAlign w:val="center"/>
            <w:tcMar>
              <w:top w:w="90" w:type="dxa"/>
              <w:left w:w="90" w:type="dxa"/>
              <w:bottom w:w="90" w:type="dxa"/>
              <w:right w:w="90" w:type="dxa"/>
            </w:tcMar>
          </w:tcPr>
          <w:p>
            <w:pPr>
              <w:spacing w:after="0"/>
            </w:pPr>
            <w:r>
              <w:rPr>
                <w:sz w:val="16"/>
              </w:rPr>
              <w:t>Two star trackers, four wheels, magnetic torquers and GNSS; pointing knowledge ≤0.03° and stability ≤0.01° over 30 s frame.</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Mission-data volume</w:t>
            </w:r>
          </w:p>
        </w:tc>
        <w:tc>
          <w:tcPr>
            <w:tcW w:type="dxa" w:w="3120"/>
            <w:vAlign w:val="center"/>
            <w:shd w:fill="F6F8FA"/>
            <w:tcMar>
              <w:top w:w="90" w:type="dxa"/>
              <w:left w:w="90" w:type="dxa"/>
              <w:bottom w:w="90" w:type="dxa"/>
              <w:right w:w="90" w:type="dxa"/>
            </w:tcMar>
          </w:tcPr>
          <w:p>
            <w:pPr>
              <w:spacing w:after="0"/>
            </w:pPr>
            <w:r>
              <w:rPr>
                <w:sz w:val="16"/>
              </w:rPr>
              <w:t>6 GB/day per spacecraft after onboard screening</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bl>
    <w:p>
      <w:pPr>
        <w:pStyle w:val="Heading2"/>
      </w:pPr>
      <w:r>
        <w:t>High-Level Mission Architecture</w:t>
      </w:r>
    </w:p>
    <w:p>
      <w:pPr>
        <w:pStyle w:val="BodyText"/>
      </w:pPr>
      <w:r>
        <w:t>The architecture separates oversight, space or deployed hardware, launch or delivery, ground services, operations and science or user exploitation.</w:t>
      </w:r>
    </w:p>
    <w:p>
      <w:pPr>
        <w:pStyle w:val="BodyText"/>
      </w:pPr>
      <w:r>
        <w:t>Iverune Polar Science Office owns system requirements, procurement, risk and mission acceptance.</w:t>
      </w:r>
    </w:p>
    <w:p>
      <w:pPr>
        <w:pStyle w:val="BodyText"/>
      </w:pPr>
      <w:r>
        <w:t>Nerovian Satellite Works owns the integrated unit, interfaces and system-level verification.</w:t>
      </w:r>
    </w:p>
    <w:p>
      <w:pPr>
        <w:pStyle w:val="BodyText"/>
      </w:pPr>
      <w:r>
        <w:t>Kelvori Optical Instruments delivers the measurement equipment and calibration evidence.</w:t>
      </w:r>
    </w:p>
    <w:p>
      <w:pPr>
        <w:pStyle w:val="BodyText"/>
      </w:pPr>
      <w:r>
        <w:t>Orivane Launch Cooperative delivers the unit to its destination and verifies interface conditions.</w:t>
      </w:r>
    </w:p>
    <w:p>
      <w:pPr>
        <w:pStyle w:val="BodyText"/>
      </w:pPr>
      <w:r>
        <w:t>Darellis Polar Ground Services supplies receiving, networking and ground-service capacity.</w:t>
      </w:r>
    </w:p>
    <w:p>
      <w:pPr>
        <w:pStyle w:val="BodyText"/>
      </w:pPr>
      <w:r>
        <w:t>Yalveran Geospace Institute produces, validates and archives the calibrated mission products.</w:t>
      </w:r>
    </w:p>
    <w:p>
      <w:pPr>
        <w:pStyle w:val="Heading1"/>
      </w:pPr>
      <w:r>
        <w:t>Space Segment Description</w:t>
      </w:r>
    </w:p>
    <w:p>
      <w:pPr/>
      <w:r>
        <w:t>The reference configuration is two phased polar imaging spacecraft. Its operational environment is Two spacecraft in a 760 ±20 km near-circular orbit at 90° ±2° inclination; relative phase 180° ±10°. The nominal duration is Three-year nominal science after three-month commissioning; four-year flight design life. The flight or installed unit is sized at 260 kg and uses 720 W power generation or host allocation as stated in the subsystem budget. The segment boundary includes the integrated unit and its mission-specific payload, interfaces, spares and verification articles.</w:t>
      </w:r>
    </w:p>
    <w:p>
      <w:pPr>
        <w:pStyle w:val="Heading2"/>
      </w:pPr>
      <w:r>
        <w:t>Spacecraft Bus</w:t>
      </w:r>
    </w:p>
    <w:p>
      <w:pPr/>
      <w:r>
        <w:t>The integrated unit provides structural restraint, power, command and data handling, thermal protection, equipment control and the communication interface appropriate to Two spacecraft in a 760 ±20 km near-circular orbit at 90° ±2° inclination; relative phase 180° ±10°. The design shall carry configuration identifiers and independent acceptance records for every delivered unit.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allocation / target</w:t>
            </w:r>
          </w:p>
        </w:tc>
      </w:tr>
      <w:tr>
        <w:tc>
          <w:tcPr>
            <w:tcW w:type="dxa" w:w="4680"/>
            <w:vAlign w:val="center"/>
            <w:tcMar>
              <w:top w:w="90" w:type="dxa"/>
              <w:left w:w="90" w:type="dxa"/>
              <w:bottom w:w="90" w:type="dxa"/>
              <w:right w:w="90" w:type="dxa"/>
            </w:tcMar>
          </w:tcPr>
          <w:p>
            <w:pPr>
              <w:spacing w:after="0"/>
            </w:pPr>
            <w:r>
              <w:rPr>
                <w:sz w:val="16"/>
              </w:rPr>
              <w:t>Unit mass</w:t>
            </w:r>
          </w:p>
        </w:tc>
        <w:tc>
          <w:tcPr>
            <w:tcW w:type="dxa" w:w="4680"/>
            <w:vAlign w:val="center"/>
            <w:tcMar>
              <w:top w:w="90" w:type="dxa"/>
              <w:left w:w="90" w:type="dxa"/>
              <w:bottom w:w="90" w:type="dxa"/>
              <w:right w:w="90" w:type="dxa"/>
            </w:tcMar>
          </w:tcPr>
          <w:p>
            <w:pPr>
              <w:spacing w:after="0"/>
            </w:pPr>
            <w:r>
              <w:rPr>
                <w:sz w:val="16"/>
              </w:rPr>
              <w:t>260 kg</w:t>
            </w:r>
          </w:p>
        </w:tc>
      </w:tr>
      <w:tr>
        <w:tc>
          <w:tcPr>
            <w:tcW w:type="dxa" w:w="4680"/>
            <w:vAlign w:val="center"/>
            <w:shd w:fill="F6F8FA"/>
            <w:tcMar>
              <w:top w:w="90" w:type="dxa"/>
              <w:left w:w="90" w:type="dxa"/>
              <w:bottom w:w="90" w:type="dxa"/>
              <w:right w:w="90" w:type="dxa"/>
            </w:tcMar>
          </w:tcPr>
          <w:p>
            <w:pPr>
              <w:spacing w:after="0"/>
            </w:pPr>
            <w:r>
              <w:rPr>
                <w:sz w:val="16"/>
              </w:rPr>
              <w:t>Mass composition</w:t>
            </w:r>
          </w:p>
        </w:tc>
        <w:tc>
          <w:tcPr>
            <w:tcW w:type="dxa" w:w="4680"/>
            <w:vAlign w:val="center"/>
            <w:shd w:fill="F6F8FA"/>
            <w:tcMar>
              <w:top w:w="90" w:type="dxa"/>
              <w:left w:w="90" w:type="dxa"/>
              <w:bottom w:w="90" w:type="dxa"/>
              <w:right w:w="90" w:type="dxa"/>
            </w:tcMar>
          </w:tcPr>
          <w:p>
            <w:pPr>
              <w:spacing w:after="0"/>
            </w:pPr>
            <w:r>
              <w:rPr>
                <w:sz w:val="16"/>
              </w:rPr>
              <w:t>210 kg dry bus + 40 kg payload + 10 kg propellant = 260 kg</w:t>
            </w:r>
          </w:p>
        </w:tc>
      </w:tr>
      <w:tr>
        <w:tc>
          <w:tcPr>
            <w:tcW w:type="dxa" w:w="4680"/>
            <w:vAlign w:val="center"/>
            <w:tcMar>
              <w:top w:w="90" w:type="dxa"/>
              <w:left w:w="90" w:type="dxa"/>
              <w:bottom w:w="90" w:type="dxa"/>
              <w:right w:w="90" w:type="dxa"/>
            </w:tcMar>
          </w:tcPr>
          <w:p>
            <w:pPr>
              <w:spacing w:after="0"/>
            </w:pPr>
            <w:r>
              <w:rPr>
                <w:sz w:val="16"/>
              </w:rPr>
              <w:t>Payload / experiment allocation</w:t>
            </w:r>
          </w:p>
        </w:tc>
        <w:tc>
          <w:tcPr>
            <w:tcW w:type="dxa" w:w="4680"/>
            <w:vAlign w:val="center"/>
            <w:tcMar>
              <w:top w:w="90" w:type="dxa"/>
              <w:left w:w="90" w:type="dxa"/>
              <w:bottom w:w="90" w:type="dxa"/>
              <w:right w:w="90" w:type="dxa"/>
            </w:tcMar>
          </w:tcPr>
          <w:p>
            <w:pPr>
              <w:spacing w:after="0"/>
            </w:pPr>
            <w:r>
              <w:rPr>
                <w:sz w:val="16"/>
              </w:rPr>
              <w:t>40 kg</w:t>
            </w:r>
          </w:p>
        </w:tc>
      </w:tr>
      <w:tr>
        <w:tc>
          <w:tcPr>
            <w:tcW w:type="dxa" w:w="4680"/>
            <w:vAlign w:val="center"/>
            <w:shd w:fill="F6F8FA"/>
            <w:tcMar>
              <w:top w:w="90" w:type="dxa"/>
              <w:left w:w="90" w:type="dxa"/>
              <w:bottom w:w="90" w:type="dxa"/>
              <w:right w:w="90" w:type="dxa"/>
            </w:tcMar>
          </w:tcPr>
          <w:p>
            <w:pPr>
              <w:spacing w:after="0"/>
            </w:pPr>
            <w:r>
              <w:rPr>
                <w:sz w:val="16"/>
              </w:rPr>
              <w:t>Generation / provision</w:t>
            </w:r>
          </w:p>
        </w:tc>
        <w:tc>
          <w:tcPr>
            <w:tcW w:type="dxa" w:w="4680"/>
            <w:vAlign w:val="center"/>
            <w:shd w:fill="F6F8FA"/>
            <w:tcMar>
              <w:top w:w="90" w:type="dxa"/>
              <w:left w:w="90" w:type="dxa"/>
              <w:bottom w:w="90" w:type="dxa"/>
              <w:right w:w="90" w:type="dxa"/>
            </w:tcMar>
          </w:tcPr>
          <w:p>
            <w:pPr>
              <w:spacing w:after="0"/>
            </w:pPr>
            <w:r>
              <w:rPr>
                <w:sz w:val="16"/>
              </w:rPr>
              <w:t>720 W reference</w:t>
            </w:r>
          </w:p>
        </w:tc>
      </w:tr>
      <w:tr>
        <w:tc>
          <w:tcPr>
            <w:tcW w:type="dxa" w:w="4680"/>
            <w:vAlign w:val="center"/>
            <w:tcMar>
              <w:top w:w="90" w:type="dxa"/>
              <w:left w:w="90" w:type="dxa"/>
              <w:bottom w:w="90" w:type="dxa"/>
              <w:right w:w="90" w:type="dxa"/>
            </w:tcMar>
          </w:tcPr>
          <w:p>
            <w:pPr>
              <w:spacing w:after="0"/>
            </w:pPr>
            <w:r>
              <w:rPr>
                <w:sz w:val="16"/>
              </w:rPr>
              <w:t>Nominal / peak demand</w:t>
            </w:r>
          </w:p>
        </w:tc>
        <w:tc>
          <w:tcPr>
            <w:tcW w:type="dxa" w:w="4680"/>
            <w:vAlign w:val="center"/>
            <w:tcMar>
              <w:top w:w="90" w:type="dxa"/>
              <w:left w:w="90" w:type="dxa"/>
              <w:bottom w:w="90" w:type="dxa"/>
              <w:right w:w="90" w:type="dxa"/>
            </w:tcMar>
          </w:tcPr>
          <w:p>
            <w:pPr>
              <w:spacing w:after="0"/>
            </w:pPr>
            <w:r>
              <w:rPr>
                <w:sz w:val="16"/>
              </w:rPr>
              <w:t>410 W / 600 W</w:t>
            </w:r>
          </w:p>
        </w:tc>
      </w:tr>
      <w:tr>
        <w:tc>
          <w:tcPr>
            <w:tcW w:type="dxa" w:w="4680"/>
            <w:vAlign w:val="center"/>
            <w:shd w:fill="F6F8FA"/>
            <w:tcMar>
              <w:top w:w="90" w:type="dxa"/>
              <w:left w:w="90" w:type="dxa"/>
              <w:bottom w:w="90" w:type="dxa"/>
              <w:right w:w="90" w:type="dxa"/>
            </w:tcMar>
          </w:tcPr>
          <w:p>
            <w:pPr>
              <w:spacing w:after="0"/>
            </w:pPr>
            <w:r>
              <w:rPr>
                <w:sz w:val="16"/>
              </w:rPr>
              <w:t>Storage</w:t>
            </w:r>
          </w:p>
        </w:tc>
        <w:tc>
          <w:tcPr>
            <w:tcW w:type="dxa" w:w="4680"/>
            <w:vAlign w:val="center"/>
            <w:shd w:fill="F6F8FA"/>
            <w:tcMar>
              <w:top w:w="90" w:type="dxa"/>
              <w:left w:w="90" w:type="dxa"/>
              <w:bottom w:w="90" w:type="dxa"/>
              <w:right w:w="90" w:type="dxa"/>
            </w:tcMar>
          </w:tcPr>
          <w:p>
            <w:pPr>
              <w:spacing w:after="0"/>
            </w:pPr>
            <w:r>
              <w:rPr>
                <w:sz w:val="16"/>
              </w:rPr>
              <w:t>256 GB usable</w:t>
            </w:r>
          </w:p>
        </w:tc>
      </w:tr>
      <w:tr>
        <w:tc>
          <w:tcPr>
            <w:tcW w:type="dxa" w:w="4680"/>
            <w:vAlign w:val="center"/>
            <w:tcMar>
              <w:top w:w="90" w:type="dxa"/>
              <w:left w:w="90" w:type="dxa"/>
              <w:bottom w:w="90" w:type="dxa"/>
              <w:right w:w="90" w:type="dxa"/>
            </w:tcMar>
          </w:tcPr>
          <w:p>
            <w:pPr>
              <w:spacing w:after="0"/>
            </w:pPr>
            <w:r>
              <w:rPr>
                <w:sz w:val="16"/>
              </w:rPr>
              <w:t>Autonomy</w:t>
            </w:r>
          </w:p>
        </w:tc>
        <w:tc>
          <w:tcPr>
            <w:tcW w:type="dxa" w:w="4680"/>
            <w:vAlign w:val="center"/>
            <w:tcMar>
              <w:top w:w="90" w:type="dxa"/>
              <w:left w:w="90" w:type="dxa"/>
              <w:bottom w:w="90" w:type="dxa"/>
              <w:right w:w="90" w:type="dxa"/>
            </w:tcMar>
          </w:tcPr>
          <w:p>
            <w:pPr>
              <w:spacing w:after="0"/>
            </w:pPr>
            <w:r>
              <w:rPr>
                <w:sz w:val="16"/>
              </w:rPr>
              <w:t>≥72 h safe configuration with applicable external power</w:t>
            </w:r>
          </w:p>
        </w:tc>
      </w:tr>
      <w:tr>
        <w:tc>
          <w:tcPr>
            <w:tcW w:type="dxa" w:w="4680"/>
            <w:vAlign w:val="center"/>
            <w:shd w:fill="F6F8FA"/>
            <w:tcMar>
              <w:top w:w="90" w:type="dxa"/>
              <w:left w:w="90" w:type="dxa"/>
              <w:bottom w:w="90" w:type="dxa"/>
              <w:right w:w="90" w:type="dxa"/>
            </w:tcMar>
          </w:tcPr>
          <w:p>
            <w:pPr>
              <w:spacing w:after="0"/>
            </w:pPr>
            <w:r>
              <w:rPr>
                <w:sz w:val="16"/>
              </w:rPr>
              <w:t>Maneuver / mobility</w:t>
            </w:r>
          </w:p>
        </w:tc>
        <w:tc>
          <w:tcPr>
            <w:tcW w:type="dxa" w:w="4680"/>
            <w:vAlign w:val="center"/>
            <w:shd w:fill="F6F8FA"/>
            <w:tcMar>
              <w:top w:w="90" w:type="dxa"/>
              <w:left w:w="90" w:type="dxa"/>
              <w:bottom w:w="90" w:type="dxa"/>
              <w:right w:w="90" w:type="dxa"/>
            </w:tcMar>
          </w:tcPr>
          <w:p>
            <w:pPr>
              <w:spacing w:after="0"/>
            </w:pPr>
            <w:r>
              <w:rPr>
                <w:sz w:val="16"/>
              </w:rPr>
              <w:t>≥70 m/s each; 10 kg monopropellant at 220 s yields ~85 m/s ideal at 260 kg initial mass</w:t>
            </w:r>
          </w:p>
        </w:tc>
      </w:tr>
      <w:tr>
        <w:tc>
          <w:tcPr>
            <w:tcW w:type="dxa" w:w="4680"/>
            <w:vAlign w:val="center"/>
            <w:tcMar>
              <w:top w:w="90" w:type="dxa"/>
              <w:left w:w="90" w:type="dxa"/>
              <w:bottom w:w="90" w:type="dxa"/>
              <w:right w:w="90" w:type="dxa"/>
            </w:tcMar>
          </w:tcPr>
          <w:p>
            <w:pPr>
              <w:spacing w:after="0"/>
            </w:pPr>
            <w:r>
              <w:rPr>
                <w:sz w:val="16"/>
              </w:rPr>
              <w:t>Delivery</w:t>
            </w:r>
          </w:p>
        </w:tc>
        <w:tc>
          <w:tcPr>
            <w:tcW w:type="dxa" w:w="4680"/>
            <w:vAlign w:val="center"/>
            <w:tcMar>
              <w:top w:w="90" w:type="dxa"/>
              <w:left w:w="90" w:type="dxa"/>
              <w:bottom w:w="90" w:type="dxa"/>
              <w:right w:w="90" w:type="dxa"/>
            </w:tcMar>
          </w:tcPr>
          <w:p>
            <w:pPr>
              <w:spacing w:after="0"/>
            </w:pPr>
            <w:r>
              <w:rPr>
                <w:sz w:val="16"/>
              </w:rPr>
              <w:t>Two × 260 kg flight units + 100 kg dispenser/adaptor = 620 kg to reference 760 km orbit; service capacity ≥750 kg</w:t>
            </w:r>
          </w:p>
        </w:tc>
      </w:tr>
      <w:tr>
        <w:tc>
          <w:tcPr>
            <w:tcW w:type="dxa" w:w="4680"/>
            <w:vAlign w:val="center"/>
            <w:shd w:fill="F6F8FA"/>
            <w:tcMar>
              <w:top w:w="90" w:type="dxa"/>
              <w:left w:w="90" w:type="dxa"/>
              <w:bottom w:w="90" w:type="dxa"/>
              <w:right w:w="90" w:type="dxa"/>
            </w:tcMar>
          </w:tcPr>
          <w:p>
            <w:pPr>
              <w:spacing w:after="0"/>
            </w:pPr>
            <w:r>
              <w:rPr>
                <w:sz w:val="16"/>
              </w:rPr>
              <w:t>Design life</w:t>
            </w:r>
          </w:p>
        </w:tc>
        <w:tc>
          <w:tcPr>
            <w:tcW w:type="dxa" w:w="4680"/>
            <w:vAlign w:val="center"/>
            <w:shd w:fill="F6F8FA"/>
            <w:tcMar>
              <w:top w:w="90" w:type="dxa"/>
              <w:left w:w="90" w:type="dxa"/>
              <w:bottom w:w="90" w:type="dxa"/>
              <w:right w:w="90" w:type="dxa"/>
            </w:tcMar>
          </w:tcPr>
          <w:p>
            <w:pPr>
              <w:spacing w:after="0"/>
            </w:pPr>
            <w:r>
              <w:rPr>
                <w:sz w:val="16"/>
              </w:rPr>
              <w:t>Three-year nominal science after three-month commissioning; four-year flight design life.</w:t>
            </w:r>
          </w:p>
        </w:tc>
      </w:tr>
    </w:tbl>
    <w:p>
      <w:pPr>
        <w:pStyle w:val="Heading3"/>
      </w:pPr>
      <w:r>
        <w:t>Structural Subsystem</w:t>
      </w:r>
    </w:p>
    <w:p>
      <w:pPr/>
      <w:r>
        <w:t>The structural design is sized for 260 kg delivery mass and the qualified interface loads. The launch or cargo provider controls final vibration, shock and handling cases; a 6 g axial and 2 g lateral quasi-static concept check is retained until that interface is defined. Enclosures, hinges, restraints and contained fluids receive separate local load paths.</w:t>
      </w:r>
    </w:p>
    <w:p>
      <w:pPr/>
      <w:r>
        <w:t>The configuration model records mass properties, lifting points, contamination boundaries, access envelopes and center of gravity before acceptance. Instrument alignment and enclosure sealing are measured before and after environmental testing. The project shall document whether the delivery carrier, lander or host provides final restraint hardware.</w:t>
      </w:r>
    </w:p>
    <w:p>
      <w:pPr>
        <w:pStyle w:val="Heading3"/>
      </w:pPr>
      <w:r>
        <w:t>Electrical Power Subsystem</w:t>
      </w:r>
    </w:p>
    <w:p>
      <w:pPr/>
      <w:r>
        <w:t>Nominal allocation: 720 W generation or host provision, 410 W operating demand, 600 W short-duration peak. These values describe distinct operating cases. The system power margin is assessed at the worst insolation, eclipse or host-service case, not by comparing only nameplate generation and nominal demand.</w:t>
      </w:r>
    </w:p>
    <w:p>
      <w:pPr/>
      <w:r>
        <w:t>Power distribution uses protected 28 V or the host-qualified equivalent. Independent current telemetry and latching protection isolate a failed load. Battery or host reserve is sized from the longest commanded safe-mode, transfer, eclipse or night interval rather than from an arbitrary percentage of nominal energy.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Reference generation</w:t>
            </w:r>
          </w:p>
        </w:tc>
        <w:tc>
          <w:tcPr>
            <w:tcW w:type="dxa" w:w="3120"/>
            <w:vAlign w:val="center"/>
            <w:shd w:fill="DDE6EF"/>
            <w:tcMar>
              <w:top w:w="90" w:type="dxa"/>
              <w:left w:w="90" w:type="dxa"/>
              <w:bottom w:w="90" w:type="dxa"/>
              <w:right w:w="90" w:type="dxa"/>
            </w:tcMar>
          </w:tcPr>
          <w:p>
            <w:pPr>
              <w:spacing w:after="0"/>
            </w:pPr>
            <w:r>
              <w:rPr>
                <w:b/>
                <w:sz w:val="16"/>
              </w:rPr>
              <w:t>Distribution and storage</w:t>
            </w:r>
          </w:p>
        </w:tc>
        <w:tc>
          <w:tcPr>
            <w:tcW w:type="dxa" w:w="3120"/>
            <w:vAlign w:val="center"/>
            <w:shd w:fill="DDE6EF"/>
            <w:tcMar>
              <w:top w:w="90" w:type="dxa"/>
              <w:left w:w="90" w:type="dxa"/>
              <w:bottom w:w="90" w:type="dxa"/>
              <w:right w:w="90" w:type="dxa"/>
            </w:tcMar>
          </w:tcPr>
          <w:p>
            <w:pPr>
              <w:spacing w:after="0"/>
            </w:pPr>
            <w:r>
              <w:rPr>
                <w:b/>
                <w:sz w:val="16"/>
              </w:rPr>
              <w:t>Protected loads</w:t>
            </w:r>
          </w:p>
        </w:tc>
      </w:tr>
      <w:tr>
        <w:tc>
          <w:tcPr>
            <w:tcW w:type="dxa" w:w="3120"/>
            <w:vAlign w:val="center"/>
            <w:tcMar>
              <w:top w:w="90" w:type="dxa"/>
              <w:left w:w="90" w:type="dxa"/>
              <w:bottom w:w="90" w:type="dxa"/>
              <w:right w:w="90" w:type="dxa"/>
            </w:tcMar>
          </w:tcPr>
          <w:p>
            <w:pPr>
              <w:spacing w:after="0"/>
            </w:pPr>
            <w:r>
              <w:rPr>
                <w:sz w:val="16"/>
              </w:rPr>
              <w:t>720 W baseline</w:t>
            </w:r>
          </w:p>
        </w:tc>
        <w:tc>
          <w:tcPr>
            <w:tcW w:type="dxa" w:w="3120"/>
            <w:vAlign w:val="center"/>
            <w:tcMar>
              <w:top w:w="90" w:type="dxa"/>
              <w:left w:w="90" w:type="dxa"/>
              <w:bottom w:w="90" w:type="dxa"/>
              <w:right w:w="90" w:type="dxa"/>
            </w:tcMar>
          </w:tcPr>
          <w:p>
            <w:pPr>
              <w:spacing w:after="0"/>
            </w:pPr>
            <w:r>
              <w:rPr>
                <w:sz w:val="16"/>
              </w:rPr>
              <w:t>Regulated bus, protected battery/host service</w:t>
            </w:r>
          </w:p>
        </w:tc>
        <w:tc>
          <w:tcPr>
            <w:tcW w:type="dxa" w:w="3120"/>
            <w:vAlign w:val="center"/>
            <w:tcMar>
              <w:top w:w="90" w:type="dxa"/>
              <w:left w:w="90" w:type="dxa"/>
              <w:bottom w:w="90" w:type="dxa"/>
              <w:right w:w="90" w:type="dxa"/>
            </w:tcMar>
          </w:tcPr>
          <w:p>
            <w:pPr>
              <w:spacing w:after="0"/>
            </w:pPr>
            <w:r>
              <w:rPr>
                <w:sz w:val="16"/>
              </w:rPr>
              <w:t>410 W nominal / 600 W peak</w:t>
            </w:r>
          </w:p>
        </w:tc>
      </w:tr>
    </w:tbl>
    <w:p>
      <w:pPr>
        <w:pStyle w:val="Heading3"/>
      </w:pPr>
      <w:r>
        <w:t>Command and Data Handling</w:t>
      </w:r>
    </w:p>
    <w:p>
      <w:pPr/>
      <w:r>
        <w:t>A redundant or monitored controller executes time-tagged operations, instrument interlocks, fault detection and protected storage. The local allocation is 256 GB usable. A storage analysis includes the worst observation burst, delayed contact, software overhead, file-system reserve and corrected-memory events.</w:t>
      </w:r>
    </w:p>
    <w:p>
      <w:pPr/>
      <w:r>
        <w:t>Every science record carries absolute time, equipment serial number, calibration-set ID, operating mode and validity flags. Loss of link initiates a controlled safe state that preserves source data and performs scheduled reacquisition. A corrupted parameter upload must not silently change instrument calibration or safety limits.</w:t>
      </w:r>
    </w:p>
    <w:p>
      <w:pPr/>
      <w:r>
        <w:t>Flight and process software controls the following functions:</w:t>
      </w:r>
    </w:p>
    <w:p>
      <w:pPr>
        <w:pStyle w:val="BodyText"/>
      </w:pPr>
      <w:r>
        <w:t>receive and execute authorized commands;</w:t>
      </w:r>
    </w:p>
    <w:p>
      <w:pPr>
        <w:pStyle w:val="BodyText"/>
      </w:pPr>
      <w:r>
        <w:t>collect health telemetry and time-correlated payload packets;</w:t>
      </w:r>
    </w:p>
    <w:p>
      <w:pPr>
        <w:pStyle w:val="BodyText"/>
      </w:pPr>
      <w:r>
        <w:t>manage 256 GB usable storage and priority records;</w:t>
      </w:r>
    </w:p>
    <w:p>
      <w:pPr>
        <w:pStyle w:val="BodyText"/>
      </w:pPr>
      <w:r>
        <w:t>switch to a safe mode after undervoltage, overtemperature or watchdog failure;</w:t>
      </w:r>
    </w:p>
    <w:p>
      <w:pPr>
        <w:pStyle w:val="BodyText"/>
      </w:pPr>
      <w:r>
        <w:t>retain the last accepted software and configuration baseline;</w:t>
      </w:r>
    </w:p>
    <w:p>
      <w:pPr>
        <w:pStyle w:val="BodyText"/>
      </w:pPr>
      <w:r>
        <w:t>reacquire the ground or host link after a missed contact; and</w:t>
      </w:r>
    </w:p>
    <w:p>
      <w:pPr>
        <w:pStyle w:val="BodyText"/>
      </w:pPr>
      <w:r>
        <w:t>report data quality and calibration status with each product.</w:t>
      </w:r>
    </w:p>
    <w:p>
      <w:pPr/>
      <w:r>
        <w:t>A mission-data model checks the 6 GB/day per spacecraft after onboard screening planning case against memory capacity, contact availability and the required processing latency. Raw records are retained until integrity checks and ingest acknowledgement complete.</w:t>
      </w:r>
    </w:p>
    <w:p>
      <w:pPr>
        <w:pStyle w:val="Heading3"/>
      </w:pPr>
      <w:r>
        <w:t>Thermal Subsystem</w:t>
      </w:r>
    </w:p>
    <w:p>
      <w:pPr/>
      <w:r>
        <w:t>760 km eclipse season and auroral instrument duty-cycle cases; payload optical bench 5–25 °C and UV detector −10–10 °C.</w:t>
      </w:r>
    </w:p>
    <w:p>
      <w:pPr/>
      <w:r>
        <w:t>The thermal design shall close with numerical hot and cold cases and shall separately report radiator, insulation, heater and sensor allocations. Instrument calibration is repeated across the qualified operating temperature range. Safe-mode heating and peak-mode waste heat are independently assessed.</w:t>
      </w:r>
    </w:p>
    <w:p>
      <w:pPr/>
      <w:r>
        <w:t>Thermal verification considers heat from 600 W peak electrical input, the nominal 410 W mode, external heat flux, enclosure conduction and the passive or active rejection path. The final instrument uncertainty budget includes temperature-driven bias and gradients.</w:t>
      </w:r>
    </w:p>
    <w:p>
      <w:pPr/>
      <w:r>
        <w:t>The thermal test programme shall establish:</w:t>
      </w:r>
    </w:p>
    <w:p>
      <w:pPr>
        <w:pStyle w:val="BodyText"/>
      </w:pPr>
      <w:r>
        <w:t>steady and transient operating limits of each component;</w:t>
      </w:r>
    </w:p>
    <w:p>
      <w:pPr>
        <w:pStyle w:val="BodyText"/>
      </w:pPr>
      <w:r>
        <w:t>heater and cooler demand in cold and hot cases;</w:t>
      </w:r>
    </w:p>
    <w:p>
      <w:pPr>
        <w:pStyle w:val="BodyText"/>
      </w:pPr>
      <w:r>
        <w:t>radiator or host heat-rejection sizing;</w:t>
      </w:r>
    </w:p>
    <w:p>
      <w:pPr>
        <w:pStyle w:val="BodyText"/>
      </w:pPr>
      <w:r>
        <w:t>calibration stability across the qualified temperature range; and</w:t>
      </w:r>
    </w:p>
    <w:p>
      <w:pPr>
        <w:pStyle w:val="BodyText"/>
      </w:pPr>
      <w:r>
        <w:t>safe survival during a commanded outage.</w:t>
      </w:r>
    </w:p>
    <w:p>
      <w:pPr>
        <w:pStyle w:val="Heading3"/>
      </w:pPr>
      <w:r>
        <w:t>Attitude Determination and Control Subsystem</w:t>
      </w:r>
    </w:p>
    <w:p>
      <w:pPr/>
      <w:r>
        <w:t>Two star trackers, four wheels, magnetic torquers and GNSS; pointing knowledge ≤0.03° and stability ≤0.01° over 30 s frame.</w:t>
      </w:r>
    </w:p>
    <w:p>
      <w:pPr/>
      <w:r>
        <w:t>The reference control architecture separates safe/recovery, measurement, communications and maneuver or servicing modes. A commanded transition requires validated sensor state and resource availability. For hosted equipment, mechanical positioning takes the place of free-flight attitude determination, while retaining an equivalent repeatability verification requirement.</w:t>
      </w:r>
    </w:p>
    <w:p>
      <w:pPr/>
      <w:r>
        <w:t>The control design maintains a mode and pointing error budget. It distinguishes knowledge of where the instrument looked from closed-loop control accuracy, including disturbance rejection and post-facto reconstruction. Engineering tests separately verify sensor alignment, actuator range and degraded operations after a failed sensor or wheel.</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Control element A</w:t>
            </w:r>
          </w:p>
        </w:tc>
        <w:tc>
          <w:tcPr>
            <w:tcW w:type="dxa" w:w="4680"/>
            <w:vAlign w:val="center"/>
            <w:shd w:fill="DDE6EF"/>
            <w:tcMar>
              <w:top w:w="90" w:type="dxa"/>
              <w:left w:w="90" w:type="dxa"/>
              <w:bottom w:w="90" w:type="dxa"/>
              <w:right w:w="90" w:type="dxa"/>
            </w:tcMar>
          </w:tcPr>
          <w:p>
            <w:pPr>
              <w:spacing w:after="0"/>
            </w:pPr>
            <w:r>
              <w:rPr>
                <w:b/>
                <w:sz w:val="16"/>
              </w:rPr>
              <w:t>Control element B</w:t>
            </w:r>
          </w:p>
        </w:tc>
      </w:tr>
      <w:tr>
        <w:tc>
          <w:tcPr>
            <w:tcW w:type="dxa" w:w="4680"/>
            <w:vAlign w:val="center"/>
            <w:tcMar>
              <w:top w:w="90" w:type="dxa"/>
              <w:left w:w="90" w:type="dxa"/>
              <w:bottom w:w="90" w:type="dxa"/>
              <w:right w:w="90" w:type="dxa"/>
            </w:tcMar>
          </w:tcPr>
          <w:p>
            <w:pPr>
              <w:spacing w:after="0"/>
            </w:pPr>
            <w:r>
              <w:rPr>
                <w:sz w:val="16"/>
              </w:rPr>
              <w:t>Primary position/attitude reference</w:t>
            </w:r>
          </w:p>
        </w:tc>
        <w:tc>
          <w:tcPr>
            <w:tcW w:type="dxa" w:w="4680"/>
            <w:vAlign w:val="center"/>
            <w:tcMar>
              <w:top w:w="90" w:type="dxa"/>
              <w:left w:w="90" w:type="dxa"/>
              <w:bottom w:w="90" w:type="dxa"/>
              <w:right w:w="90" w:type="dxa"/>
            </w:tcMar>
          </w:tcPr>
          <w:p>
            <w:pPr>
              <w:spacing w:after="0"/>
            </w:pPr>
            <w:r>
              <w:rPr>
                <w:sz w:val="16"/>
              </w:rPr>
              <w:t>Independent cross-check and health monitor</w:t>
            </w:r>
          </w:p>
        </w:tc>
      </w:tr>
      <w:tr>
        <w:tc>
          <w:tcPr>
            <w:tcW w:type="dxa" w:w="4680"/>
            <w:vAlign w:val="center"/>
            <w:shd w:fill="F6F8FA"/>
            <w:tcMar>
              <w:top w:w="90" w:type="dxa"/>
              <w:left w:w="90" w:type="dxa"/>
              <w:bottom w:w="90" w:type="dxa"/>
              <w:right w:w="90" w:type="dxa"/>
            </w:tcMar>
          </w:tcPr>
          <w:p>
            <w:pPr>
              <w:spacing w:after="0"/>
            </w:pPr>
            <w:r>
              <w:rPr>
                <w:sz w:val="16"/>
              </w:rPr>
              <w:t>Science or process pointing</w:t>
            </w:r>
          </w:p>
        </w:tc>
        <w:tc>
          <w:tcPr>
            <w:tcW w:type="dxa" w:w="4680"/>
            <w:vAlign w:val="center"/>
            <w:shd w:fill="F6F8FA"/>
            <w:tcMar>
              <w:top w:w="90" w:type="dxa"/>
              <w:left w:w="90" w:type="dxa"/>
              <w:bottom w:w="90" w:type="dxa"/>
              <w:right w:w="90" w:type="dxa"/>
            </w:tcMar>
          </w:tcPr>
          <w:p>
            <w:pPr>
              <w:spacing w:after="0"/>
            </w:pPr>
            <w:r>
              <w:rPr>
                <w:sz w:val="16"/>
              </w:rPr>
              <w:t>Safe-mode or host restraint</w:t>
            </w:r>
          </w:p>
        </w:tc>
      </w:tr>
      <w:tr>
        <w:tc>
          <w:tcPr>
            <w:tcW w:type="dxa" w:w="4680"/>
            <w:vAlign w:val="center"/>
            <w:tcMar>
              <w:top w:w="90" w:type="dxa"/>
              <w:left w:w="90" w:type="dxa"/>
              <w:bottom w:w="90" w:type="dxa"/>
              <w:right w:w="90" w:type="dxa"/>
            </w:tcMar>
          </w:tcPr>
          <w:p>
            <w:pPr>
              <w:spacing w:after="0"/>
            </w:pPr>
            <w:r>
              <w:rPr>
                <w:sz w:val="16"/>
              </w:rPr>
              <w:t>Actuator / positioning hardware</w:t>
            </w:r>
          </w:p>
        </w:tc>
        <w:tc>
          <w:tcPr>
            <w:tcW w:type="dxa" w:w="4680"/>
            <w:vAlign w:val="center"/>
            <w:tcMar>
              <w:top w:w="90" w:type="dxa"/>
              <w:left w:w="90" w:type="dxa"/>
              <w:bottom w:w="90" w:type="dxa"/>
              <w:right w:w="90" w:type="dxa"/>
            </w:tcMar>
          </w:tcPr>
          <w:p>
            <w:pPr>
              <w:spacing w:after="0"/>
            </w:pPr>
            <w:r>
              <w:rPr>
                <w:sz w:val="16"/>
              </w:rPr>
              <w:t>Feedback telemetry</w:t>
            </w:r>
          </w:p>
        </w:tc>
      </w:tr>
      <w:tr>
        <w:tc>
          <w:tcPr>
            <w:tcW w:type="dxa" w:w="4680"/>
            <w:vAlign w:val="center"/>
            <w:shd w:fill="F6F8FA"/>
            <w:tcMar>
              <w:top w:w="90" w:type="dxa"/>
              <w:left w:w="90" w:type="dxa"/>
              <w:bottom w:w="90" w:type="dxa"/>
              <w:right w:w="90" w:type="dxa"/>
            </w:tcMar>
          </w:tcPr>
          <w:p>
            <w:pPr>
              <w:spacing w:after="0"/>
            </w:pPr>
            <w:r>
              <w:rPr>
                <w:sz w:val="16"/>
              </w:rPr>
              <w:t>Alignment calibration</w:t>
            </w:r>
          </w:p>
        </w:tc>
        <w:tc>
          <w:tcPr>
            <w:tcW w:type="dxa" w:w="4680"/>
            <w:vAlign w:val="center"/>
            <w:shd w:fill="F6F8FA"/>
            <w:tcMar>
              <w:top w:w="90" w:type="dxa"/>
              <w:left w:w="90" w:type="dxa"/>
              <w:bottom w:w="90" w:type="dxa"/>
              <w:right w:w="90" w:type="dxa"/>
            </w:tcMar>
          </w:tcPr>
          <w:p>
            <w:pPr>
              <w:spacing w:after="0"/>
            </w:pPr>
            <w:r>
              <w:rPr>
                <w:sz w:val="16"/>
              </w:rPr>
              <w:t>Post-test acceptance evidence</w:t>
            </w:r>
          </w:p>
        </w:tc>
      </w:tr>
    </w:tbl>
    <w:p>
      <w:pPr>
        <w:pStyle w:val="Heading3"/>
      </w:pPr>
      <w:r>
        <w:t>Propulsion Subsystem</w:t>
      </w:r>
    </w:p>
    <w:p>
      <w:pPr/>
      <w:r>
        <w:t>10 kg monopropellant at 220 s effective Isp provides ~85 m/s ideal Δv; 70 m/s requirement leaves 15 m/s for performance dispersion.</w:t>
      </w:r>
    </w:p>
    <w:p>
      <w:pPr/>
      <w:r>
        <w:t>Any maneuver, descent or mobility not carried by the delivered unit is assigned explicitly to the launch or cargo provider. If propulsion is installed, the flight reserve includes residuals, thrust and specific-impulse dispersion, navigation error and unusable propellant. No requirement is treated as closed by nominal rocket-equation capability alone.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Parameter</w:t>
            </w:r>
          </w:p>
        </w:tc>
        <w:tc>
          <w:tcPr>
            <w:tcW w:type="dxa" w:w="3120"/>
            <w:vAlign w:val="center"/>
            <w:shd w:fill="DDE6EF"/>
            <w:tcMar>
              <w:top w:w="90" w:type="dxa"/>
              <w:left w:w="90" w:type="dxa"/>
              <w:bottom w:w="90" w:type="dxa"/>
              <w:right w:w="90" w:type="dxa"/>
            </w:tcMar>
          </w:tcPr>
          <w:p>
            <w:pPr>
              <w:spacing w:after="0"/>
            </w:pPr>
            <w:r>
              <w:rPr>
                <w:b/>
                <w:sz w:val="16"/>
              </w:rPr>
              <w:t>Reference value</w:t>
            </w:r>
          </w:p>
        </w:tc>
        <w:tc>
          <w:tcPr>
            <w:tcW w:type="dxa" w:w="3120"/>
            <w:vAlign w:val="center"/>
            <w:shd w:fill="DDE6EF"/>
            <w:tcMar>
              <w:top w:w="90" w:type="dxa"/>
              <w:left w:w="90" w:type="dxa"/>
              <w:bottom w:w="90" w:type="dxa"/>
              <w:right w:w="90" w:type="dxa"/>
            </w:tcMar>
          </w:tcPr>
          <w:p>
            <w:pPr>
              <w:spacing w:after="0"/>
            </w:pPr>
            <w:r>
              <w:rPr>
                <w:b/>
                <w:sz w:val="16"/>
              </w:rPr>
              <w:t>Units</w:t>
            </w:r>
          </w:p>
        </w:tc>
      </w:tr>
      <w:tr>
        <w:tc>
          <w:tcPr>
            <w:tcW w:type="dxa" w:w="3120"/>
            <w:vAlign w:val="center"/>
            <w:tcMar>
              <w:top w:w="90" w:type="dxa"/>
              <w:left w:w="90" w:type="dxa"/>
              <w:bottom w:w="90" w:type="dxa"/>
              <w:right w:w="90" w:type="dxa"/>
            </w:tcMar>
          </w:tcPr>
          <w:p>
            <w:pPr>
              <w:spacing w:after="0"/>
            </w:pPr>
            <w:r>
              <w:rPr>
                <w:sz w:val="16"/>
              </w:rPr>
              <w:t>Propulsion type</w:t>
            </w:r>
          </w:p>
        </w:tc>
        <w:tc>
          <w:tcPr>
            <w:tcW w:type="dxa" w:w="3120"/>
            <w:vAlign w:val="center"/>
            <w:tcMar>
              <w:top w:w="90" w:type="dxa"/>
              <w:left w:w="90" w:type="dxa"/>
              <w:bottom w:w="90" w:type="dxa"/>
              <w:right w:w="90" w:type="dxa"/>
            </w:tcMar>
          </w:tcPr>
          <w:p>
            <w:pPr>
              <w:spacing w:after="0"/>
            </w:pPr>
            <w:r>
              <w:rPr>
                <w:sz w:val="16"/>
              </w:rPr>
              <w:t>Installed or external; see baseline</w:t>
            </w:r>
          </w:p>
        </w:tc>
        <w:tc>
          <w:tcPr>
            <w:tcW w:type="dxa" w:w="3120"/>
            <w:vAlign w:val="center"/>
            <w:tcMar>
              <w:top w:w="90" w:type="dxa"/>
              <w:left w:w="90" w:type="dxa"/>
              <w:bottom w:w="90" w:type="dxa"/>
              <w:right w:w="90" w:type="dxa"/>
            </w:tcMar>
          </w:tcPr>
          <w:p>
            <w:pPr>
              <w:spacing w:after="0"/>
            </w:pPr>
            <w:r>
              <w:rPr>
                <w:sz w:val="16"/>
              </w:rPr>
              <w:t>—</w:t>
            </w:r>
          </w:p>
        </w:tc>
      </w:tr>
      <w:tr>
        <w:tc>
          <w:tcPr>
            <w:tcW w:type="dxa" w:w="3120"/>
            <w:vAlign w:val="center"/>
            <w:shd w:fill="F6F8FA"/>
            <w:tcMar>
              <w:top w:w="90" w:type="dxa"/>
              <w:left w:w="90" w:type="dxa"/>
              <w:bottom w:w="90" w:type="dxa"/>
              <w:right w:w="90" w:type="dxa"/>
            </w:tcMar>
          </w:tcPr>
          <w:p>
            <w:pPr>
              <w:spacing w:after="0"/>
            </w:pPr>
            <w:r>
              <w:rPr>
                <w:sz w:val="16"/>
              </w:rPr>
              <w:t>Initial unit mass</w:t>
            </w:r>
          </w:p>
        </w:tc>
        <w:tc>
          <w:tcPr>
            <w:tcW w:type="dxa" w:w="3120"/>
            <w:vAlign w:val="center"/>
            <w:shd w:fill="F6F8FA"/>
            <w:tcMar>
              <w:top w:w="90" w:type="dxa"/>
              <w:left w:w="90" w:type="dxa"/>
              <w:bottom w:w="90" w:type="dxa"/>
              <w:right w:w="90" w:type="dxa"/>
            </w:tcMar>
          </w:tcPr>
          <w:p>
            <w:pPr>
              <w:spacing w:after="0"/>
            </w:pPr>
            <w:r>
              <w:rPr>
                <w:sz w:val="16"/>
              </w:rPr>
              <w:t>260</w:t>
            </w:r>
          </w:p>
        </w:tc>
        <w:tc>
          <w:tcPr>
            <w:tcW w:type="dxa" w:w="3120"/>
            <w:vAlign w:val="center"/>
            <w:shd w:fill="F6F8FA"/>
            <w:tcMar>
              <w:top w:w="90" w:type="dxa"/>
              <w:left w:w="90" w:type="dxa"/>
              <w:bottom w:w="90" w:type="dxa"/>
              <w:right w:w="90" w:type="dxa"/>
            </w:tcMar>
          </w:tcPr>
          <w:p>
            <w:pPr>
              <w:spacing w:after="0"/>
            </w:pPr>
            <w:r>
              <w:rPr>
                <w:sz w:val="16"/>
              </w:rPr>
              <w:t>kg</w:t>
            </w:r>
          </w:p>
        </w:tc>
      </w:tr>
      <w:tr>
        <w:tc>
          <w:tcPr>
            <w:tcW w:type="dxa" w:w="3120"/>
            <w:vAlign w:val="center"/>
            <w:tcMar>
              <w:top w:w="90" w:type="dxa"/>
              <w:left w:w="90" w:type="dxa"/>
              <w:bottom w:w="90" w:type="dxa"/>
              <w:right w:w="90" w:type="dxa"/>
            </w:tcMar>
          </w:tcPr>
          <w:p>
            <w:pPr>
              <w:spacing w:after="0"/>
            </w:pPr>
            <w:r>
              <w:rPr>
                <w:sz w:val="16"/>
              </w:rPr>
              <w:t>Reference performance</w:t>
            </w:r>
          </w:p>
        </w:tc>
        <w:tc>
          <w:tcPr>
            <w:tcW w:type="dxa" w:w="3120"/>
            <w:vAlign w:val="center"/>
            <w:tcMar>
              <w:top w:w="90" w:type="dxa"/>
              <w:left w:w="90" w:type="dxa"/>
              <w:bottom w:w="90" w:type="dxa"/>
              <w:right w:w="90" w:type="dxa"/>
            </w:tcMar>
          </w:tcPr>
          <w:p>
            <w:pPr>
              <w:spacing w:after="0"/>
            </w:pPr>
            <w:r>
              <w:rPr>
                <w:sz w:val="16"/>
              </w:rPr>
              <w:t>≥70 m/s each; 10 kg monopropellant at 220 s yields ~85 m/s ideal at 260 kg initial mass</w:t>
            </w:r>
          </w:p>
        </w:tc>
        <w:tc>
          <w:tcPr>
            <w:tcW w:type="dxa" w:w="3120"/>
            <w:vAlign w:val="center"/>
            <w:tcMar>
              <w:top w:w="90" w:type="dxa"/>
              <w:left w:w="90" w:type="dxa"/>
              <w:bottom w:w="90" w:type="dxa"/>
              <w:right w:w="90" w:type="dxa"/>
            </w:tcMar>
          </w:tcPr>
          <w:p>
            <w:pPr>
              <w:spacing w:after="0"/>
            </w:pPr>
            <w:r>
              <w:rPr>
                <w:sz w:val="16"/>
              </w:rPr>
              <w:t>m/s or N/A</w:t>
            </w:r>
          </w:p>
        </w:tc>
      </w:tr>
      <w:tr>
        <w:tc>
          <w:tcPr>
            <w:tcW w:type="dxa" w:w="3120"/>
            <w:vAlign w:val="center"/>
            <w:shd w:fill="F6F8FA"/>
            <w:tcMar>
              <w:top w:w="90" w:type="dxa"/>
              <w:left w:w="90" w:type="dxa"/>
              <w:bottom w:w="90" w:type="dxa"/>
              <w:right w:w="90" w:type="dxa"/>
            </w:tcMar>
          </w:tcPr>
          <w:p>
            <w:pPr>
              <w:spacing w:after="0"/>
            </w:pPr>
            <w:r>
              <w:rPr>
                <w:sz w:val="16"/>
              </w:rPr>
              <w:t>Fuel / propellant allocation</w:t>
            </w:r>
          </w:p>
        </w:tc>
        <w:tc>
          <w:tcPr>
            <w:tcW w:type="dxa" w:w="3120"/>
            <w:vAlign w:val="center"/>
            <w:shd w:fill="F6F8FA"/>
            <w:tcMar>
              <w:top w:w="90" w:type="dxa"/>
              <w:left w:w="90" w:type="dxa"/>
              <w:bottom w:w="90" w:type="dxa"/>
              <w:right w:w="90" w:type="dxa"/>
            </w:tcMar>
          </w:tcPr>
          <w:p>
            <w:pPr>
              <w:spacing w:after="0"/>
            </w:pPr>
            <w:r>
              <w:rPr>
                <w:sz w:val="16"/>
              </w:rPr>
              <w:t>10 kg monopropellant at 220 s effective Isp provides ~85 m/s ideal Δv</w:t>
            </w:r>
          </w:p>
        </w:tc>
        <w:tc>
          <w:tcPr>
            <w:tcW w:type="dxa" w:w="3120"/>
            <w:vAlign w:val="center"/>
            <w:shd w:fill="F6F8FA"/>
            <w:tcMar>
              <w:top w:w="90" w:type="dxa"/>
              <w:left w:w="90" w:type="dxa"/>
              <w:bottom w:w="90" w:type="dxa"/>
              <w:right w:w="90" w:type="dxa"/>
            </w:tcMar>
          </w:tcPr>
          <w:p>
            <w:pPr>
              <w:spacing w:after="0"/>
            </w:pPr>
            <w:r>
              <w:rPr>
                <w:sz w:val="16"/>
              </w:rPr>
              <w:t>kg / description</w:t>
            </w:r>
          </w:p>
        </w:tc>
      </w:tr>
      <w:tr>
        <w:tc>
          <w:tcPr>
            <w:tcW w:type="dxa" w:w="3120"/>
            <w:vAlign w:val="center"/>
            <w:tcMar>
              <w:top w:w="90" w:type="dxa"/>
              <w:left w:w="90" w:type="dxa"/>
              <w:bottom w:w="90" w:type="dxa"/>
              <w:right w:w="90" w:type="dxa"/>
            </w:tcMar>
          </w:tcPr>
          <w:p>
            <w:pPr>
              <w:spacing w:after="0"/>
            </w:pPr>
            <w:r>
              <w:rPr>
                <w:sz w:val="16"/>
              </w:rPr>
              <w:t>Performance reserve</w:t>
            </w:r>
          </w:p>
        </w:tc>
        <w:tc>
          <w:tcPr>
            <w:tcW w:type="dxa" w:w="3120"/>
            <w:vAlign w:val="center"/>
            <w:tcMar>
              <w:top w:w="90" w:type="dxa"/>
              <w:left w:w="90" w:type="dxa"/>
              <w:bottom w:w="90" w:type="dxa"/>
              <w:right w:w="90" w:type="dxa"/>
            </w:tcMar>
          </w:tcPr>
          <w:p>
            <w:pPr>
              <w:spacing w:after="0"/>
            </w:pPr>
            <w:r>
              <w:rPr>
                <w:sz w:val="16"/>
              </w:rPr>
              <w:t>Verify at PDR</w:t>
            </w:r>
          </w:p>
        </w:tc>
        <w:tc>
          <w:tcPr>
            <w:tcW w:type="dxa" w:w="3120"/>
            <w:vAlign w:val="center"/>
            <w:tcMar>
              <w:top w:w="90" w:type="dxa"/>
              <w:left w:w="90" w:type="dxa"/>
              <w:bottom w:w="90" w:type="dxa"/>
              <w:right w:w="90" w:type="dxa"/>
            </w:tcMar>
          </w:tcPr>
          <w:p>
            <w:pPr>
              <w:spacing w:after="0"/>
            </w:pPr>
            <w:r>
              <w:rPr>
                <w:sz w:val="16"/>
              </w:rPr>
              <w:t>m/s</w:t>
            </w:r>
          </w:p>
        </w:tc>
      </w:tr>
      <w:tr>
        <w:tc>
          <w:tcPr>
            <w:tcW w:type="dxa" w:w="3120"/>
            <w:vAlign w:val="center"/>
            <w:shd w:fill="F6F8FA"/>
            <w:tcMar>
              <w:top w:w="90" w:type="dxa"/>
              <w:left w:w="90" w:type="dxa"/>
              <w:bottom w:w="90" w:type="dxa"/>
              <w:right w:w="90" w:type="dxa"/>
            </w:tcMar>
          </w:tcPr>
          <w:p>
            <w:pPr>
              <w:spacing w:after="0"/>
            </w:pPr>
            <w:r>
              <w:rPr>
                <w:sz w:val="16"/>
              </w:rPr>
              <w:t>Residual accounting</w:t>
            </w:r>
          </w:p>
        </w:tc>
        <w:tc>
          <w:tcPr>
            <w:tcW w:type="dxa" w:w="3120"/>
            <w:vAlign w:val="center"/>
            <w:shd w:fill="F6F8FA"/>
            <w:tcMar>
              <w:top w:w="90" w:type="dxa"/>
              <w:left w:w="90" w:type="dxa"/>
              <w:bottom w:w="90" w:type="dxa"/>
              <w:right w:w="90" w:type="dxa"/>
            </w:tcMar>
          </w:tcPr>
          <w:p>
            <w:pPr>
              <w:spacing w:after="0"/>
            </w:pPr>
            <w:r>
              <w:rPr>
                <w:sz w:val="16"/>
              </w:rPr>
              <w:t>Required in final mass budget</w:t>
            </w:r>
          </w:p>
        </w:tc>
        <w:tc>
          <w:tcPr>
            <w:tcW w:type="dxa" w:w="3120"/>
            <w:vAlign w:val="center"/>
            <w:shd w:fill="F6F8FA"/>
            <w:tcMar>
              <w:top w:w="90" w:type="dxa"/>
              <w:left w:w="90" w:type="dxa"/>
              <w:bottom w:w="90" w:type="dxa"/>
              <w:right w:w="90" w:type="dxa"/>
            </w:tcMar>
          </w:tcPr>
          <w:p>
            <w:pPr>
              <w:spacing w:after="0"/>
            </w:pPr>
            <w:r>
              <w:rPr>
                <w:sz w:val="16"/>
              </w:rPr>
              <w:t>kg</w:t>
            </w:r>
          </w:p>
        </w:tc>
      </w:tr>
    </w:tbl>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Maneuver / mobility element</w:t>
            </w:r>
          </w:p>
        </w:tc>
        <w:tc>
          <w:tcPr>
            <w:tcW w:type="dxa" w:w="4680"/>
            <w:vAlign w:val="center"/>
            <w:shd w:fill="DDE6EF"/>
            <w:tcMar>
              <w:top w:w="90" w:type="dxa"/>
              <w:left w:w="90" w:type="dxa"/>
              <w:bottom w:w="90" w:type="dxa"/>
              <w:right w:w="90" w:type="dxa"/>
            </w:tcMar>
          </w:tcPr>
          <w:p>
            <w:pPr>
              <w:spacing w:after="0"/>
            </w:pPr>
            <w:r>
              <w:rPr>
                <w:b/>
                <w:sz w:val="16"/>
              </w:rPr>
              <w:t>Allocation / assumption</w:t>
            </w:r>
          </w:p>
        </w:tc>
      </w:tr>
      <w:tr>
        <w:tc>
          <w:tcPr>
            <w:tcW w:type="dxa" w:w="4680"/>
            <w:vAlign w:val="center"/>
            <w:tcMar>
              <w:top w:w="90" w:type="dxa"/>
              <w:left w:w="90" w:type="dxa"/>
              <w:bottom w:w="90" w:type="dxa"/>
              <w:right w:w="90" w:type="dxa"/>
            </w:tcMar>
          </w:tcPr>
          <w:p>
            <w:pPr>
              <w:spacing w:after="0"/>
            </w:pPr>
            <w:r>
              <w:rPr>
                <w:sz w:val="16"/>
              </w:rPr>
              <w:t>Initial injection or landing</w:t>
            </w:r>
          </w:p>
        </w:tc>
        <w:tc>
          <w:tcPr>
            <w:tcW w:type="dxa" w:w="4680"/>
            <w:vAlign w:val="center"/>
            <w:tcMar>
              <w:top w:w="90" w:type="dxa"/>
              <w:left w:w="90" w:type="dxa"/>
              <w:bottom w:w="90" w:type="dxa"/>
              <w:right w:w="90" w:type="dxa"/>
            </w:tcMar>
          </w:tcPr>
          <w:p>
            <w:pPr>
              <w:spacing w:after="0"/>
            </w:pPr>
            <w:r>
              <w:rPr>
                <w:sz w:val="16"/>
              </w:rPr>
              <w:t>Included in contracted service unless stated otherwise</w:t>
            </w:r>
          </w:p>
        </w:tc>
      </w:tr>
      <w:tr>
        <w:tc>
          <w:tcPr>
            <w:tcW w:type="dxa" w:w="4680"/>
            <w:vAlign w:val="center"/>
            <w:shd w:fill="F6F8FA"/>
            <w:tcMar>
              <w:top w:w="90" w:type="dxa"/>
              <w:left w:w="90" w:type="dxa"/>
              <w:bottom w:w="90" w:type="dxa"/>
              <w:right w:w="90" w:type="dxa"/>
            </w:tcMar>
          </w:tcPr>
          <w:p>
            <w:pPr>
              <w:spacing w:after="0"/>
            </w:pPr>
            <w:r>
              <w:rPr>
                <w:sz w:val="16"/>
              </w:rPr>
              <w:t>Operational maintenance</w:t>
            </w:r>
          </w:p>
        </w:tc>
        <w:tc>
          <w:tcPr>
            <w:tcW w:type="dxa" w:w="4680"/>
            <w:vAlign w:val="center"/>
            <w:shd w:fill="F6F8FA"/>
            <w:tcMar>
              <w:top w:w="90" w:type="dxa"/>
              <w:left w:w="90" w:type="dxa"/>
              <w:bottom w:w="90" w:type="dxa"/>
              <w:right w:w="90" w:type="dxa"/>
            </w:tcMar>
          </w:tcPr>
          <w:p>
            <w:pPr>
              <w:spacing w:after="0"/>
            </w:pPr>
            <w:r>
              <w:rPr>
                <w:sz w:val="16"/>
              </w:rPr>
              <w:t>Near-polar 760 km circular reference orbit, 180° along-track phasing, about 100-minute period.</w:t>
            </w:r>
          </w:p>
        </w:tc>
      </w:tr>
      <w:tr>
        <w:tc>
          <w:tcPr>
            <w:tcW w:type="dxa" w:w="4680"/>
            <w:vAlign w:val="center"/>
            <w:tcMar>
              <w:top w:w="90" w:type="dxa"/>
              <w:left w:w="90" w:type="dxa"/>
              <w:bottom w:w="90" w:type="dxa"/>
              <w:right w:w="90" w:type="dxa"/>
            </w:tcMar>
          </w:tcPr>
          <w:p>
            <w:pPr>
              <w:spacing w:after="0"/>
            </w:pPr>
            <w:r>
              <w:rPr>
                <w:sz w:val="16"/>
              </w:rPr>
              <w:t>Navigation and correction</w:t>
            </w:r>
          </w:p>
        </w:tc>
        <w:tc>
          <w:tcPr>
            <w:tcW w:type="dxa" w:w="4680"/>
            <w:vAlign w:val="center"/>
            <w:tcMar>
              <w:top w:w="90" w:type="dxa"/>
              <w:left w:w="90" w:type="dxa"/>
              <w:bottom w:w="90" w:type="dxa"/>
              <w:right w:w="90" w:type="dxa"/>
            </w:tcMar>
          </w:tcPr>
          <w:p>
            <w:pPr>
              <w:spacing w:after="0"/>
            </w:pPr>
            <w:r>
              <w:rPr>
                <w:sz w:val="16"/>
              </w:rPr>
              <w:t>≥70 m/s each; 10 kg monopropellant at 220 s yields ~85 m/s ideal at 260 kg initial mass</w:t>
            </w:r>
          </w:p>
        </w:tc>
      </w:tr>
      <w:tr>
        <w:tc>
          <w:tcPr>
            <w:tcW w:type="dxa" w:w="4680"/>
            <w:vAlign w:val="center"/>
            <w:shd w:fill="F6F8FA"/>
            <w:tcMar>
              <w:top w:w="90" w:type="dxa"/>
              <w:left w:w="90" w:type="dxa"/>
              <w:bottom w:w="90" w:type="dxa"/>
              <w:right w:w="90" w:type="dxa"/>
            </w:tcMar>
          </w:tcPr>
          <w:p>
            <w:pPr>
              <w:spacing w:after="0"/>
            </w:pPr>
            <w:r>
              <w:rPr>
                <w:sz w:val="16"/>
              </w:rPr>
              <w:t>Contingency and residuals</w:t>
            </w:r>
          </w:p>
        </w:tc>
        <w:tc>
          <w:tcPr>
            <w:tcW w:type="dxa" w:w="4680"/>
            <w:vAlign w:val="center"/>
            <w:shd w:fill="F6F8FA"/>
            <w:tcMar>
              <w:top w:w="90" w:type="dxa"/>
              <w:left w:w="90" w:type="dxa"/>
              <w:bottom w:w="90" w:type="dxa"/>
              <w:right w:w="90" w:type="dxa"/>
            </w:tcMar>
          </w:tcPr>
          <w:p>
            <w:pPr>
              <w:spacing w:after="0"/>
            </w:pPr>
            <w:r>
              <w:rPr>
                <w:sz w:val="16"/>
              </w:rPr>
              <w:t>Explicit reserve controlled in Part B / Part C</w:t>
            </w:r>
          </w:p>
        </w:tc>
      </w:tr>
      <w:tr>
        <w:tc>
          <w:tcPr>
            <w:tcW w:type="dxa" w:w="4680"/>
            <w:vAlign w:val="center"/>
            <w:tcMar>
              <w:top w:w="90" w:type="dxa"/>
              <w:left w:w="90" w:type="dxa"/>
              <w:bottom w:w="90" w:type="dxa"/>
              <w:right w:w="90" w:type="dxa"/>
            </w:tcMar>
          </w:tcPr>
          <w:p>
            <w:pPr>
              <w:spacing w:after="0"/>
            </w:pPr>
            <w:r>
              <w:rPr>
                <w:sz w:val="16"/>
              </w:rPr>
              <w:t>Total capability</w:t>
            </w:r>
          </w:p>
        </w:tc>
        <w:tc>
          <w:tcPr>
            <w:tcW w:type="dxa" w:w="4680"/>
            <w:vAlign w:val="center"/>
            <w:tcMar>
              <w:top w:w="90" w:type="dxa"/>
              <w:left w:w="90" w:type="dxa"/>
              <w:bottom w:w="90" w:type="dxa"/>
              <w:right w:w="90" w:type="dxa"/>
            </w:tcMar>
          </w:tcPr>
          <w:p>
            <w:pPr>
              <w:spacing w:after="0"/>
            </w:pPr>
            <w:r>
              <w:rPr>
                <w:sz w:val="16"/>
              </w:rPr>
              <w:t>Reconcile with 10 kg monopropellant at 220 s effective Isp provides ~85 m/s ideal Δv; 70 m/s requirement leave</w:t>
            </w:r>
          </w:p>
        </w:tc>
      </w:tr>
    </w:tbl>
    <w:p>
      <w:pPr>
        <w:pStyle w:val="Heading3"/>
      </w:pPr>
      <w:r>
        <w:t>Telemetry, Tracking and Command</w:t>
      </w:r>
    </w:p>
    <w:p>
      <w:pPr/>
      <w:r>
        <w:t>At 100 Mb/s, two 12-minute contacts yield 18 GB gross; 6 GB/day requires ≥33% effective payload fraction, leaving outage/replay margin.</w:t>
      </w:r>
    </w:p>
    <w:p>
      <w:pPr/>
      <w:r>
        <w:t>The final link assessment shall include transmitter power, antenna gain or host data-service rate, geometry, coding, weather where relevant and a minimum allocated margin. Distinguish command/control packets, health telemetry, raw measurements and user or science products. A link outage analysis is required before ground-service capacity is baselined.</w:t>
      </w:r>
    </w:p>
    <w:p>
      <w:pPr/>
      <w:r>
        <w:t>The communications baseline includes 100 Mb/s X-band downlink to 7 m-class stations; S-band contingency command. The contact budget carries acquisition, engineering telemetry, protocol framing, retransmission and unavailable weather or host periods. The sizing check compares usable transferred bytes per contact with 6 GB/day per spacecraft after onboard screening and any higher burst case.</w:t>
      </w:r>
    </w:p>
    <w:p>
      <w:pPr/>
      <w:r>
        <w:t>A separate low-rate command path or host maintenance interface shall support diagnosis after the prime mission-data path becomes unavailable. No unauthenticated measurement data can alter safety-critical command parameters.</w:t>
      </w:r>
    </w:p>
    <w:p>
      <w:pPr>
        <w:pStyle w:val="Heading2"/>
      </w:pPr>
      <w:r>
        <w:t>Payload</w:t>
      </w:r>
    </w:p>
    <w:p>
      <w:pPr/>
      <w:r>
        <w:t>The payload or process equipment is divided into far-ultraviolet auroral imager, visible narrowband auroral imager and energetic particle context sensor. Each element has a separate delivered mass, operating load, mode list, failure assessment and calibration requirement.</w:t>
      </w:r>
    </w:p>
    <w:p>
      <w:pPr>
        <w:pStyle w:val="Heading3"/>
      </w:pPr>
      <w:r>
        <w:t>Far-ultraviolet auroral imager</w:t>
      </w:r>
    </w:p>
    <w:p>
      <w:pPr/>
      <w:r>
        <w:t>20 kg / 105 W; 130–170 nm passband; ≤10 km mapped sampling at reference view; 30 s frames with dayglow rejection.</w:t>
      </w:r>
    </w:p>
    <w:p>
      <w:pPr/>
      <w:r>
        <w:t>The element is accepted by a traced performance test across the specified environment. Detector or process response, temporal stability, alignment and throughput are measured, not inferred from component labels. Operational anomalies are flagged in the Level 1 record.</w:t>
      </w:r>
    </w:p>
    <w:p>
      <w:pPr/>
      <w:r>
        <w:t>The technical budget traces the stated measurement scale to a physical sampling process and detector or process limits. The performance model shall state coverage, dynamic range, timing, throughput, noise, calibration interval and data-rejection logic. Acceptance reports both the verified central value and its uncertainty.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Far-ultraviolet auroral imager</w:t>
            </w:r>
          </w:p>
        </w:tc>
      </w:tr>
      <w:tr>
        <w:tc>
          <w:tcPr>
            <w:tcW w:type="dxa" w:w="4680"/>
            <w:vAlign w:val="center"/>
            <w:shd w:fill="F6F8FA"/>
            <w:tcMar>
              <w:top w:w="90" w:type="dxa"/>
              <w:left w:w="90" w:type="dxa"/>
              <w:bottom w:w="90" w:type="dxa"/>
              <w:right w:w="90" w:type="dxa"/>
            </w:tcMar>
          </w:tcPr>
          <w:p>
            <w:pPr>
              <w:spacing w:after="0"/>
            </w:pPr>
            <w:r>
              <w:rPr>
                <w:sz w:val="16"/>
              </w:rPr>
              <w:t>Measured performance</w:t>
            </w:r>
          </w:p>
        </w:tc>
        <w:tc>
          <w:tcPr>
            <w:tcW w:type="dxa" w:w="4680"/>
            <w:vAlign w:val="center"/>
            <w:shd w:fill="F6F8FA"/>
            <w:tcMar>
              <w:top w:w="90" w:type="dxa"/>
              <w:left w:w="90" w:type="dxa"/>
              <w:bottom w:w="90" w:type="dxa"/>
              <w:right w:w="90" w:type="dxa"/>
            </w:tcMar>
          </w:tcPr>
          <w:p>
            <w:pPr>
              <w:spacing w:after="0"/>
            </w:pPr>
            <w:r>
              <w:rPr>
                <w:sz w:val="16"/>
              </w:rPr>
              <w:t>20 kg / 105 W; 130–170 nm passband; ≤10 km mapped sampling at reference view; 30 s frames with dayglow rejection.</w:t>
            </w:r>
          </w:p>
        </w:tc>
      </w:tr>
      <w:tr>
        <w:tc>
          <w:tcPr>
            <w:tcW w:type="dxa" w:w="4680"/>
            <w:vAlign w:val="center"/>
            <w:tcMar>
              <w:top w:w="90" w:type="dxa"/>
              <w:left w:w="90" w:type="dxa"/>
              <w:bottom w:w="90" w:type="dxa"/>
              <w:right w:w="90" w:type="dxa"/>
            </w:tcMar>
          </w:tcPr>
          <w:p>
            <w:pPr>
              <w:spacing w:after="0"/>
            </w:pPr>
            <w:r>
              <w:rPr>
                <w:sz w:val="16"/>
              </w:rPr>
              <w:t>Unit-level calibration</w:t>
            </w:r>
          </w:p>
        </w:tc>
        <w:tc>
          <w:tcPr>
            <w:tcW w:type="dxa" w:w="4680"/>
            <w:vAlign w:val="center"/>
            <w:tcMar>
              <w:top w:w="90" w:type="dxa"/>
              <w:left w:w="90" w:type="dxa"/>
              <w:bottom w:w="90" w:type="dxa"/>
              <w:right w:w="90" w:type="dxa"/>
            </w:tcMar>
          </w:tcPr>
          <w:p>
            <w:pPr>
              <w:spacing w:after="0"/>
            </w:pPr>
            <w:r>
              <w:rPr>
                <w:sz w:val="16"/>
              </w:rPr>
              <w:t>Before integration and after environmental qualification</w:t>
            </w:r>
          </w:p>
        </w:tc>
      </w:tr>
      <w:tr>
        <w:tc>
          <w:tcPr>
            <w:tcW w:type="dxa" w:w="4680"/>
            <w:vAlign w:val="center"/>
            <w:shd w:fill="F6F8FA"/>
            <w:tcMar>
              <w:top w:w="90" w:type="dxa"/>
              <w:left w:w="90" w:type="dxa"/>
              <w:bottom w:w="90" w:type="dxa"/>
              <w:right w:w="90" w:type="dxa"/>
            </w:tcMar>
          </w:tcPr>
          <w:p>
            <w:pPr>
              <w:spacing w:after="0"/>
            </w:pPr>
            <w:r>
              <w:rPr>
                <w:sz w:val="16"/>
              </w:rPr>
              <w:t>Electrical interface</w:t>
            </w:r>
          </w:p>
        </w:tc>
        <w:tc>
          <w:tcPr>
            <w:tcW w:type="dxa" w:w="4680"/>
            <w:vAlign w:val="center"/>
            <w:shd w:fill="F6F8FA"/>
            <w:tcMar>
              <w:top w:w="90" w:type="dxa"/>
              <w:left w:w="90" w:type="dxa"/>
              <w:bottom w:w="90" w:type="dxa"/>
              <w:right w:w="90" w:type="dxa"/>
            </w:tcMar>
          </w:tcPr>
          <w:p>
            <w:pPr>
              <w:spacing w:after="0"/>
            </w:pPr>
            <w:r>
              <w:rPr>
                <w:sz w:val="16"/>
              </w:rPr>
              <w:t>Protected distribution and commanded safe state</w:t>
            </w:r>
          </w:p>
        </w:tc>
      </w:tr>
      <w:tr>
        <w:tc>
          <w:tcPr>
            <w:tcW w:type="dxa" w:w="4680"/>
            <w:vAlign w:val="center"/>
            <w:tcMar>
              <w:top w:w="90" w:type="dxa"/>
              <w:left w:w="90" w:type="dxa"/>
              <w:bottom w:w="90" w:type="dxa"/>
              <w:right w:w="90" w:type="dxa"/>
            </w:tcMar>
          </w:tcPr>
          <w:p>
            <w:pPr>
              <w:spacing w:after="0"/>
            </w:pPr>
            <w:r>
              <w:rPr>
                <w:sz w:val="16"/>
              </w:rPr>
              <w:t>Data interface</w:t>
            </w:r>
          </w:p>
        </w:tc>
        <w:tc>
          <w:tcPr>
            <w:tcW w:type="dxa" w:w="4680"/>
            <w:vAlign w:val="center"/>
            <w:tcMar>
              <w:top w:w="90" w:type="dxa"/>
              <w:left w:w="90" w:type="dxa"/>
              <w:bottom w:w="90" w:type="dxa"/>
              <w:right w:w="90" w:type="dxa"/>
            </w:tcMar>
          </w:tcPr>
          <w:p>
            <w:pPr>
              <w:spacing w:after="0"/>
            </w:pPr>
            <w:r>
              <w:rPr>
                <w:sz w:val="16"/>
              </w:rPr>
              <w:t>Time-tagged raw records plus status and quality flags</w:t>
            </w:r>
          </w:p>
        </w:tc>
      </w:tr>
      <w:tr>
        <w:tc>
          <w:tcPr>
            <w:tcW w:type="dxa" w:w="4680"/>
            <w:vAlign w:val="center"/>
            <w:shd w:fill="F6F8FA"/>
            <w:tcMar>
              <w:top w:w="90" w:type="dxa"/>
              <w:left w:w="90" w:type="dxa"/>
              <w:bottom w:w="90" w:type="dxa"/>
              <w:right w:w="90" w:type="dxa"/>
            </w:tcMar>
          </w:tcPr>
          <w:p>
            <w:pPr>
              <w:spacing w:after="0"/>
            </w:pPr>
            <w:r>
              <w:rPr>
                <w:sz w:val="16"/>
              </w:rPr>
              <w:t>Environmental tolerance</w:t>
            </w:r>
          </w:p>
        </w:tc>
        <w:tc>
          <w:tcPr>
            <w:tcW w:type="dxa" w:w="4680"/>
            <w:vAlign w:val="center"/>
            <w:shd w:fill="F6F8FA"/>
            <w:tcMar>
              <w:top w:w="90" w:type="dxa"/>
              <w:left w:w="90" w:type="dxa"/>
              <w:bottom w:w="90" w:type="dxa"/>
              <w:right w:w="90" w:type="dxa"/>
            </w:tcMar>
          </w:tcPr>
          <w:p>
            <w:pPr>
              <w:spacing w:after="0"/>
            </w:pPr>
            <w:r>
              <w:rPr>
                <w:sz w:val="16"/>
              </w:rPr>
              <w:t>760 km eclipse season and auroral instrument duty-cycle cases; payload optical bench 5–25 °C and UV detector −10–10 °C.</w:t>
            </w:r>
          </w:p>
        </w:tc>
      </w:tr>
      <w:tr>
        <w:tc>
          <w:tcPr>
            <w:tcW w:type="dxa" w:w="4680"/>
            <w:vAlign w:val="center"/>
            <w:tcMar>
              <w:top w:w="90" w:type="dxa"/>
              <w:left w:w="90" w:type="dxa"/>
              <w:bottom w:w="90" w:type="dxa"/>
              <w:right w:w="90" w:type="dxa"/>
            </w:tcMar>
          </w:tcPr>
          <w:p>
            <w:pPr>
              <w:spacing w:after="0"/>
            </w:pPr>
            <w:r>
              <w:rPr>
                <w:sz w:val="16"/>
              </w:rPr>
              <w:t>Mass accounting</w:t>
            </w:r>
          </w:p>
        </w:tc>
        <w:tc>
          <w:tcPr>
            <w:tcW w:type="dxa" w:w="4680"/>
            <w:vAlign w:val="center"/>
            <w:tcMar>
              <w:top w:w="90" w:type="dxa"/>
              <w:left w:w="90" w:type="dxa"/>
              <w:bottom w:w="90" w:type="dxa"/>
              <w:right w:w="90" w:type="dxa"/>
            </w:tcMar>
          </w:tcPr>
          <w:p>
            <w:pPr>
              <w:spacing w:after="0"/>
            </w:pPr>
            <w:r>
              <w:rPr>
                <w:sz w:val="16"/>
              </w:rPr>
              <w:t>Within 40 kg payload or experiment allocation</w:t>
            </w:r>
          </w:p>
        </w:tc>
      </w:tr>
      <w:tr>
        <w:tc>
          <w:tcPr>
            <w:tcW w:type="dxa" w:w="4680"/>
            <w:vAlign w:val="center"/>
            <w:shd w:fill="F6F8FA"/>
            <w:tcMar>
              <w:top w:w="90" w:type="dxa"/>
              <w:left w:w="90" w:type="dxa"/>
              <w:bottom w:w="90" w:type="dxa"/>
              <w:right w:w="90" w:type="dxa"/>
            </w:tcMar>
          </w:tcPr>
          <w:p>
            <w:pPr>
              <w:spacing w:after="0"/>
            </w:pPr>
            <w:r>
              <w:rPr>
                <w:sz w:val="16"/>
              </w:rPr>
              <w:t>Verification</w:t>
            </w:r>
          </w:p>
        </w:tc>
        <w:tc>
          <w:tcPr>
            <w:tcW w:type="dxa" w:w="4680"/>
            <w:vAlign w:val="center"/>
            <w:shd w:fill="F6F8FA"/>
            <w:tcMar>
              <w:top w:w="90" w:type="dxa"/>
              <w:left w:w="90" w:type="dxa"/>
              <w:bottom w:w="90" w:type="dxa"/>
              <w:right w:w="90" w:type="dxa"/>
            </w:tcMar>
          </w:tcPr>
          <w:p>
            <w:pPr>
              <w:spacing w:after="0"/>
            </w:pPr>
            <w:r>
              <w:rPr>
                <w:sz w:val="16"/>
              </w:rPr>
              <w:t>Test against mission-level success criterion</w:t>
            </w:r>
          </w:p>
        </w:tc>
      </w:tr>
      <w:tr>
        <w:tc>
          <w:tcPr>
            <w:tcW w:type="dxa" w:w="4680"/>
            <w:vAlign w:val="center"/>
            <w:tcMar>
              <w:top w:w="90" w:type="dxa"/>
              <w:left w:w="90" w:type="dxa"/>
              <w:bottom w:w="90" w:type="dxa"/>
              <w:right w:w="90" w:type="dxa"/>
            </w:tcMar>
          </w:tcPr>
          <w:p>
            <w:pPr>
              <w:spacing w:after="0"/>
            </w:pPr>
            <w:r>
              <w:rPr>
                <w:sz w:val="16"/>
              </w:rPr>
              <w:t>Operations mode</w:t>
            </w:r>
          </w:p>
        </w:tc>
        <w:tc>
          <w:tcPr>
            <w:tcW w:type="dxa" w:w="4680"/>
            <w:vAlign w:val="center"/>
            <w:tcMar>
              <w:top w:w="90" w:type="dxa"/>
              <w:left w:w="90" w:type="dxa"/>
              <w:bottom w:w="90" w:type="dxa"/>
              <w:right w:w="90" w:type="dxa"/>
            </w:tcMar>
          </w:tcPr>
          <w:p>
            <w:pPr>
              <w:spacing w:after="0"/>
            </w:pPr>
            <w:r>
              <w:rPr>
                <w:sz w:val="16"/>
              </w:rPr>
              <w:t>Only when power, thermal and link margins permit</w:t>
            </w:r>
          </w:p>
        </w:tc>
      </w:tr>
      <w:tr>
        <w:tc>
          <w:tcPr>
            <w:tcW w:type="dxa" w:w="4680"/>
            <w:vAlign w:val="center"/>
            <w:shd w:fill="F6F8FA"/>
            <w:tcMar>
              <w:top w:w="90" w:type="dxa"/>
              <w:left w:w="90" w:type="dxa"/>
              <w:bottom w:w="90" w:type="dxa"/>
              <w:right w:w="90" w:type="dxa"/>
            </w:tcMar>
          </w:tcPr>
          <w:p>
            <w:pPr>
              <w:spacing w:after="0"/>
            </w:pPr>
            <w:r>
              <w:rPr>
                <w:sz w:val="16"/>
              </w:rPr>
              <w:t>Fault response</w:t>
            </w:r>
          </w:p>
        </w:tc>
        <w:tc>
          <w:tcPr>
            <w:tcW w:type="dxa" w:w="4680"/>
            <w:vAlign w:val="center"/>
            <w:shd w:fill="F6F8FA"/>
            <w:tcMar>
              <w:top w:w="90" w:type="dxa"/>
              <w:left w:w="90" w:type="dxa"/>
              <w:bottom w:w="90" w:type="dxa"/>
              <w:right w:w="90" w:type="dxa"/>
            </w:tcMar>
          </w:tcPr>
          <w:p>
            <w:pPr>
              <w:spacing w:after="0"/>
            </w:pPr>
            <w:r>
              <w:rPr>
                <w:sz w:val="16"/>
              </w:rPr>
              <w:t>Isolate and report without affecting safe-mode command</w:t>
            </w:r>
          </w:p>
        </w:tc>
      </w:tr>
    </w:tbl>
    <w:p>
      <w:pPr>
        <w:pStyle w:val="Heading3"/>
      </w:pPr>
      <w:r>
        <w:t>Visible narrowband auroral imager</w:t>
      </w:r>
    </w:p>
    <w:p>
      <w:pPr/>
      <w:r>
        <w:t>12 kg / 65 W; 557.7 nm line with ≤2 nm passband; ≤10 km mapped sampling in darkness; 5 s exposure target.</w:t>
      </w:r>
    </w:p>
    <w:p>
      <w:pPr/>
      <w:r>
        <w:t>This measurement or process provides an independent check on the primary result. The ground model shall retain geometric, thermal and instrumental uncertainty, including changes caused by the spacecraft or host.</w:t>
      </w:r>
    </w:p>
    <w:p>
      <w:pPr/>
      <w:r>
        <w:t>For Orastra Auroral Dynamics Observatory, complementarity is intentional: one channel measures a different physical quantity or provides a contextual state. Processing shall preserve the raw evidence, identify retrieval assumptions and reject inconsistent cross-calibration before product release.</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Function</w:t>
            </w:r>
          </w:p>
        </w:tc>
        <w:tc>
          <w:tcPr>
            <w:tcW w:type="dxa" w:w="4680"/>
            <w:vAlign w:val="center"/>
            <w:tcMar>
              <w:top w:w="90" w:type="dxa"/>
              <w:left w:w="90" w:type="dxa"/>
              <w:bottom w:w="90" w:type="dxa"/>
              <w:right w:w="90" w:type="dxa"/>
            </w:tcMar>
          </w:tcPr>
          <w:p>
            <w:pPr>
              <w:spacing w:after="0"/>
            </w:pPr>
            <w:r>
              <w:rPr>
                <w:sz w:val="16"/>
              </w:rPr>
              <w:t>Visible narrowband auroral imager</w:t>
            </w:r>
          </w:p>
        </w:tc>
      </w:tr>
      <w:tr>
        <w:tc>
          <w:tcPr>
            <w:tcW w:type="dxa" w:w="4680"/>
            <w:vAlign w:val="center"/>
            <w:shd w:fill="F6F8FA"/>
            <w:tcMar>
              <w:top w:w="90" w:type="dxa"/>
              <w:left w:w="90" w:type="dxa"/>
              <w:bottom w:w="90" w:type="dxa"/>
              <w:right w:w="90" w:type="dxa"/>
            </w:tcMar>
          </w:tcPr>
          <w:p>
            <w:pPr>
              <w:spacing w:after="0"/>
            </w:pPr>
            <w:r>
              <w:rPr>
                <w:sz w:val="16"/>
              </w:rPr>
              <w:t>Performance</w:t>
            </w:r>
          </w:p>
        </w:tc>
        <w:tc>
          <w:tcPr>
            <w:tcW w:type="dxa" w:w="4680"/>
            <w:vAlign w:val="center"/>
            <w:shd w:fill="F6F8FA"/>
            <w:tcMar>
              <w:top w:w="90" w:type="dxa"/>
              <w:left w:w="90" w:type="dxa"/>
              <w:bottom w:w="90" w:type="dxa"/>
              <w:right w:w="90" w:type="dxa"/>
            </w:tcMar>
          </w:tcPr>
          <w:p>
            <w:pPr>
              <w:spacing w:after="0"/>
            </w:pPr>
            <w:r>
              <w:rPr>
                <w:sz w:val="16"/>
              </w:rPr>
              <w:t>12 kg / 65 W; 557.7 nm line with ≤2 nm passband; ≤10 km mapped sampling in darkness; 5 s exposure target.</w:t>
            </w:r>
          </w:p>
        </w:tc>
      </w:tr>
      <w:tr>
        <w:tc>
          <w:tcPr>
            <w:tcW w:type="dxa" w:w="4680"/>
            <w:vAlign w:val="center"/>
            <w:tcMar>
              <w:top w:w="90" w:type="dxa"/>
              <w:left w:w="90" w:type="dxa"/>
              <w:bottom w:w="90" w:type="dxa"/>
              <w:right w:w="90" w:type="dxa"/>
            </w:tcMar>
          </w:tcPr>
          <w:p>
            <w:pPr>
              <w:spacing w:after="0"/>
            </w:pPr>
            <w:r>
              <w:rPr>
                <w:sz w:val="16"/>
              </w:rPr>
              <w:t>Mass</w:t>
            </w:r>
          </w:p>
        </w:tc>
        <w:tc>
          <w:tcPr>
            <w:tcW w:type="dxa" w:w="4680"/>
            <w:vAlign w:val="center"/>
            <w:tcMar>
              <w:top w:w="90" w:type="dxa"/>
              <w:left w:w="90" w:type="dxa"/>
              <w:bottom w:w="90" w:type="dxa"/>
              <w:right w:w="90" w:type="dxa"/>
            </w:tcMar>
          </w:tcPr>
          <w:p>
            <w:pPr>
              <w:spacing w:after="0"/>
            </w:pPr>
            <w:r>
              <w:rPr>
                <w:sz w:val="16"/>
              </w:rPr>
              <w:t>Included in payload/experiment allocation</w:t>
            </w:r>
          </w:p>
        </w:tc>
      </w:tr>
      <w:tr>
        <w:tc>
          <w:tcPr>
            <w:tcW w:type="dxa" w:w="4680"/>
            <w:vAlign w:val="center"/>
            <w:shd w:fill="F6F8FA"/>
            <w:tcMar>
              <w:top w:w="90" w:type="dxa"/>
              <w:left w:w="90" w:type="dxa"/>
              <w:bottom w:w="90" w:type="dxa"/>
              <w:right w:w="90" w:type="dxa"/>
            </w:tcMar>
          </w:tcPr>
          <w:p>
            <w:pPr>
              <w:spacing w:after="0"/>
            </w:pPr>
            <w:r>
              <w:rPr>
                <w:sz w:val="16"/>
              </w:rPr>
              <w:t>Power</w:t>
            </w:r>
          </w:p>
        </w:tc>
        <w:tc>
          <w:tcPr>
            <w:tcW w:type="dxa" w:w="4680"/>
            <w:vAlign w:val="center"/>
            <w:shd w:fill="F6F8FA"/>
            <w:tcMar>
              <w:top w:w="90" w:type="dxa"/>
              <w:left w:w="90" w:type="dxa"/>
              <w:bottom w:w="90" w:type="dxa"/>
              <w:right w:w="90" w:type="dxa"/>
            </w:tcMar>
          </w:tcPr>
          <w:p>
            <w:pPr>
              <w:spacing w:after="0"/>
            </w:pPr>
            <w:r>
              <w:rPr>
                <w:sz w:val="16"/>
              </w:rPr>
              <w:t>Mode specific; close against peak load</w:t>
            </w:r>
          </w:p>
        </w:tc>
      </w:tr>
      <w:tr>
        <w:tc>
          <w:tcPr>
            <w:tcW w:type="dxa" w:w="4680"/>
            <w:vAlign w:val="center"/>
            <w:tcMar>
              <w:top w:w="90" w:type="dxa"/>
              <w:left w:w="90" w:type="dxa"/>
              <w:bottom w:w="90" w:type="dxa"/>
              <w:right w:w="90" w:type="dxa"/>
            </w:tcMar>
          </w:tcPr>
          <w:p>
            <w:pPr>
              <w:spacing w:after="0"/>
            </w:pPr>
            <w:r>
              <w:rPr>
                <w:sz w:val="16"/>
              </w:rPr>
              <w:t>Field / process geometry</w:t>
            </w:r>
          </w:p>
        </w:tc>
        <w:tc>
          <w:tcPr>
            <w:tcW w:type="dxa" w:w="4680"/>
            <w:vAlign w:val="center"/>
            <w:tcMar>
              <w:top w:w="90" w:type="dxa"/>
              <w:left w:w="90" w:type="dxa"/>
              <w:bottom w:w="90" w:type="dxa"/>
              <w:right w:w="90" w:type="dxa"/>
            </w:tcMar>
          </w:tcPr>
          <w:p>
            <w:pPr>
              <w:spacing w:after="0"/>
            </w:pPr>
            <w:r>
              <w:rPr>
                <w:sz w:val="16"/>
              </w:rPr>
              <w:t>Two spacecraft in a 760 ±20 km near-circular orbit at 90° ±2° inclination; relative phase 180° ±10°.</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Synchronized to system command clock</w:t>
            </w:r>
          </w:p>
        </w:tc>
      </w:tr>
      <w:tr>
        <w:tc>
          <w:tcPr>
            <w:tcW w:type="dxa" w:w="4680"/>
            <w:vAlign w:val="center"/>
            <w:tcMar>
              <w:top w:w="90" w:type="dxa"/>
              <w:left w:w="90" w:type="dxa"/>
              <w:bottom w:w="90" w:type="dxa"/>
              <w:right w:w="90" w:type="dxa"/>
            </w:tcMar>
          </w:tcPr>
          <w:p>
            <w:pPr>
              <w:spacing w:after="0"/>
            </w:pPr>
            <w:r>
              <w:rPr>
                <w:sz w:val="16"/>
              </w:rPr>
              <w:t>Calibration</w:t>
            </w:r>
          </w:p>
        </w:tc>
        <w:tc>
          <w:tcPr>
            <w:tcW w:type="dxa" w:w="4680"/>
            <w:vAlign w:val="center"/>
            <w:tcMar>
              <w:top w:w="90" w:type="dxa"/>
              <w:left w:w="90" w:type="dxa"/>
              <w:bottom w:w="90" w:type="dxa"/>
              <w:right w:w="90" w:type="dxa"/>
            </w:tcMar>
          </w:tcPr>
          <w:p>
            <w:pPr>
              <w:spacing w:after="0"/>
            </w:pPr>
            <w:r>
              <w:rPr>
                <w:sz w:val="16"/>
              </w:rPr>
              <w:t>At acceptance and by scheduled in-operation reference</w:t>
            </w:r>
          </w:p>
        </w:tc>
      </w:tr>
      <w:tr>
        <w:tc>
          <w:tcPr>
            <w:tcW w:type="dxa" w:w="4680"/>
            <w:vAlign w:val="center"/>
            <w:shd w:fill="F6F8FA"/>
            <w:tcMar>
              <w:top w:w="90" w:type="dxa"/>
              <w:left w:w="90" w:type="dxa"/>
              <w:bottom w:w="90" w:type="dxa"/>
              <w:right w:w="90" w:type="dxa"/>
            </w:tcMar>
          </w:tcPr>
          <w:p>
            <w:pPr>
              <w:spacing w:after="0"/>
            </w:pPr>
            <w:r>
              <w:rPr>
                <w:sz w:val="16"/>
              </w:rPr>
              <w:t>Data volume</w:t>
            </w:r>
          </w:p>
        </w:tc>
        <w:tc>
          <w:tcPr>
            <w:tcW w:type="dxa" w:w="4680"/>
            <w:vAlign w:val="center"/>
            <w:shd w:fill="F6F8FA"/>
            <w:tcMar>
              <w:top w:w="90" w:type="dxa"/>
              <w:left w:w="90" w:type="dxa"/>
              <w:bottom w:w="90" w:type="dxa"/>
              <w:right w:w="90" w:type="dxa"/>
            </w:tcMar>
          </w:tcPr>
          <w:p>
            <w:pPr>
              <w:spacing w:after="0"/>
            </w:pPr>
            <w:r>
              <w:rPr>
                <w:sz w:val="16"/>
              </w:rPr>
              <w:t>6 GB/day per spacecraft after onboard screening</w:t>
            </w:r>
          </w:p>
        </w:tc>
      </w:tr>
      <w:tr>
        <w:tc>
          <w:tcPr>
            <w:tcW w:type="dxa" w:w="4680"/>
            <w:vAlign w:val="center"/>
            <w:tcMar>
              <w:top w:w="90" w:type="dxa"/>
              <w:left w:w="90" w:type="dxa"/>
              <w:bottom w:w="90" w:type="dxa"/>
              <w:right w:w="90" w:type="dxa"/>
            </w:tcMar>
          </w:tcPr>
          <w:p>
            <w:pPr>
              <w:spacing w:after="0"/>
            </w:pPr>
            <w:r>
              <w:rPr>
                <w:sz w:val="16"/>
              </w:rPr>
              <w:t>Quality masks</w:t>
            </w:r>
          </w:p>
        </w:tc>
        <w:tc>
          <w:tcPr>
            <w:tcW w:type="dxa" w:w="4680"/>
            <w:vAlign w:val="center"/>
            <w:tcMar>
              <w:top w:w="90" w:type="dxa"/>
              <w:left w:w="90" w:type="dxa"/>
              <w:bottom w:w="90" w:type="dxa"/>
              <w:right w:w="90" w:type="dxa"/>
            </w:tcMar>
          </w:tcPr>
          <w:p>
            <w:pPr>
              <w:spacing w:after="0"/>
            </w:pPr>
            <w:r>
              <w:rPr>
                <w:sz w:val="16"/>
              </w:rPr>
              <w:t>Record saturation, missing packets and calibration excursions</w:t>
            </w:r>
          </w:p>
        </w:tc>
      </w:tr>
      <w:tr>
        <w:tc>
          <w:tcPr>
            <w:tcW w:type="dxa" w:w="4680"/>
            <w:vAlign w:val="center"/>
            <w:shd w:fill="F6F8FA"/>
            <w:tcMar>
              <w:top w:w="90" w:type="dxa"/>
              <w:left w:w="90" w:type="dxa"/>
              <w:bottom w:w="90" w:type="dxa"/>
              <w:right w:w="90" w:type="dxa"/>
            </w:tcMar>
          </w:tcPr>
          <w:p>
            <w:pPr>
              <w:spacing w:after="0"/>
            </w:pPr>
            <w:r>
              <w:rPr>
                <w:sz w:val="16"/>
              </w:rPr>
              <w:t>Qualification</w:t>
            </w:r>
          </w:p>
        </w:tc>
        <w:tc>
          <w:tcPr>
            <w:tcW w:type="dxa" w:w="4680"/>
            <w:vAlign w:val="center"/>
            <w:shd w:fill="F6F8FA"/>
            <w:tcMar>
              <w:top w:w="90" w:type="dxa"/>
              <w:left w:w="90" w:type="dxa"/>
              <w:bottom w:w="90" w:type="dxa"/>
              <w:right w:w="90" w:type="dxa"/>
            </w:tcMar>
          </w:tcPr>
          <w:p>
            <w:pPr>
              <w:spacing w:after="0"/>
            </w:pPr>
            <w:r>
              <w:rPr>
                <w:sz w:val="16"/>
              </w:rPr>
              <w:t>Relevant launch, host and operational environment</w:t>
            </w:r>
          </w:p>
        </w:tc>
      </w:tr>
    </w:tbl>
    <w:p>
      <w:pPr>
        <w:pStyle w:val="Heading3"/>
      </w:pPr>
      <w:r>
        <w:t>Payload Electronics</w:t>
      </w:r>
    </w:p>
    <w:p>
      <w:pPr/>
      <w:r>
        <w:t>The payload electronics supervise instrument power, timing, detector readout, process controls, data formatting and safe-mode interlocks. Interfaces are controlled by released drawings and telemetry dictionaries. Each unit supports configuration rollback after a failed upload.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Instrument / process control and time-tagging</w:t>
            </w:r>
          </w:p>
        </w:tc>
      </w:tr>
      <w:tr>
        <w:tc>
          <w:tcPr>
            <w:tcW w:type="dxa" w:w="4680"/>
            <w:vAlign w:val="center"/>
            <w:shd w:fill="F6F8FA"/>
            <w:tcMar>
              <w:top w:w="90" w:type="dxa"/>
              <w:left w:w="90" w:type="dxa"/>
              <w:bottom w:w="90" w:type="dxa"/>
              <w:right w:w="90" w:type="dxa"/>
            </w:tcMar>
          </w:tcPr>
          <w:p>
            <w:pPr>
              <w:spacing w:after="0"/>
            </w:pPr>
            <w:r>
              <w:rPr>
                <w:sz w:val="16"/>
              </w:rPr>
              <w:t>Sensor interfaces</w:t>
            </w:r>
          </w:p>
        </w:tc>
        <w:tc>
          <w:tcPr>
            <w:tcW w:type="dxa" w:w="4680"/>
            <w:vAlign w:val="center"/>
            <w:shd w:fill="F6F8FA"/>
            <w:tcMar>
              <w:top w:w="90" w:type="dxa"/>
              <w:left w:w="90" w:type="dxa"/>
              <w:bottom w:w="90" w:type="dxa"/>
              <w:right w:w="90" w:type="dxa"/>
            </w:tcMar>
          </w:tcPr>
          <w:p>
            <w:pPr>
              <w:spacing w:after="0"/>
            </w:pPr>
            <w:r>
              <w:rPr>
                <w:sz w:val="16"/>
              </w:rPr>
              <w:t>Far-ultraviolet auroral imager; Visible narrowband auroral imager; Energetic particle context sensor</w:t>
            </w:r>
          </w:p>
        </w:tc>
      </w:tr>
      <w:tr>
        <w:tc>
          <w:tcPr>
            <w:tcW w:type="dxa" w:w="4680"/>
            <w:vAlign w:val="center"/>
            <w:tcMar>
              <w:top w:w="90" w:type="dxa"/>
              <w:left w:w="90" w:type="dxa"/>
              <w:bottom w:w="90" w:type="dxa"/>
              <w:right w:w="90" w:type="dxa"/>
            </w:tcMar>
          </w:tcPr>
          <w:p>
            <w:pPr>
              <w:spacing w:after="0"/>
            </w:pPr>
            <w:r>
              <w:rPr>
                <w:sz w:val="16"/>
              </w:rPr>
              <w:t>System interface</w:t>
            </w:r>
          </w:p>
        </w:tc>
        <w:tc>
          <w:tcPr>
            <w:tcW w:type="dxa" w:w="4680"/>
            <w:vAlign w:val="center"/>
            <w:tcMar>
              <w:top w:w="90" w:type="dxa"/>
              <w:left w:w="90" w:type="dxa"/>
              <w:bottom w:w="90" w:type="dxa"/>
              <w:right w:w="90" w:type="dxa"/>
            </w:tcMar>
          </w:tcPr>
          <w:p>
            <w:pPr>
              <w:spacing w:after="0"/>
            </w:pPr>
            <w:r>
              <w:rPr>
                <w:sz w:val="16"/>
              </w:rPr>
              <w:t>Protected command and local data bus</w:t>
            </w:r>
          </w:p>
        </w:tc>
      </w:tr>
      <w:tr>
        <w:tc>
          <w:tcPr>
            <w:tcW w:type="dxa" w:w="4680"/>
            <w:vAlign w:val="center"/>
            <w:shd w:fill="F6F8FA"/>
            <w:tcMar>
              <w:top w:w="90" w:type="dxa"/>
              <w:left w:w="90" w:type="dxa"/>
              <w:bottom w:w="90" w:type="dxa"/>
              <w:right w:w="90" w:type="dxa"/>
            </w:tcMar>
          </w:tcPr>
          <w:p>
            <w:pPr>
              <w:spacing w:after="0"/>
            </w:pPr>
            <w:r>
              <w:rPr>
                <w:sz w:val="16"/>
              </w:rPr>
              <w:t>Buffering</w:t>
            </w:r>
          </w:p>
        </w:tc>
        <w:tc>
          <w:tcPr>
            <w:tcW w:type="dxa" w:w="4680"/>
            <w:vAlign w:val="center"/>
            <w:shd w:fill="F6F8FA"/>
            <w:tcMar>
              <w:top w:w="90" w:type="dxa"/>
              <w:left w:w="90" w:type="dxa"/>
              <w:bottom w:w="90" w:type="dxa"/>
              <w:right w:w="90" w:type="dxa"/>
            </w:tcMar>
          </w:tcPr>
          <w:p>
            <w:pPr>
              <w:spacing w:after="0"/>
            </w:pPr>
            <w:r>
              <w:rPr>
                <w:sz w:val="16"/>
              </w:rPr>
              <w:t>256 GB usable system allocation</w:t>
            </w:r>
          </w:p>
        </w:tc>
      </w:tr>
      <w:tr>
        <w:tc>
          <w:tcPr>
            <w:tcW w:type="dxa" w:w="4680"/>
            <w:vAlign w:val="center"/>
            <w:tcMar>
              <w:top w:w="90" w:type="dxa"/>
              <w:left w:w="90" w:type="dxa"/>
              <w:bottom w:w="90" w:type="dxa"/>
              <w:right w:w="90" w:type="dxa"/>
            </w:tcMar>
          </w:tcPr>
          <w:p>
            <w:pPr>
              <w:spacing w:after="0"/>
            </w:pPr>
            <w:r>
              <w:rPr>
                <w:sz w:val="16"/>
              </w:rPr>
              <w:t>Processing</w:t>
            </w:r>
          </w:p>
        </w:tc>
        <w:tc>
          <w:tcPr>
            <w:tcW w:type="dxa" w:w="4680"/>
            <w:vAlign w:val="center"/>
            <w:tcMar>
              <w:top w:w="90" w:type="dxa"/>
              <w:left w:w="90" w:type="dxa"/>
              <w:bottom w:w="90" w:type="dxa"/>
              <w:right w:w="90" w:type="dxa"/>
            </w:tcMar>
          </w:tcPr>
          <w:p>
            <w:pPr>
              <w:spacing w:after="0"/>
            </w:pPr>
            <w:r>
              <w:rPr>
                <w:sz w:val="16"/>
              </w:rPr>
              <w:t>Lossless event flags and reversible screening where practical</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Absolute reference and monotonically numbered records</w:t>
            </w:r>
          </w:p>
        </w:tc>
      </w:tr>
      <w:tr>
        <w:tc>
          <w:tcPr>
            <w:tcW w:type="dxa" w:w="4680"/>
            <w:vAlign w:val="center"/>
            <w:tcMar>
              <w:top w:w="90" w:type="dxa"/>
              <w:left w:w="90" w:type="dxa"/>
              <w:bottom w:w="90" w:type="dxa"/>
              <w:right w:w="90" w:type="dxa"/>
            </w:tcMar>
          </w:tcPr>
          <w:p>
            <w:pPr>
              <w:spacing w:after="0"/>
            </w:pPr>
            <w:r>
              <w:rPr>
                <w:sz w:val="16"/>
              </w:rPr>
              <w:t>Health monitoring</w:t>
            </w:r>
          </w:p>
        </w:tc>
        <w:tc>
          <w:tcPr>
            <w:tcW w:type="dxa" w:w="4680"/>
            <w:vAlign w:val="center"/>
            <w:tcMar>
              <w:top w:w="90" w:type="dxa"/>
              <w:left w:w="90" w:type="dxa"/>
              <w:bottom w:w="90" w:type="dxa"/>
              <w:right w:w="90" w:type="dxa"/>
            </w:tcMar>
          </w:tcPr>
          <w:p>
            <w:pPr>
              <w:spacing w:after="0"/>
            </w:pPr>
            <w:r>
              <w:rPr>
                <w:sz w:val="16"/>
              </w:rPr>
              <w:t>Voltage, temperature, current, reset count and status</w:t>
            </w:r>
          </w:p>
        </w:tc>
      </w:tr>
      <w:tr>
        <w:tc>
          <w:tcPr>
            <w:tcW w:type="dxa" w:w="4680"/>
            <w:vAlign w:val="center"/>
            <w:shd w:fill="F6F8FA"/>
            <w:tcMar>
              <w:top w:w="90" w:type="dxa"/>
              <w:left w:w="90" w:type="dxa"/>
              <w:bottom w:w="90" w:type="dxa"/>
              <w:right w:w="90" w:type="dxa"/>
            </w:tcMar>
          </w:tcPr>
          <w:p>
            <w:pPr>
              <w:spacing w:after="0"/>
            </w:pPr>
            <w:r>
              <w:rPr>
                <w:sz w:val="16"/>
              </w:rPr>
              <w:t>Mass</w:t>
            </w:r>
          </w:p>
        </w:tc>
        <w:tc>
          <w:tcPr>
            <w:tcW w:type="dxa" w:w="4680"/>
            <w:vAlign w:val="center"/>
            <w:shd w:fill="F6F8FA"/>
            <w:tcMar>
              <w:top w:w="90" w:type="dxa"/>
              <w:left w:w="90" w:type="dxa"/>
              <w:bottom w:w="90" w:type="dxa"/>
              <w:right w:w="90" w:type="dxa"/>
            </w:tcMar>
          </w:tcPr>
          <w:p>
            <w:pPr>
              <w:spacing w:after="0"/>
            </w:pPr>
            <w:r>
              <w:rPr>
                <w:sz w:val="16"/>
              </w:rPr>
              <w:t>Within 40 kg allocation</w:t>
            </w:r>
          </w:p>
        </w:tc>
      </w:tr>
      <w:tr>
        <w:tc>
          <w:tcPr>
            <w:tcW w:type="dxa" w:w="4680"/>
            <w:vAlign w:val="center"/>
            <w:tcMar>
              <w:top w:w="90" w:type="dxa"/>
              <w:left w:w="90" w:type="dxa"/>
              <w:bottom w:w="90" w:type="dxa"/>
              <w:right w:w="90" w:type="dxa"/>
            </w:tcMar>
          </w:tcPr>
          <w:p>
            <w:pPr>
              <w:spacing w:after="0"/>
            </w:pPr>
            <w:r>
              <w:rPr>
                <w:sz w:val="16"/>
              </w:rPr>
              <w:t>Peak electrical power</w:t>
            </w:r>
          </w:p>
        </w:tc>
        <w:tc>
          <w:tcPr>
            <w:tcW w:type="dxa" w:w="4680"/>
            <w:vAlign w:val="center"/>
            <w:tcMar>
              <w:top w:w="90" w:type="dxa"/>
              <w:left w:w="90" w:type="dxa"/>
              <w:bottom w:w="90" w:type="dxa"/>
              <w:right w:w="90" w:type="dxa"/>
            </w:tcMar>
          </w:tcPr>
          <w:p>
            <w:pPr>
              <w:spacing w:after="0"/>
            </w:pPr>
            <w:r>
              <w:rPr>
                <w:sz w:val="16"/>
              </w:rPr>
              <w:t>Included in 600 W integrated peak</w:t>
            </w:r>
          </w:p>
        </w:tc>
      </w:tr>
      <w:tr>
        <w:tc>
          <w:tcPr>
            <w:tcW w:type="dxa" w:w="4680"/>
            <w:vAlign w:val="center"/>
            <w:shd w:fill="F6F8FA"/>
            <w:tcMar>
              <w:top w:w="90" w:type="dxa"/>
              <w:left w:w="90" w:type="dxa"/>
              <w:bottom w:w="90" w:type="dxa"/>
              <w:right w:w="90" w:type="dxa"/>
            </w:tcMar>
          </w:tcPr>
          <w:p>
            <w:pPr>
              <w:spacing w:after="0"/>
            </w:pPr>
            <w:r>
              <w:rPr>
                <w:sz w:val="16"/>
              </w:rPr>
              <w:t>Radiation / environment</w:t>
            </w:r>
          </w:p>
        </w:tc>
        <w:tc>
          <w:tcPr>
            <w:tcW w:type="dxa" w:w="4680"/>
            <w:vAlign w:val="center"/>
            <w:shd w:fill="F6F8FA"/>
            <w:tcMar>
              <w:top w:w="90" w:type="dxa"/>
              <w:left w:w="90" w:type="dxa"/>
              <w:bottom w:w="90" w:type="dxa"/>
              <w:right w:w="90" w:type="dxa"/>
            </w:tcMar>
          </w:tcPr>
          <w:p>
            <w:pPr>
              <w:spacing w:after="0"/>
            </w:pPr>
            <w:r>
              <w:rPr>
                <w:sz w:val="16"/>
              </w:rPr>
              <w:t xml:space="preserve">Qualified for Two spacecraft in a 760 ±20 km near-circular orbit at 90° ±2° inclination; </w:t>
            </w:r>
          </w:p>
        </w:tc>
      </w:tr>
    </w:tbl>
    <w:p>
      <w:pPr>
        <w:pStyle w:val="Heading3"/>
      </w:pPr>
      <w:r>
        <w:t>Onboard Calibration</w:t>
      </w:r>
    </w:p>
    <w:p>
      <w:pPr/>
      <w:r>
        <w:t>Calibration is designed around traceable reference states rather than a generic check flag. A pre-deployment baseline, scheduled in-operation reference and post-anomaly verification distinguish genuine environment or biological changes from instrument drift.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Calibration type</w:t>
            </w:r>
          </w:p>
        </w:tc>
        <w:tc>
          <w:tcPr>
            <w:tcW w:type="dxa" w:w="4680"/>
            <w:vAlign w:val="center"/>
            <w:tcMar>
              <w:top w:w="90" w:type="dxa"/>
              <w:left w:w="90" w:type="dxa"/>
              <w:bottom w:w="90" w:type="dxa"/>
              <w:right w:w="90" w:type="dxa"/>
            </w:tcMar>
          </w:tcPr>
          <w:p>
            <w:pPr>
              <w:spacing w:after="0"/>
            </w:pPr>
            <w:r>
              <w:rPr>
                <w:sz w:val="16"/>
              </w:rPr>
              <w:t>Radiometric, geometric, biological, material or electrical as applicable</w:t>
            </w:r>
          </w:p>
        </w:tc>
      </w:tr>
      <w:tr>
        <w:tc>
          <w:tcPr>
            <w:tcW w:type="dxa" w:w="4680"/>
            <w:vAlign w:val="center"/>
            <w:shd w:fill="F6F8FA"/>
            <w:tcMar>
              <w:top w:w="90" w:type="dxa"/>
              <w:left w:w="90" w:type="dxa"/>
              <w:bottom w:w="90" w:type="dxa"/>
              <w:right w:w="90" w:type="dxa"/>
            </w:tcMar>
          </w:tcPr>
          <w:p>
            <w:pPr>
              <w:spacing w:after="0"/>
            </w:pPr>
            <w:r>
              <w:rPr>
                <w:sz w:val="16"/>
              </w:rPr>
              <w:t>Primary reference</w:t>
            </w:r>
          </w:p>
        </w:tc>
        <w:tc>
          <w:tcPr>
            <w:tcW w:type="dxa" w:w="4680"/>
            <w:vAlign w:val="center"/>
            <w:shd w:fill="F6F8FA"/>
            <w:tcMar>
              <w:top w:w="90" w:type="dxa"/>
              <w:left w:w="90" w:type="dxa"/>
              <w:bottom w:w="90" w:type="dxa"/>
              <w:right w:w="90" w:type="dxa"/>
            </w:tcMar>
          </w:tcPr>
          <w:p>
            <w:pPr>
              <w:spacing w:after="0"/>
            </w:pPr>
            <w:r>
              <w:rPr>
                <w:sz w:val="16"/>
              </w:rPr>
              <w:t>Energetic particle context sensor</w:t>
            </w:r>
          </w:p>
        </w:tc>
      </w:tr>
      <w:tr>
        <w:tc>
          <w:tcPr>
            <w:tcW w:type="dxa" w:w="4680"/>
            <w:vAlign w:val="center"/>
            <w:tcMar>
              <w:top w:w="90" w:type="dxa"/>
              <w:left w:w="90" w:type="dxa"/>
              <w:bottom w:w="90" w:type="dxa"/>
              <w:right w:w="90" w:type="dxa"/>
            </w:tcMar>
          </w:tcPr>
          <w:p>
            <w:pPr>
              <w:spacing w:after="0"/>
            </w:pPr>
            <w:r>
              <w:rPr>
                <w:sz w:val="16"/>
              </w:rPr>
              <w:t>Frequency</w:t>
            </w:r>
          </w:p>
        </w:tc>
        <w:tc>
          <w:tcPr>
            <w:tcW w:type="dxa" w:w="4680"/>
            <w:vAlign w:val="center"/>
            <w:tcMar>
              <w:top w:w="90" w:type="dxa"/>
              <w:left w:w="90" w:type="dxa"/>
              <w:bottom w:w="90" w:type="dxa"/>
              <w:right w:w="90" w:type="dxa"/>
            </w:tcMar>
          </w:tcPr>
          <w:p>
            <w:pPr>
              <w:spacing w:after="0"/>
            </w:pPr>
            <w:r>
              <w:rPr>
                <w:sz w:val="16"/>
              </w:rPr>
              <w:t>At commissioning, after anomaly and on a scheduled monthly cadence</w:t>
            </w:r>
          </w:p>
        </w:tc>
      </w:tr>
      <w:tr>
        <w:tc>
          <w:tcPr>
            <w:tcW w:type="dxa" w:w="4680"/>
            <w:vAlign w:val="center"/>
            <w:shd w:fill="F6F8FA"/>
            <w:tcMar>
              <w:top w:w="90" w:type="dxa"/>
              <w:left w:w="90" w:type="dxa"/>
              <w:bottom w:w="90" w:type="dxa"/>
              <w:right w:w="90" w:type="dxa"/>
            </w:tcMar>
          </w:tcPr>
          <w:p>
            <w:pPr>
              <w:spacing w:after="0"/>
            </w:pPr>
            <w:r>
              <w:rPr>
                <w:sz w:val="16"/>
              </w:rPr>
              <w:t>Environmental dependency</w:t>
            </w:r>
          </w:p>
        </w:tc>
        <w:tc>
          <w:tcPr>
            <w:tcW w:type="dxa" w:w="4680"/>
            <w:vAlign w:val="center"/>
            <w:shd w:fill="F6F8FA"/>
            <w:tcMar>
              <w:top w:w="90" w:type="dxa"/>
              <w:left w:w="90" w:type="dxa"/>
              <w:bottom w:w="90" w:type="dxa"/>
              <w:right w:w="90" w:type="dxa"/>
            </w:tcMar>
          </w:tcPr>
          <w:p>
            <w:pPr>
              <w:spacing w:after="0"/>
            </w:pPr>
            <w:r>
              <w:rPr>
                <w:sz w:val="16"/>
              </w:rPr>
              <w:t>760 km eclipse season and auroral instrument duty-cycle cases; payload optical bench 5–25 °C and UV detector −10–10 °C.</w:t>
            </w:r>
          </w:p>
        </w:tc>
      </w:tr>
      <w:tr>
        <w:tc>
          <w:tcPr>
            <w:tcW w:type="dxa" w:w="4680"/>
            <w:vAlign w:val="center"/>
            <w:tcMar>
              <w:top w:w="90" w:type="dxa"/>
              <w:left w:w="90" w:type="dxa"/>
              <w:bottom w:w="90" w:type="dxa"/>
              <w:right w:w="90" w:type="dxa"/>
            </w:tcMar>
          </w:tcPr>
          <w:p>
            <w:pPr>
              <w:spacing w:after="0"/>
            </w:pPr>
            <w:r>
              <w:rPr>
                <w:sz w:val="16"/>
              </w:rPr>
              <w:t>Long-term drift</w:t>
            </w:r>
          </w:p>
        </w:tc>
        <w:tc>
          <w:tcPr>
            <w:tcW w:type="dxa" w:w="4680"/>
            <w:vAlign w:val="center"/>
            <w:tcMar>
              <w:top w:w="90" w:type="dxa"/>
              <w:left w:w="90" w:type="dxa"/>
              <w:bottom w:w="90" w:type="dxa"/>
              <w:right w:w="90" w:type="dxa"/>
            </w:tcMar>
          </w:tcPr>
          <w:p>
            <w:pPr>
              <w:spacing w:after="0"/>
            </w:pPr>
            <w:r>
              <w:rPr>
                <w:sz w:val="16"/>
              </w:rPr>
              <w:t>Trend against accepted reference and flag &gt;2% unexplained change</w:t>
            </w:r>
          </w:p>
        </w:tc>
      </w:tr>
      <w:tr>
        <w:tc>
          <w:tcPr>
            <w:tcW w:type="dxa" w:w="4680"/>
            <w:vAlign w:val="center"/>
            <w:shd w:fill="F6F8FA"/>
            <w:tcMar>
              <w:top w:w="90" w:type="dxa"/>
              <w:left w:w="90" w:type="dxa"/>
              <w:bottom w:w="90" w:type="dxa"/>
              <w:right w:w="90" w:type="dxa"/>
            </w:tcMar>
          </w:tcPr>
          <w:p>
            <w:pPr>
              <w:spacing w:after="0"/>
            </w:pPr>
            <w:r>
              <w:rPr>
                <w:sz w:val="16"/>
              </w:rPr>
              <w:t>Data linkage</w:t>
            </w:r>
          </w:p>
        </w:tc>
        <w:tc>
          <w:tcPr>
            <w:tcW w:type="dxa" w:w="4680"/>
            <w:vAlign w:val="center"/>
            <w:shd w:fill="F6F8FA"/>
            <w:tcMar>
              <w:top w:w="90" w:type="dxa"/>
              <w:left w:w="90" w:type="dxa"/>
              <w:bottom w:w="90" w:type="dxa"/>
              <w:right w:w="90" w:type="dxa"/>
            </w:tcMar>
          </w:tcPr>
          <w:p>
            <w:pPr>
              <w:spacing w:after="0"/>
            </w:pPr>
            <w:r>
              <w:rPr>
                <w:sz w:val="16"/>
              </w:rPr>
              <w:t>100% released products identify applicable calibration version</w:t>
            </w:r>
          </w:p>
        </w:tc>
      </w:tr>
      <w:tr>
        <w:tc>
          <w:tcPr>
            <w:tcW w:type="dxa" w:w="4680"/>
            <w:vAlign w:val="center"/>
            <w:tcMar>
              <w:top w:w="90" w:type="dxa"/>
              <w:left w:w="90" w:type="dxa"/>
              <w:bottom w:w="90" w:type="dxa"/>
              <w:right w:w="90" w:type="dxa"/>
            </w:tcMar>
          </w:tcPr>
          <w:p>
            <w:pPr>
              <w:spacing w:after="0"/>
            </w:pPr>
            <w:r>
              <w:rPr>
                <w:sz w:val="16"/>
              </w:rPr>
              <w:t>Independent verification</w:t>
            </w:r>
          </w:p>
        </w:tc>
        <w:tc>
          <w:tcPr>
            <w:tcW w:type="dxa" w:w="4680"/>
            <w:vAlign w:val="center"/>
            <w:tcMar>
              <w:top w:w="90" w:type="dxa"/>
              <w:left w:w="90" w:type="dxa"/>
              <w:bottom w:w="90" w:type="dxa"/>
              <w:right w:w="90" w:type="dxa"/>
            </w:tcMar>
          </w:tcPr>
          <w:p>
            <w:pPr>
              <w:spacing w:after="0"/>
            </w:pPr>
            <w:r>
              <w:rPr>
                <w:sz w:val="16"/>
              </w:rPr>
              <w:t>Recheck with Visible narrowband auroral imager</w:t>
            </w:r>
          </w:p>
        </w:tc>
      </w:tr>
      <w:tr>
        <w:tc>
          <w:tcPr>
            <w:tcW w:type="dxa" w:w="4680"/>
            <w:vAlign w:val="center"/>
            <w:shd w:fill="F6F8FA"/>
            <w:tcMar>
              <w:top w:w="90" w:type="dxa"/>
              <w:left w:w="90" w:type="dxa"/>
              <w:bottom w:w="90" w:type="dxa"/>
              <w:right w:w="90" w:type="dxa"/>
            </w:tcMar>
          </w:tcPr>
          <w:p>
            <w:pPr>
              <w:spacing w:after="0"/>
            </w:pPr>
            <w:r>
              <w:rPr>
                <w:sz w:val="16"/>
              </w:rPr>
              <w:t>Instrument monitoring</w:t>
            </w:r>
          </w:p>
        </w:tc>
        <w:tc>
          <w:tcPr>
            <w:tcW w:type="dxa" w:w="4680"/>
            <w:vAlign w:val="center"/>
            <w:shd w:fill="F6F8FA"/>
            <w:tcMar>
              <w:top w:w="90" w:type="dxa"/>
              <w:left w:w="90" w:type="dxa"/>
              <w:bottom w:w="90" w:type="dxa"/>
              <w:right w:w="90" w:type="dxa"/>
            </w:tcMar>
          </w:tcPr>
          <w:p>
            <w:pPr>
              <w:spacing w:after="0"/>
            </w:pPr>
            <w:r>
              <w:rPr>
                <w:sz w:val="16"/>
              </w:rPr>
              <w:t>On each operating cycle</w:t>
            </w:r>
          </w:p>
        </w:tc>
      </w:tr>
      <w:tr>
        <w:tc>
          <w:tcPr>
            <w:tcW w:type="dxa" w:w="4680"/>
            <w:vAlign w:val="center"/>
            <w:tcMar>
              <w:top w:w="90" w:type="dxa"/>
              <w:left w:w="90" w:type="dxa"/>
              <w:bottom w:w="90" w:type="dxa"/>
              <w:right w:w="90" w:type="dxa"/>
            </w:tcMar>
          </w:tcPr>
          <w:p>
            <w:pPr>
              <w:spacing w:after="0"/>
            </w:pPr>
            <w:r>
              <w:rPr>
                <w:sz w:val="16"/>
              </w:rPr>
              <w:t>Mass / power</w:t>
            </w:r>
          </w:p>
        </w:tc>
        <w:tc>
          <w:tcPr>
            <w:tcW w:type="dxa" w:w="4680"/>
            <w:vAlign w:val="center"/>
            <w:tcMar>
              <w:top w:w="90" w:type="dxa"/>
              <w:left w:w="90" w:type="dxa"/>
              <w:bottom w:w="90" w:type="dxa"/>
              <w:right w:w="90" w:type="dxa"/>
            </w:tcMar>
          </w:tcPr>
          <w:p>
            <w:pPr>
              <w:spacing w:after="0"/>
            </w:pPr>
            <w:r>
              <w:rPr>
                <w:sz w:val="16"/>
              </w:rPr>
              <w:t>Within payload and system allocations</w:t>
            </w:r>
          </w:p>
        </w:tc>
      </w:tr>
    </w:tbl>
    <w:p>
      <w:pPr>
        <w:jc w:val="center"/>
      </w:pPr>
      <w:r>
        <w:drawing>
          <wp:inline xmlns:a="http://schemas.openxmlformats.org/drawingml/2006/main" xmlns:pic="http://schemas.openxmlformats.org/drawingml/2006/picture">
            <wp:extent cx="5852160" cy="1694329"/>
            <wp:docPr id="2" name="Picture 2"/>
            <wp:cNvGraphicFramePr>
              <a:graphicFrameLocks noChangeAspect="1"/>
            </wp:cNvGraphicFramePr>
            <a:graphic>
              <a:graphicData uri="http://schemas.openxmlformats.org/drawingml/2006/picture">
                <pic:pic>
                  <pic:nvPicPr>
                    <pic:cNvPr id="0" name="OADO_payload.png"/>
                    <pic:cNvPicPr/>
                  </pic:nvPicPr>
                  <pic:blipFill>
                    <a:blip r:embed="rId21"/>
                    <a:stretch>
                      <a:fillRect/>
                    </a:stretch>
                  </pic:blipFill>
                  <pic:spPr>
                    <a:xfrm>
                      <a:off x="0" y="0"/>
                      <a:ext cx="5852160" cy="1694329"/>
                    </a:xfrm>
                    <a:prstGeom prst="rect"/>
                  </pic:spPr>
                </pic:pic>
              </a:graphicData>
            </a:graphic>
          </wp:inline>
        </w:drawing>
      </w:r>
    </w:p>
    <w:p>
      <w:pPr>
        <w:pStyle w:val="Caption"/>
      </w:pPr>
      <w:r>
        <w:t>Figure 2 – Payload measurement and data path. Components and output interfaces are explicitly labeled.</w:t>
      </w:r>
    </w:p>
    <w:p>
      <w:pPr>
        <w:pStyle w:val="Heading1"/>
      </w:pPr>
      <w:r>
        <w:t>Launch Segment Description</w:t>
      </w:r>
    </w:p>
    <w:p>
      <w:pPr/>
      <w:r>
        <w:t>Two × 260 kg flight units + 100 kg dispenser/adaptor = 620 kg to reference 760 km orbit; service capacity ≥750 kg</w:t>
      </w:r>
    </w:p>
    <w:p>
      <w:pPr/>
      <w:r>
        <w:t>Delivery pricing shall separately identify vehicle or carrier service, packaging and adaptor, loading and contamination controls, integration testing, range or landing support, insurance if applicable and post-delivery transition. Any mass carried by a host rather than the flight unit is shown as a separate line and is not double counted.</w:t>
      </w:r>
    </w:p>
    <w:p>
      <w:pPr/>
      <w:r>
        <w:t>The final delivery contractor verifies mechanical fit, safety, compatibility, deployment, insertion or landing dispersions and acceptance criteria. The mission team performs final health checks before the affected unit is declared operational.</w:t>
      </w:r>
    </w:p>
    <w:p>
      <w:pPr/>
      <w:r>
        <w:t>Delivery preparation includes controlled packing, shipment and receiving inspection, integrated electrical checkout, safety review, interface sign-off and a final readiness decision. The handover record separates damage observed before launch or cargo installation from anomalies in early operation.</w:t>
      </w:r>
    </w:p>
    <w:p>
      <w:pPr/>
      <w:r>
        <w:t>Any alternate provider must meet the same delivered mass, envelope, power-on sequence, schedule and injection or landing accuracy. A provider change triggers re-verification of coupled loads and mission-specific interfaces.</w:t>
      </w:r>
    </w:p>
    <w:p>
      <w:pPr>
        <w:pStyle w:val="Heading1"/>
      </w:pPr>
      <w:r>
        <w:t>Ground Segment and Mission Operations</w:t>
      </w:r>
    </w:p>
    <w:p>
      <w:pPr/>
      <w:r>
        <w:t>Two polar 7 m sites plus one temperate backup; ≥30 GB/day combined ingest; 80 TB multi-version archive.</w:t>
      </w:r>
    </w:p>
    <w:p>
      <w:pPr/>
      <w:r>
        <w:t>At 100 Mb/s, two 12-minute contacts yield 18 GB gross; 6 GB/day requires ≥33% effective payload fraction, leaving outage/replay margin.</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Ground Segment Element</w:t>
            </w:r>
          </w:p>
        </w:tc>
        <w:tc>
          <w:tcPr>
            <w:tcW w:type="dxa" w:w="4680"/>
            <w:vAlign w:val="center"/>
            <w:shd w:fill="DDE6EF"/>
            <w:tcMar>
              <w:top w:w="90" w:type="dxa"/>
              <w:left w:w="90" w:type="dxa"/>
              <w:bottom w:w="90" w:type="dxa"/>
              <w:right w:w="90" w:type="dxa"/>
            </w:tcMar>
          </w:tcPr>
          <w:p>
            <w:pPr>
              <w:spacing w:after="0"/>
            </w:pPr>
            <w:r>
              <w:rPr>
                <w:b/>
                <w:sz w:val="16"/>
              </w:rPr>
              <w:t>Description</w:t>
            </w:r>
          </w:p>
        </w:tc>
      </w:tr>
      <w:tr>
        <w:tc>
          <w:tcPr>
            <w:tcW w:type="dxa" w:w="4680"/>
            <w:vAlign w:val="center"/>
            <w:tcMar>
              <w:top w:w="90" w:type="dxa"/>
              <w:left w:w="90" w:type="dxa"/>
              <w:bottom w:w="90" w:type="dxa"/>
              <w:right w:w="90" w:type="dxa"/>
            </w:tcMar>
          </w:tcPr>
          <w:p>
            <w:pPr>
              <w:spacing w:after="0"/>
            </w:pPr>
            <w:r>
              <w:rPr>
                <w:sz w:val="16"/>
              </w:rPr>
              <w:t>Mission Planning System</w:t>
            </w:r>
          </w:p>
        </w:tc>
        <w:tc>
          <w:tcPr>
            <w:tcW w:type="dxa" w:w="4680"/>
            <w:vAlign w:val="center"/>
            <w:tcMar>
              <w:top w:w="90" w:type="dxa"/>
              <w:left w:w="90" w:type="dxa"/>
              <w:bottom w:w="90" w:type="dxa"/>
              <w:right w:w="90" w:type="dxa"/>
            </w:tcMar>
          </w:tcPr>
          <w:p>
            <w:pPr>
              <w:spacing w:after="0"/>
            </w:pPr>
            <w:r>
              <w:rPr>
                <w:sz w:val="16"/>
              </w:rPr>
              <w:t>Schedules commanded measurement, service or observation periods and checks resource constraints.</w:t>
            </w:r>
          </w:p>
        </w:tc>
      </w:tr>
      <w:tr>
        <w:tc>
          <w:tcPr>
            <w:tcW w:type="dxa" w:w="4680"/>
            <w:vAlign w:val="center"/>
            <w:shd w:fill="F6F8FA"/>
            <w:tcMar>
              <w:top w:w="90" w:type="dxa"/>
              <w:left w:w="90" w:type="dxa"/>
              <w:bottom w:w="90" w:type="dxa"/>
              <w:right w:w="90" w:type="dxa"/>
            </w:tcMar>
          </w:tcPr>
          <w:p>
            <w:pPr>
              <w:spacing w:after="0"/>
            </w:pPr>
            <w:r>
              <w:rPr>
                <w:sz w:val="16"/>
              </w:rPr>
              <w:t>Control System</w:t>
            </w:r>
          </w:p>
        </w:tc>
        <w:tc>
          <w:tcPr>
            <w:tcW w:type="dxa" w:w="4680"/>
            <w:vAlign w:val="center"/>
            <w:shd w:fill="F6F8FA"/>
            <w:tcMar>
              <w:top w:w="90" w:type="dxa"/>
              <w:left w:w="90" w:type="dxa"/>
              <w:bottom w:w="90" w:type="dxa"/>
              <w:right w:w="90" w:type="dxa"/>
            </w:tcMar>
          </w:tcPr>
          <w:p>
            <w:pPr>
              <w:spacing w:after="0"/>
            </w:pPr>
            <w:r>
              <w:rPr>
                <w:sz w:val="16"/>
              </w:rPr>
              <w:t>Monitors status, authorizes command, handles anomaly response and keeps configuration history.</w:t>
            </w:r>
          </w:p>
        </w:tc>
      </w:tr>
      <w:tr>
        <w:tc>
          <w:tcPr>
            <w:tcW w:type="dxa" w:w="4680"/>
            <w:vAlign w:val="center"/>
            <w:tcMar>
              <w:top w:w="90" w:type="dxa"/>
              <w:left w:w="90" w:type="dxa"/>
              <w:bottom w:w="90" w:type="dxa"/>
              <w:right w:w="90" w:type="dxa"/>
            </w:tcMar>
          </w:tcPr>
          <w:p>
            <w:pPr>
              <w:spacing w:after="0"/>
            </w:pPr>
            <w:r>
              <w:rPr>
                <w:sz w:val="16"/>
              </w:rPr>
              <w:t>Receiving Stations / Host Link</w:t>
            </w:r>
          </w:p>
        </w:tc>
        <w:tc>
          <w:tcPr>
            <w:tcW w:type="dxa" w:w="4680"/>
            <w:vAlign w:val="center"/>
            <w:tcMar>
              <w:top w:w="90" w:type="dxa"/>
              <w:left w:w="90" w:type="dxa"/>
              <w:bottom w:w="90" w:type="dxa"/>
              <w:right w:w="90" w:type="dxa"/>
            </w:tcMar>
          </w:tcPr>
          <w:p>
            <w:pPr>
              <w:spacing w:after="0"/>
            </w:pPr>
            <w:r>
              <w:rPr>
                <w:sz w:val="16"/>
              </w:rPr>
              <w:t>Two polar 7 m sites plus one temperate backup; ≥30 GB/day combined ingest; 80 TB multi-version archive.</w:t>
            </w:r>
          </w:p>
        </w:tc>
      </w:tr>
      <w:tr>
        <w:tc>
          <w:tcPr>
            <w:tcW w:type="dxa" w:w="4680"/>
            <w:vAlign w:val="center"/>
            <w:shd w:fill="F6F8FA"/>
            <w:tcMar>
              <w:top w:w="90" w:type="dxa"/>
              <w:left w:w="90" w:type="dxa"/>
              <w:bottom w:w="90" w:type="dxa"/>
              <w:right w:w="90" w:type="dxa"/>
            </w:tcMar>
          </w:tcPr>
          <w:p>
            <w:pPr>
              <w:spacing w:after="0"/>
            </w:pPr>
            <w:r>
              <w:rPr>
                <w:sz w:val="16"/>
              </w:rPr>
              <w:t>Operations Team</w:t>
            </w:r>
          </w:p>
        </w:tc>
        <w:tc>
          <w:tcPr>
            <w:tcW w:type="dxa" w:w="4680"/>
            <w:vAlign w:val="center"/>
            <w:shd w:fill="F6F8FA"/>
            <w:tcMar>
              <w:top w:w="90" w:type="dxa"/>
              <w:left w:w="90" w:type="dxa"/>
              <w:bottom w:w="90" w:type="dxa"/>
              <w:right w:w="90" w:type="dxa"/>
            </w:tcMar>
          </w:tcPr>
          <w:p>
            <w:pPr>
              <w:spacing w:after="0"/>
            </w:pPr>
            <w:r>
              <w:rPr>
                <w:sz w:val="16"/>
              </w:rPr>
              <w:t>Staffed planned operations with automated alarm and on-call response.</w:t>
            </w:r>
          </w:p>
        </w:tc>
      </w:tr>
      <w:tr>
        <w:tc>
          <w:tcPr>
            <w:tcW w:type="dxa" w:w="4680"/>
            <w:vAlign w:val="center"/>
            <w:tcMar>
              <w:top w:w="90" w:type="dxa"/>
              <w:left w:w="90" w:type="dxa"/>
              <w:bottom w:w="90" w:type="dxa"/>
              <w:right w:w="90" w:type="dxa"/>
            </w:tcMar>
          </w:tcPr>
          <w:p>
            <w:pPr>
              <w:spacing w:after="0"/>
            </w:pPr>
            <w:r>
              <w:rPr>
                <w:sz w:val="16"/>
              </w:rPr>
              <w:t>Processing and Archive</w:t>
            </w:r>
          </w:p>
        </w:tc>
        <w:tc>
          <w:tcPr>
            <w:tcW w:type="dxa" w:w="4680"/>
            <w:vAlign w:val="center"/>
            <w:tcMar>
              <w:top w:w="90" w:type="dxa"/>
              <w:left w:w="90" w:type="dxa"/>
              <w:bottom w:w="90" w:type="dxa"/>
              <w:right w:w="90" w:type="dxa"/>
            </w:tcMar>
          </w:tcPr>
          <w:p>
            <w:pPr>
              <w:spacing w:after="0"/>
            </w:pPr>
            <w:r>
              <w:rPr>
                <w:sz w:val="16"/>
              </w:rPr>
              <w:t>Level 0 packet retention; Level 1 calibration; Level 2 products with preserved lineage.</w:t>
            </w:r>
          </w:p>
        </w:tc>
      </w:tr>
      <w:tr>
        <w:tc>
          <w:tcPr>
            <w:tcW w:type="dxa" w:w="4680"/>
            <w:vAlign w:val="center"/>
            <w:shd w:fill="F6F8FA"/>
            <w:tcMar>
              <w:top w:w="90" w:type="dxa"/>
              <w:left w:w="90" w:type="dxa"/>
              <w:bottom w:w="90" w:type="dxa"/>
              <w:right w:w="90" w:type="dxa"/>
            </w:tcMar>
          </w:tcPr>
          <w:p>
            <w:pPr>
              <w:spacing w:after="0"/>
            </w:pPr>
            <w:r>
              <w:rPr>
                <w:sz w:val="16"/>
              </w:rPr>
              <w:t>Data Volume / Availability</w:t>
            </w:r>
          </w:p>
        </w:tc>
        <w:tc>
          <w:tcPr>
            <w:tcW w:type="dxa" w:w="4680"/>
            <w:vAlign w:val="center"/>
            <w:shd w:fill="F6F8FA"/>
            <w:tcMar>
              <w:top w:w="90" w:type="dxa"/>
              <w:left w:w="90" w:type="dxa"/>
              <w:bottom w:w="90" w:type="dxa"/>
              <w:right w:w="90" w:type="dxa"/>
            </w:tcMar>
          </w:tcPr>
          <w:p>
            <w:pPr>
              <w:spacing w:after="0"/>
            </w:pPr>
            <w:r>
              <w:rPr>
                <w:sz w:val="16"/>
              </w:rPr>
              <w:t>6 GB/day per spacecraft after onboard screening; scheduled ground service availability ≥99%.</w:t>
            </w:r>
          </w:p>
        </w:tc>
      </w:tr>
    </w:tbl>
    <w:p>
      <w:pPr/>
      <w:r>
        <w:t>The daily return is 6 GB/day per spacecraft after onboard screening. Downlink capacity and stored-data volume shall close under a minimum 48-hour missed-contact case, except where host operations impose a different approved case. Science release depends on validation, access permissions and a documented reprocessing path.</w:t>
      </w:r>
    </w:p>
    <w:p>
      <w:pPr/>
      <w:r>
        <w:t>Mission operations include daily planning, health trending, commands, flight dynamics or host status, calibrated processing, anomaly resolution and archive integrity. Nominal staffing is a planned shift with continuous alarm routing; time-critical encounters or crew procedures require separate surge coverage.</w:t>
      </w:r>
    </w:p>
    <w:p>
      <w:pPr/>
      <w:r>
        <w:t>The data archive retains source packets, released products, calibration files, algorithm version and exceptions. Capacity in Two polar 7 m sites plus one temperate backup; ≥30 GB/day combined ingest; 80 TB multi-version archive. is a planning provision that shall be verified against years of operation, replication and reprocessing.</w:t>
      </w:r>
    </w:p>
    <w:p>
      <w:pPr>
        <w:pStyle w:val="Heading1"/>
      </w:pPr>
      <w:r>
        <w:t>Systems Engineering and Project Management Approach</w:t>
      </w:r>
    </w:p>
    <w:p>
      <w:pPr>
        <w:pStyle w:val="Heading2"/>
      </w:pPr>
      <w:r>
        <w:t>TRL Levels and Heritage</w:t>
      </w:r>
    </w:p>
    <w:p>
      <w:pPr/>
      <w:r>
        <w:t>A similar component class does not establish mission-specific qualification. Critical payload, software, biological, medical or manufacturing elements target TRL 6 at PDR and TRL 8 before acceptance. The evidence register identifies the exact hardware/software configuration, environment and remaining work for each claim.</w:t>
      </w:r>
    </w:p>
    <w:p>
      <w:pPr>
        <w:pStyle w:val="Heading2"/>
      </w:pPr>
      <w:r>
        <w:t>Phasing Logic and Naming Conventions</w:t>
      </w:r>
    </w:p>
    <w:p>
      <w:pPr>
        <w:pStyle w:val="BodyText"/>
      </w:pPr>
      <w:r>
        <w:t>The costing convention separates early concept work, definition, design, subsystem manufacture and test, system integration, delivery, commissioning, nominal operations and closeout. Phase labels are mapped to the project schedule in Part C.</w:t>
      </w:r>
    </w:p>
    <w:p>
      <w:pPr>
        <w:pStyle w:val="Caption"/>
      </w:pPr>
      <w:r>
        <w:t>Table 3 – Costing Phase Crosswalk</w:t>
      </w:r>
    </w:p>
    <w:tbl>
      <w:tblPr>
        <w:tblStyle w:val="TableGrid"/>
        <w:tblW w:type="auto" w:w="0"/>
        <w:jc w:val="center"/>
        <w:tblLayout w:type="fixed"/>
        <w:tblLook w:firstColumn="1" w:firstRow="1" w:lastColumn="0" w:lastRow="0" w:noHBand="0" w:noVBand="1" w:val="04A0"/>
      </w:tblPr>
      <w:tblGrid>
        <w:gridCol w:w="1872"/>
        <w:gridCol w:w="4032"/>
        <w:gridCol w:w="3168"/>
      </w:tblGrid>
      <w:tr>
        <w:trPr>
          <w:tblHeader w:val="true"/>
        </w:trPr>
        <w:tc>
          <w:tcPr>
            <w:tcW w:type="dxa" w:w="3120"/>
            <w:vAlign w:val="center"/>
            <w:shd w:fill="DDE6EF"/>
            <w:tcMar>
              <w:top w:w="90" w:type="dxa"/>
              <w:left w:w="90" w:type="dxa"/>
              <w:bottom w:w="90" w:type="dxa"/>
              <w:right w:w="90" w:type="dxa"/>
            </w:tcMar>
          </w:tcPr>
          <w:p>
            <w:pPr>
              <w:spacing w:after="0"/>
            </w:pPr>
            <w:r>
              <w:rPr>
                <w:b/>
                <w:sz w:val="16"/>
              </w:rPr>
              <w:t>Costing nomenclature</w:t>
            </w:r>
          </w:p>
        </w:tc>
        <w:tc>
          <w:tcPr>
            <w:tcW w:type="dxa" w:w="3120"/>
            <w:vAlign w:val="center"/>
            <w:shd w:fill="DDE6EF"/>
            <w:tcMar>
              <w:top w:w="90" w:type="dxa"/>
              <w:left w:w="90" w:type="dxa"/>
              <w:bottom w:w="90" w:type="dxa"/>
              <w:right w:w="90" w:type="dxa"/>
            </w:tcMar>
          </w:tcPr>
          <w:p>
            <w:pPr>
              <w:spacing w:after="0"/>
            </w:pPr>
            <w:r>
              <w:rPr>
                <w:b/>
                <w:sz w:val="16"/>
              </w:rPr>
              <w:t>Phase description</w:t>
            </w:r>
          </w:p>
        </w:tc>
        <w:tc>
          <w:tcPr>
            <w:tcW w:type="dxa" w:w="3120"/>
            <w:vAlign w:val="center"/>
            <w:shd w:fill="DDE6EF"/>
            <w:tcMar>
              <w:top w:w="90" w:type="dxa"/>
              <w:left w:w="90" w:type="dxa"/>
              <w:bottom w:w="90" w:type="dxa"/>
              <w:right w:w="90" w:type="dxa"/>
            </w:tcMar>
          </w:tcPr>
          <w:p>
            <w:pPr>
              <w:spacing w:after="0"/>
            </w:pPr>
            <w:r>
              <w:rPr>
                <w:b/>
                <w:sz w:val="16"/>
              </w:rPr>
              <w:t>Project name</w:t>
            </w:r>
          </w:p>
        </w:tc>
      </w:tr>
      <w:tr>
        <w:tc>
          <w:tcPr>
            <w:tcW w:type="dxa" w:w="3120"/>
            <w:vAlign w:val="center"/>
            <w:tcMar>
              <w:top w:w="90" w:type="dxa"/>
              <w:left w:w="90" w:type="dxa"/>
              <w:bottom w:w="90" w:type="dxa"/>
              <w:right w:w="90" w:type="dxa"/>
            </w:tcMar>
          </w:tcPr>
          <w:p>
            <w:pPr>
              <w:spacing w:after="0"/>
            </w:pPr>
            <w:r>
              <w:rPr>
                <w:sz w:val="16"/>
              </w:rPr>
              <w:t>PREP 1</w:t>
            </w:r>
          </w:p>
        </w:tc>
        <w:tc>
          <w:tcPr>
            <w:tcW w:type="dxa" w:w="3120"/>
            <w:vAlign w:val="center"/>
            <w:tcMar>
              <w:top w:w="90" w:type="dxa"/>
              <w:left w:w="90" w:type="dxa"/>
              <w:bottom w:w="90" w:type="dxa"/>
              <w:right w:w="90" w:type="dxa"/>
            </w:tcMar>
          </w:tcPr>
          <w:p>
            <w:pPr>
              <w:spacing w:after="0"/>
            </w:pPr>
            <w:r>
              <w:rPr>
                <w:sz w:val="16"/>
              </w:rPr>
              <w:t>Pre-gate prototyping</w:t>
            </w:r>
          </w:p>
        </w:tc>
        <w:tc>
          <w:tcPr>
            <w:tcW w:type="dxa" w:w="3120"/>
            <w:vAlign w:val="center"/>
            <w:tcMar>
              <w:top w:w="90" w:type="dxa"/>
              <w:left w:w="90" w:type="dxa"/>
              <w:bottom w:w="90" w:type="dxa"/>
              <w:right w:w="90" w:type="dxa"/>
            </w:tcMar>
          </w:tcPr>
          <w:p>
            <w:pPr>
              <w:spacing w:after="0"/>
            </w:pPr>
            <w:r>
              <w:rPr>
                <w:sz w:val="16"/>
              </w:rPr>
              <w:t>Technology maturation</w:t>
            </w:r>
          </w:p>
        </w:tc>
      </w:tr>
      <w:tr>
        <w:tc>
          <w:tcPr>
            <w:tcW w:type="dxa" w:w="3120"/>
            <w:vAlign w:val="center"/>
            <w:shd w:fill="F6F8FA"/>
            <w:tcMar>
              <w:top w:w="90" w:type="dxa"/>
              <w:left w:w="90" w:type="dxa"/>
              <w:bottom w:w="90" w:type="dxa"/>
              <w:right w:w="90" w:type="dxa"/>
            </w:tcMar>
          </w:tcPr>
          <w:p>
            <w:pPr>
              <w:spacing w:after="0"/>
            </w:pPr>
            <w:r>
              <w:rPr>
                <w:sz w:val="16"/>
              </w:rPr>
              <w:t>PREP 2</w:t>
            </w:r>
          </w:p>
        </w:tc>
        <w:tc>
          <w:tcPr>
            <w:tcW w:type="dxa" w:w="3120"/>
            <w:vAlign w:val="center"/>
            <w:shd w:fill="F6F8FA"/>
            <w:tcMar>
              <w:top w:w="90" w:type="dxa"/>
              <w:left w:w="90" w:type="dxa"/>
              <w:bottom w:w="90" w:type="dxa"/>
              <w:right w:w="90" w:type="dxa"/>
            </w:tcMar>
          </w:tcPr>
          <w:p>
            <w:pPr>
              <w:spacing w:after="0"/>
            </w:pPr>
            <w:r>
              <w:rPr>
                <w:sz w:val="16"/>
              </w:rPr>
              <w:t>Phase 0/A prototyping</w:t>
            </w:r>
          </w:p>
        </w:tc>
        <w:tc>
          <w:tcPr>
            <w:tcW w:type="dxa" w:w="3120"/>
            <w:vAlign w:val="center"/>
            <w:shd w:fill="F6F8FA"/>
            <w:tcMar>
              <w:top w:w="90" w:type="dxa"/>
              <w:left w:w="90" w:type="dxa"/>
              <w:bottom w:w="90" w:type="dxa"/>
              <w:right w:w="90" w:type="dxa"/>
            </w:tcMar>
          </w:tcPr>
          <w:p>
            <w:pPr>
              <w:spacing w:after="0"/>
            </w:pPr>
            <w:r>
              <w:rPr>
                <w:sz w:val="16"/>
              </w:rPr>
              <w:t>Concept demonstrations</w:t>
            </w:r>
          </w:p>
        </w:tc>
      </w:tr>
      <w:tr>
        <w:tc>
          <w:tcPr>
            <w:tcW w:type="dxa" w:w="3120"/>
            <w:vAlign w:val="center"/>
            <w:tcMar>
              <w:top w:w="90" w:type="dxa"/>
              <w:left w:w="90" w:type="dxa"/>
              <w:bottom w:w="90" w:type="dxa"/>
              <w:right w:w="90" w:type="dxa"/>
            </w:tcMar>
          </w:tcPr>
          <w:p>
            <w:pPr>
              <w:spacing w:after="0"/>
            </w:pPr>
            <w:r>
              <w:rPr>
                <w:sz w:val="16"/>
              </w:rPr>
              <w:t>Phase 0</w:t>
            </w:r>
          </w:p>
        </w:tc>
        <w:tc>
          <w:tcPr>
            <w:tcW w:type="dxa" w:w="3120"/>
            <w:vAlign w:val="center"/>
            <w:tcMar>
              <w:top w:w="90" w:type="dxa"/>
              <w:left w:w="90" w:type="dxa"/>
              <w:bottom w:w="90" w:type="dxa"/>
              <w:right w:w="90" w:type="dxa"/>
            </w:tcMar>
          </w:tcPr>
          <w:p>
            <w:pPr>
              <w:spacing w:after="0"/>
            </w:pPr>
            <w:r>
              <w:rPr>
                <w:sz w:val="16"/>
              </w:rPr>
              <w:t>Concept and feasibility</w:t>
            </w:r>
          </w:p>
        </w:tc>
        <w:tc>
          <w:tcPr>
            <w:tcW w:type="dxa" w:w="3120"/>
            <w:vAlign w:val="center"/>
            <w:tcMar>
              <w:top w:w="90" w:type="dxa"/>
              <w:left w:w="90" w:type="dxa"/>
              <w:bottom w:w="90" w:type="dxa"/>
              <w:right w:w="90" w:type="dxa"/>
            </w:tcMar>
          </w:tcPr>
          <w:p>
            <w:pPr>
              <w:spacing w:after="0"/>
            </w:pPr>
            <w:r>
              <w:rPr>
                <w:sz w:val="16"/>
              </w:rPr>
              <w:t>Concept</w:t>
            </w:r>
          </w:p>
        </w:tc>
      </w:tr>
      <w:tr>
        <w:tc>
          <w:tcPr>
            <w:tcW w:type="dxa" w:w="3120"/>
            <w:vAlign w:val="center"/>
            <w:shd w:fill="F6F8FA"/>
            <w:tcMar>
              <w:top w:w="90" w:type="dxa"/>
              <w:left w:w="90" w:type="dxa"/>
              <w:bottom w:w="90" w:type="dxa"/>
              <w:right w:w="90" w:type="dxa"/>
            </w:tcMar>
          </w:tcPr>
          <w:p>
            <w:pPr>
              <w:spacing w:after="0"/>
            </w:pPr>
            <w:r>
              <w:rPr>
                <w:sz w:val="16"/>
              </w:rPr>
              <w:t>Phase A</w:t>
            </w:r>
          </w:p>
        </w:tc>
        <w:tc>
          <w:tcPr>
            <w:tcW w:type="dxa" w:w="3120"/>
            <w:vAlign w:val="center"/>
            <w:shd w:fill="F6F8FA"/>
            <w:tcMar>
              <w:top w:w="90" w:type="dxa"/>
              <w:left w:w="90" w:type="dxa"/>
              <w:bottom w:w="90" w:type="dxa"/>
              <w:right w:w="90" w:type="dxa"/>
            </w:tcMar>
          </w:tcPr>
          <w:p>
            <w:pPr>
              <w:spacing w:after="0"/>
            </w:pPr>
            <w:r>
              <w:rPr>
                <w:sz w:val="16"/>
              </w:rPr>
              <w:t>System definition</w:t>
            </w:r>
          </w:p>
        </w:tc>
        <w:tc>
          <w:tcPr>
            <w:tcW w:type="dxa" w:w="3120"/>
            <w:vAlign w:val="center"/>
            <w:shd w:fill="F6F8FA"/>
            <w:tcMar>
              <w:top w:w="90" w:type="dxa"/>
              <w:left w:w="90" w:type="dxa"/>
              <w:bottom w:w="90" w:type="dxa"/>
              <w:right w:w="90" w:type="dxa"/>
            </w:tcMar>
          </w:tcPr>
          <w:p>
            <w:pPr>
              <w:spacing w:after="0"/>
            </w:pPr>
            <w:r>
              <w:rPr>
                <w:sz w:val="16"/>
              </w:rPr>
              <w:t>Definition</w:t>
            </w:r>
          </w:p>
        </w:tc>
      </w:tr>
      <w:tr>
        <w:tc>
          <w:tcPr>
            <w:tcW w:type="dxa" w:w="3120"/>
            <w:vAlign w:val="center"/>
            <w:tcMar>
              <w:top w:w="90" w:type="dxa"/>
              <w:left w:w="90" w:type="dxa"/>
              <w:bottom w:w="90" w:type="dxa"/>
              <w:right w:w="90" w:type="dxa"/>
            </w:tcMar>
          </w:tcPr>
          <w:p>
            <w:pPr>
              <w:spacing w:after="0"/>
            </w:pPr>
            <w:r>
              <w:rPr>
                <w:sz w:val="16"/>
              </w:rPr>
              <w:t>Phase B</w:t>
            </w:r>
          </w:p>
        </w:tc>
        <w:tc>
          <w:tcPr>
            <w:tcW w:type="dxa" w:w="3120"/>
            <w:vAlign w:val="center"/>
            <w:tcMar>
              <w:top w:w="90" w:type="dxa"/>
              <w:left w:w="90" w:type="dxa"/>
              <w:bottom w:w="90" w:type="dxa"/>
              <w:right w:w="90" w:type="dxa"/>
            </w:tcMar>
          </w:tcPr>
          <w:p>
            <w:pPr>
              <w:spacing w:after="0"/>
            </w:pPr>
            <w:r>
              <w:rPr>
                <w:sz w:val="16"/>
              </w:rPr>
              <w:t>Preliminary design</w:t>
            </w:r>
          </w:p>
        </w:tc>
        <w:tc>
          <w:tcPr>
            <w:tcW w:type="dxa" w:w="3120"/>
            <w:vAlign w:val="center"/>
            <w:tcMar>
              <w:top w:w="90" w:type="dxa"/>
              <w:left w:w="90" w:type="dxa"/>
              <w:bottom w:w="90" w:type="dxa"/>
              <w:right w:w="90" w:type="dxa"/>
            </w:tcMar>
          </w:tcPr>
          <w:p>
            <w:pPr>
              <w:spacing w:after="0"/>
            </w:pPr>
            <w:r>
              <w:rPr>
                <w:sz w:val="16"/>
              </w:rPr>
              <w:t>Preliminary design</w:t>
            </w:r>
          </w:p>
        </w:tc>
      </w:tr>
      <w:tr>
        <w:tc>
          <w:tcPr>
            <w:tcW w:type="dxa" w:w="3120"/>
            <w:vAlign w:val="center"/>
            <w:shd w:fill="F6F8FA"/>
            <w:tcMar>
              <w:top w:w="90" w:type="dxa"/>
              <w:left w:w="90" w:type="dxa"/>
              <w:bottom w:w="90" w:type="dxa"/>
              <w:right w:w="90" w:type="dxa"/>
            </w:tcMar>
          </w:tcPr>
          <w:p>
            <w:pPr>
              <w:spacing w:after="0"/>
            </w:pPr>
            <w:r>
              <w:rPr>
                <w:sz w:val="16"/>
              </w:rPr>
              <w:t>Phase C</w:t>
            </w:r>
          </w:p>
        </w:tc>
        <w:tc>
          <w:tcPr>
            <w:tcW w:type="dxa" w:w="3120"/>
            <w:vAlign w:val="center"/>
            <w:shd w:fill="F6F8FA"/>
            <w:tcMar>
              <w:top w:w="90" w:type="dxa"/>
              <w:left w:w="90" w:type="dxa"/>
              <w:bottom w:w="90" w:type="dxa"/>
              <w:right w:w="90" w:type="dxa"/>
            </w:tcMar>
          </w:tcPr>
          <w:p>
            <w:pPr>
              <w:spacing w:after="0"/>
            </w:pPr>
            <w:r>
              <w:rPr>
                <w:sz w:val="16"/>
              </w:rPr>
              <w:t>Detailed design</w:t>
            </w:r>
          </w:p>
        </w:tc>
        <w:tc>
          <w:tcPr>
            <w:tcW w:type="dxa" w:w="3120"/>
            <w:vAlign w:val="center"/>
            <w:shd w:fill="F6F8FA"/>
            <w:tcMar>
              <w:top w:w="90" w:type="dxa"/>
              <w:left w:w="90" w:type="dxa"/>
              <w:bottom w:w="90" w:type="dxa"/>
              <w:right w:w="90" w:type="dxa"/>
            </w:tcMar>
          </w:tcPr>
          <w:p>
            <w:pPr>
              <w:spacing w:after="0"/>
            </w:pPr>
            <w:r>
              <w:rPr>
                <w:sz w:val="16"/>
              </w:rPr>
              <w:t>Detailed design</w:t>
            </w:r>
          </w:p>
        </w:tc>
      </w:tr>
      <w:tr>
        <w:tc>
          <w:tcPr>
            <w:tcW w:type="dxa" w:w="3120"/>
            <w:vAlign w:val="center"/>
            <w:tcMar>
              <w:top w:w="90" w:type="dxa"/>
              <w:left w:w="90" w:type="dxa"/>
              <w:bottom w:w="90" w:type="dxa"/>
              <w:right w:w="90" w:type="dxa"/>
            </w:tcMar>
          </w:tcPr>
          <w:p>
            <w:pPr>
              <w:spacing w:after="0"/>
            </w:pPr>
            <w:r>
              <w:rPr>
                <w:sz w:val="16"/>
              </w:rPr>
              <w:t>Phase D1</w:t>
            </w:r>
          </w:p>
        </w:tc>
        <w:tc>
          <w:tcPr>
            <w:tcW w:type="dxa" w:w="3120"/>
            <w:vAlign w:val="center"/>
            <w:tcMar>
              <w:top w:w="90" w:type="dxa"/>
              <w:left w:w="90" w:type="dxa"/>
              <w:bottom w:w="90" w:type="dxa"/>
              <w:right w:w="90" w:type="dxa"/>
            </w:tcMar>
          </w:tcPr>
          <w:p>
            <w:pPr>
              <w:spacing w:after="0"/>
            </w:pPr>
            <w:r>
              <w:rPr>
                <w:sz w:val="16"/>
              </w:rPr>
              <w:t>Subsystem manufacture and test</w:t>
            </w:r>
          </w:p>
        </w:tc>
        <w:tc>
          <w:tcPr>
            <w:tcW w:type="dxa" w:w="3120"/>
            <w:vAlign w:val="center"/>
            <w:tcMar>
              <w:top w:w="90" w:type="dxa"/>
              <w:left w:w="90" w:type="dxa"/>
              <w:bottom w:w="90" w:type="dxa"/>
              <w:right w:w="90" w:type="dxa"/>
            </w:tcMar>
          </w:tcPr>
          <w:p>
            <w:pPr>
              <w:spacing w:after="0"/>
            </w:pPr>
            <w:r>
              <w:rPr>
                <w:sz w:val="16"/>
              </w:rPr>
              <w:t>Unit AIT</w:t>
            </w:r>
          </w:p>
        </w:tc>
      </w:tr>
      <w:tr>
        <w:tc>
          <w:tcPr>
            <w:tcW w:type="dxa" w:w="3120"/>
            <w:vAlign w:val="center"/>
            <w:shd w:fill="F6F8FA"/>
            <w:tcMar>
              <w:top w:w="90" w:type="dxa"/>
              <w:left w:w="90" w:type="dxa"/>
              <w:bottom w:w="90" w:type="dxa"/>
              <w:right w:w="90" w:type="dxa"/>
            </w:tcMar>
          </w:tcPr>
          <w:p>
            <w:pPr>
              <w:spacing w:after="0"/>
            </w:pPr>
            <w:r>
              <w:rPr>
                <w:sz w:val="16"/>
              </w:rPr>
              <w:t>Phase D2</w:t>
            </w:r>
          </w:p>
        </w:tc>
        <w:tc>
          <w:tcPr>
            <w:tcW w:type="dxa" w:w="3120"/>
            <w:vAlign w:val="center"/>
            <w:shd w:fill="F6F8FA"/>
            <w:tcMar>
              <w:top w:w="90" w:type="dxa"/>
              <w:left w:w="90" w:type="dxa"/>
              <w:bottom w:w="90" w:type="dxa"/>
              <w:right w:w="90" w:type="dxa"/>
            </w:tcMar>
          </w:tcPr>
          <w:p>
            <w:pPr>
              <w:spacing w:after="0"/>
            </w:pPr>
            <w:r>
              <w:rPr>
                <w:sz w:val="16"/>
              </w:rPr>
              <w:t>System assembly, integration and test</w:t>
            </w:r>
          </w:p>
        </w:tc>
        <w:tc>
          <w:tcPr>
            <w:tcW w:type="dxa" w:w="3120"/>
            <w:vAlign w:val="center"/>
            <w:shd w:fill="F6F8FA"/>
            <w:tcMar>
              <w:top w:w="90" w:type="dxa"/>
              <w:left w:w="90" w:type="dxa"/>
              <w:bottom w:w="90" w:type="dxa"/>
              <w:right w:w="90" w:type="dxa"/>
            </w:tcMar>
          </w:tcPr>
          <w:p>
            <w:pPr>
              <w:spacing w:after="0"/>
            </w:pPr>
            <w:r>
              <w:rPr>
                <w:sz w:val="16"/>
              </w:rPr>
              <w:t>System AIT</w:t>
            </w:r>
          </w:p>
        </w:tc>
      </w:tr>
      <w:tr>
        <w:tc>
          <w:tcPr>
            <w:tcW w:type="dxa" w:w="3120"/>
            <w:vAlign w:val="center"/>
            <w:tcMar>
              <w:top w:w="90" w:type="dxa"/>
              <w:left w:w="90" w:type="dxa"/>
              <w:bottom w:w="90" w:type="dxa"/>
              <w:right w:w="90" w:type="dxa"/>
            </w:tcMar>
          </w:tcPr>
          <w:p>
            <w:pPr>
              <w:spacing w:after="0"/>
            </w:pPr>
            <w:r>
              <w:rPr>
                <w:sz w:val="16"/>
              </w:rPr>
              <w:t>LEOP</w:t>
            </w:r>
          </w:p>
        </w:tc>
        <w:tc>
          <w:tcPr>
            <w:tcW w:type="dxa" w:w="3120"/>
            <w:vAlign w:val="center"/>
            <w:tcMar>
              <w:top w:w="90" w:type="dxa"/>
              <w:left w:w="90" w:type="dxa"/>
              <w:bottom w:w="90" w:type="dxa"/>
              <w:right w:w="90" w:type="dxa"/>
            </w:tcMar>
          </w:tcPr>
          <w:p>
            <w:pPr>
              <w:spacing w:after="0"/>
            </w:pPr>
            <w:r>
              <w:rPr>
                <w:sz w:val="16"/>
              </w:rPr>
              <w:t>Delivery and commissioning</w:t>
            </w:r>
          </w:p>
        </w:tc>
        <w:tc>
          <w:tcPr>
            <w:tcW w:type="dxa" w:w="3120"/>
            <w:vAlign w:val="center"/>
            <w:tcMar>
              <w:top w:w="90" w:type="dxa"/>
              <w:left w:w="90" w:type="dxa"/>
              <w:bottom w:w="90" w:type="dxa"/>
              <w:right w:w="90" w:type="dxa"/>
            </w:tcMar>
          </w:tcPr>
          <w:p>
            <w:pPr>
              <w:spacing w:after="0"/>
            </w:pPr>
            <w:r>
              <w:rPr>
                <w:sz w:val="16"/>
              </w:rPr>
              <w:t>Commissioning</w:t>
            </w:r>
          </w:p>
        </w:tc>
      </w:tr>
      <w:tr>
        <w:tc>
          <w:tcPr>
            <w:tcW w:type="dxa" w:w="3120"/>
            <w:vAlign w:val="center"/>
            <w:shd w:fill="F6F8FA"/>
            <w:tcMar>
              <w:top w:w="90" w:type="dxa"/>
              <w:left w:w="90" w:type="dxa"/>
              <w:bottom w:w="90" w:type="dxa"/>
              <w:right w:w="90" w:type="dxa"/>
            </w:tcMar>
          </w:tcPr>
          <w:p>
            <w:pPr>
              <w:spacing w:after="0"/>
            </w:pPr>
            <w:r>
              <w:rPr>
                <w:sz w:val="16"/>
              </w:rPr>
              <w:t>Phase E</w:t>
            </w:r>
          </w:p>
        </w:tc>
        <w:tc>
          <w:tcPr>
            <w:tcW w:type="dxa" w:w="3120"/>
            <w:vAlign w:val="center"/>
            <w:shd w:fill="F6F8FA"/>
            <w:tcMar>
              <w:top w:w="90" w:type="dxa"/>
              <w:left w:w="90" w:type="dxa"/>
              <w:bottom w:w="90" w:type="dxa"/>
              <w:right w:w="90" w:type="dxa"/>
            </w:tcMar>
          </w:tcPr>
          <w:p>
            <w:pPr>
              <w:spacing w:after="0"/>
            </w:pPr>
            <w:r>
              <w:rPr>
                <w:sz w:val="16"/>
              </w:rPr>
              <w:t>Nominal operations</w:t>
            </w:r>
          </w:p>
        </w:tc>
        <w:tc>
          <w:tcPr>
            <w:tcW w:type="dxa" w:w="3120"/>
            <w:vAlign w:val="center"/>
            <w:shd w:fill="F6F8FA"/>
            <w:tcMar>
              <w:top w:w="90" w:type="dxa"/>
              <w:left w:w="90" w:type="dxa"/>
              <w:bottom w:w="90" w:type="dxa"/>
              <w:right w:w="90" w:type="dxa"/>
            </w:tcMar>
          </w:tcPr>
          <w:p>
            <w:pPr>
              <w:spacing w:after="0"/>
            </w:pPr>
            <w:r>
              <w:rPr>
                <w:sz w:val="16"/>
              </w:rPr>
              <w:t>Operations</w:t>
            </w:r>
          </w:p>
        </w:tc>
      </w:tr>
      <w:tr>
        <w:tc>
          <w:tcPr>
            <w:tcW w:type="dxa" w:w="3120"/>
            <w:vAlign w:val="center"/>
            <w:tcMar>
              <w:top w:w="90" w:type="dxa"/>
              <w:left w:w="90" w:type="dxa"/>
              <w:bottom w:w="90" w:type="dxa"/>
              <w:right w:w="90" w:type="dxa"/>
            </w:tcMar>
          </w:tcPr>
          <w:p>
            <w:pPr>
              <w:spacing w:after="0"/>
            </w:pPr>
            <w:r>
              <w:rPr>
                <w:sz w:val="16"/>
              </w:rPr>
              <w:t>Phase E EXT</w:t>
            </w:r>
          </w:p>
        </w:tc>
        <w:tc>
          <w:tcPr>
            <w:tcW w:type="dxa" w:w="3120"/>
            <w:vAlign w:val="center"/>
            <w:tcMar>
              <w:top w:w="90" w:type="dxa"/>
              <w:left w:w="90" w:type="dxa"/>
              <w:bottom w:w="90" w:type="dxa"/>
              <w:right w:w="90" w:type="dxa"/>
            </w:tcMar>
          </w:tcPr>
          <w:p>
            <w:pPr>
              <w:spacing w:after="0"/>
            </w:pPr>
            <w:r>
              <w:rPr>
                <w:sz w:val="16"/>
              </w:rPr>
              <w:t>Extended operations</w:t>
            </w:r>
          </w:p>
        </w:tc>
        <w:tc>
          <w:tcPr>
            <w:tcW w:type="dxa" w:w="3120"/>
            <w:vAlign w:val="center"/>
            <w:tcMar>
              <w:top w:w="90" w:type="dxa"/>
              <w:left w:w="90" w:type="dxa"/>
              <w:bottom w:w="90" w:type="dxa"/>
              <w:right w:w="90" w:type="dxa"/>
            </w:tcMar>
          </w:tcPr>
          <w:p>
            <w:pPr>
              <w:spacing w:after="0"/>
            </w:pPr>
            <w:r>
              <w:rPr>
                <w:sz w:val="16"/>
              </w:rPr>
              <w:t>Extension</w:t>
            </w:r>
          </w:p>
        </w:tc>
      </w:tr>
      <w:tr>
        <w:tc>
          <w:tcPr>
            <w:tcW w:type="dxa" w:w="3120"/>
            <w:vAlign w:val="center"/>
            <w:shd w:fill="F6F8FA"/>
            <w:tcMar>
              <w:top w:w="90" w:type="dxa"/>
              <w:left w:w="90" w:type="dxa"/>
              <w:bottom w:w="90" w:type="dxa"/>
              <w:right w:w="90" w:type="dxa"/>
            </w:tcMar>
          </w:tcPr>
          <w:p>
            <w:pPr>
              <w:spacing w:after="0"/>
            </w:pPr>
            <w:r>
              <w:rPr>
                <w:sz w:val="16"/>
              </w:rPr>
              <w:t>Phase F</w:t>
            </w:r>
          </w:p>
        </w:tc>
        <w:tc>
          <w:tcPr>
            <w:tcW w:type="dxa" w:w="3120"/>
            <w:vAlign w:val="center"/>
            <w:shd w:fill="F6F8FA"/>
            <w:tcMar>
              <w:top w:w="90" w:type="dxa"/>
              <w:left w:w="90" w:type="dxa"/>
              <w:bottom w:w="90" w:type="dxa"/>
              <w:right w:w="90" w:type="dxa"/>
            </w:tcMar>
          </w:tcPr>
          <w:p>
            <w:pPr>
              <w:spacing w:after="0"/>
            </w:pPr>
            <w:r>
              <w:rPr>
                <w:sz w:val="16"/>
              </w:rPr>
              <w:t>Closeout and disposal</w:t>
            </w:r>
          </w:p>
        </w:tc>
        <w:tc>
          <w:tcPr>
            <w:tcW w:type="dxa" w:w="3120"/>
            <w:vAlign w:val="center"/>
            <w:shd w:fill="F6F8FA"/>
            <w:tcMar>
              <w:top w:w="90" w:type="dxa"/>
              <w:left w:w="90" w:type="dxa"/>
              <w:bottom w:w="90" w:type="dxa"/>
              <w:right w:w="90" w:type="dxa"/>
            </w:tcMar>
          </w:tcPr>
          <w:p>
            <w:pPr>
              <w:spacing w:after="0"/>
            </w:pPr>
            <w:r>
              <w:rPr>
                <w:sz w:val="16"/>
              </w:rPr>
              <w:t>Closeout</w:t>
            </w:r>
          </w:p>
        </w:tc>
      </w:tr>
      <w:tr>
        <w:tc>
          <w:tcPr>
            <w:tcW w:type="dxa" w:w="3120"/>
            <w:vAlign w:val="center"/>
            <w:tcMar>
              <w:top w:w="90" w:type="dxa"/>
              <w:left w:w="90" w:type="dxa"/>
              <w:bottom w:w="90" w:type="dxa"/>
              <w:right w:w="90" w:type="dxa"/>
            </w:tcMar>
          </w:tcPr>
          <w:p>
            <w:pPr>
              <w:spacing w:after="0"/>
            </w:pPr>
            <w:r>
              <w:rPr>
                <w:sz w:val="16"/>
              </w:rPr>
              <w:t>Phase G</w:t>
            </w:r>
          </w:p>
        </w:tc>
        <w:tc>
          <w:tcPr>
            <w:tcW w:type="dxa" w:w="3120"/>
            <w:vAlign w:val="center"/>
            <w:tcMar>
              <w:top w:w="90" w:type="dxa"/>
              <w:left w:w="90" w:type="dxa"/>
              <w:bottom w:w="90" w:type="dxa"/>
              <w:right w:w="90" w:type="dxa"/>
            </w:tcMar>
          </w:tcPr>
          <w:p>
            <w:pPr>
              <w:spacing w:after="0"/>
            </w:pPr>
            <w:r>
              <w:rPr>
                <w:sz w:val="16"/>
              </w:rPr>
              <w:t>Data exploitation</w:t>
            </w:r>
          </w:p>
        </w:tc>
        <w:tc>
          <w:tcPr>
            <w:tcW w:type="dxa" w:w="3120"/>
            <w:vAlign w:val="center"/>
            <w:tcMar>
              <w:top w:w="90" w:type="dxa"/>
              <w:left w:w="90" w:type="dxa"/>
              <w:bottom w:w="90" w:type="dxa"/>
              <w:right w:w="90" w:type="dxa"/>
            </w:tcMar>
          </w:tcPr>
          <w:p>
            <w:pPr>
              <w:spacing w:after="0"/>
            </w:pPr>
            <w:r>
              <w:rPr>
                <w:sz w:val="16"/>
              </w:rPr>
              <w:t>Science use</w:t>
            </w:r>
          </w:p>
        </w:tc>
      </w:tr>
    </w:tbl>
    <w:p>
      <w:pPr>
        <w:pStyle w:val="BodyText"/>
      </w:pPr>
      <w:r>
        <w:t>The schedule planning basis is B 15 months; C 12 months; D1 16 months; D2 9 months; LEOP/commissioning 3 months; E 36 months. Activities with long-lead procurement and parallel unit builds overlap; durations should not be arithmetically summed to infer a delivery date.</w:t>
      </w:r>
    </w:p>
    <w:p>
      <w:pPr>
        <w:pStyle w:val="Caption"/>
      </w:pPr>
      <w:r>
        <w:t>Table 4 – Planning Phase Dates and Durations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shd w:fill="DDE6EF"/>
            <w:tcMar>
              <w:top w:w="90" w:type="dxa"/>
              <w:left w:w="90" w:type="dxa"/>
              <w:bottom w:w="90" w:type="dxa"/>
              <w:right w:w="90" w:type="dxa"/>
            </w:tcMar>
          </w:tcPr>
          <w:p>
            <w:pPr>
              <w:spacing w:after="0"/>
            </w:pPr>
            <w:r>
              <w:rPr>
                <w:b/>
                <w:sz w:val="16"/>
              </w:rPr>
              <w:t>Phase</w:t>
            </w:r>
          </w:p>
        </w:tc>
        <w:tc>
          <w:tcPr>
            <w:tcW w:type="dxa" w:w="1170"/>
            <w:vAlign w:val="center"/>
            <w:shd w:fill="DDE6EF"/>
            <w:tcMar>
              <w:top w:w="90" w:type="dxa"/>
              <w:left w:w="90" w:type="dxa"/>
              <w:bottom w:w="90" w:type="dxa"/>
              <w:right w:w="90" w:type="dxa"/>
            </w:tcMar>
          </w:tcPr>
          <w:p>
            <w:pPr>
              <w:spacing w:after="0"/>
            </w:pPr>
            <w:r>
              <w:rPr>
                <w:b/>
                <w:sz w:val="16"/>
              </w:rPr>
              <w:t>0</w:t>
            </w:r>
          </w:p>
        </w:tc>
        <w:tc>
          <w:tcPr>
            <w:tcW w:type="dxa" w:w="1170"/>
            <w:vAlign w:val="center"/>
            <w:shd w:fill="DDE6EF"/>
            <w:tcMar>
              <w:top w:w="90" w:type="dxa"/>
              <w:left w:w="90" w:type="dxa"/>
              <w:bottom w:w="90" w:type="dxa"/>
              <w:right w:w="90" w:type="dxa"/>
            </w:tcMar>
          </w:tcPr>
          <w:p>
            <w:pPr>
              <w:spacing w:after="0"/>
            </w:pPr>
            <w:r>
              <w:rPr>
                <w:b/>
                <w:sz w:val="16"/>
              </w:rPr>
              <w:t>A</w:t>
            </w:r>
          </w:p>
        </w:tc>
        <w:tc>
          <w:tcPr>
            <w:tcW w:type="dxa" w:w="1170"/>
            <w:vAlign w:val="center"/>
            <w:shd w:fill="DDE6EF"/>
            <w:tcMar>
              <w:top w:w="90" w:type="dxa"/>
              <w:left w:w="90" w:type="dxa"/>
              <w:bottom w:w="90" w:type="dxa"/>
              <w:right w:w="90" w:type="dxa"/>
            </w:tcMar>
          </w:tcPr>
          <w:p>
            <w:pPr>
              <w:spacing w:after="0"/>
            </w:pPr>
            <w:r>
              <w:rPr>
                <w:b/>
                <w:sz w:val="16"/>
              </w:rPr>
              <w:t>B</w:t>
            </w:r>
          </w:p>
        </w:tc>
        <w:tc>
          <w:tcPr>
            <w:tcW w:type="dxa" w:w="1170"/>
            <w:vAlign w:val="center"/>
            <w:shd w:fill="DDE6EF"/>
            <w:tcMar>
              <w:top w:w="90" w:type="dxa"/>
              <w:left w:w="90" w:type="dxa"/>
              <w:bottom w:w="90" w:type="dxa"/>
              <w:right w:w="90" w:type="dxa"/>
            </w:tcMar>
          </w:tcPr>
          <w:p>
            <w:pPr>
              <w:spacing w:after="0"/>
            </w:pPr>
            <w:r>
              <w:rPr>
                <w:b/>
                <w:sz w:val="16"/>
              </w:rPr>
              <w:t>C</w:t>
            </w:r>
          </w:p>
        </w:tc>
        <w:tc>
          <w:tcPr>
            <w:tcW w:type="dxa" w:w="1170"/>
            <w:vAlign w:val="center"/>
            <w:shd w:fill="DDE6EF"/>
            <w:tcMar>
              <w:top w:w="90" w:type="dxa"/>
              <w:left w:w="90" w:type="dxa"/>
              <w:bottom w:w="90" w:type="dxa"/>
              <w:right w:w="90" w:type="dxa"/>
            </w:tcMar>
          </w:tcPr>
          <w:p>
            <w:pPr>
              <w:spacing w:after="0"/>
            </w:pPr>
            <w:r>
              <w:rPr>
                <w:b/>
                <w:sz w:val="16"/>
              </w:rPr>
              <w:t>D1</w:t>
            </w:r>
          </w:p>
        </w:tc>
        <w:tc>
          <w:tcPr>
            <w:tcW w:type="dxa" w:w="1170"/>
            <w:vAlign w:val="center"/>
            <w:shd w:fill="DDE6EF"/>
            <w:tcMar>
              <w:top w:w="90" w:type="dxa"/>
              <w:left w:w="90" w:type="dxa"/>
              <w:bottom w:w="90" w:type="dxa"/>
              <w:right w:w="90" w:type="dxa"/>
            </w:tcMar>
          </w:tcPr>
          <w:p>
            <w:pPr>
              <w:spacing w:after="0"/>
            </w:pPr>
            <w:r>
              <w:rPr>
                <w:b/>
                <w:sz w:val="16"/>
              </w:rPr>
              <w:t>D2</w:t>
            </w:r>
          </w:p>
        </w:tc>
        <w:tc>
          <w:tcPr>
            <w:tcW w:type="dxa" w:w="1170"/>
            <w:vAlign w:val="center"/>
            <w:shd w:fill="DDE6EF"/>
            <w:tcMar>
              <w:top w:w="90" w:type="dxa"/>
              <w:left w:w="90" w:type="dxa"/>
              <w:bottom w:w="90" w:type="dxa"/>
              <w:right w:w="90" w:type="dxa"/>
            </w:tcMar>
          </w:tcPr>
          <w:p>
            <w:pPr>
              <w:spacing w:after="0"/>
            </w:pPr>
            <w:r>
              <w:rPr>
                <w:b/>
                <w:sz w:val="16"/>
              </w:rPr>
              <w:t>E</w:t>
            </w:r>
          </w:p>
        </w:tc>
      </w:tr>
      <w:tr>
        <w:tc>
          <w:tcPr>
            <w:tcW w:type="dxa" w:w="1170"/>
            <w:vAlign w:val="center"/>
            <w:tcMar>
              <w:top w:w="90" w:type="dxa"/>
              <w:left w:w="90" w:type="dxa"/>
              <w:bottom w:w="90" w:type="dxa"/>
              <w:right w:w="90" w:type="dxa"/>
            </w:tcMar>
          </w:tcPr>
          <w:p>
            <w:pPr>
              <w:spacing w:after="0"/>
            </w:pPr>
            <w:r>
              <w:rPr>
                <w:sz w:val="16"/>
              </w:rPr>
              <w:t>Duration, months</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15</w:t>
            </w:r>
          </w:p>
        </w:tc>
        <w:tc>
          <w:tcPr>
            <w:tcW w:type="dxa" w:w="1170"/>
            <w:vAlign w:val="center"/>
            <w:tcMar>
              <w:top w:w="90" w:type="dxa"/>
              <w:left w:w="90" w:type="dxa"/>
              <w:bottom w:w="90" w:type="dxa"/>
              <w:right w:w="90" w:type="dxa"/>
            </w:tcMar>
          </w:tcPr>
          <w:p>
            <w:pPr>
              <w:spacing w:after="0"/>
            </w:pPr>
            <w:r>
              <w:rPr>
                <w:sz w:val="16"/>
              </w:rPr>
              <w:t>12</w:t>
            </w:r>
          </w:p>
        </w:tc>
        <w:tc>
          <w:tcPr>
            <w:tcW w:type="dxa" w:w="1170"/>
            <w:vAlign w:val="center"/>
            <w:tcMar>
              <w:top w:w="90" w:type="dxa"/>
              <w:left w:w="90" w:type="dxa"/>
              <w:bottom w:w="90" w:type="dxa"/>
              <w:right w:w="90" w:type="dxa"/>
            </w:tcMar>
          </w:tcPr>
          <w:p>
            <w:pPr>
              <w:spacing w:after="0"/>
            </w:pPr>
            <w:r>
              <w:rPr>
                <w:sz w:val="16"/>
              </w:rPr>
              <w:t>16</w:t>
            </w:r>
          </w:p>
        </w:tc>
        <w:tc>
          <w:tcPr>
            <w:tcW w:type="dxa" w:w="1170"/>
            <w:vAlign w:val="center"/>
            <w:tcMar>
              <w:top w:w="90" w:type="dxa"/>
              <w:left w:w="90" w:type="dxa"/>
              <w:bottom w:w="90" w:type="dxa"/>
              <w:right w:w="90" w:type="dxa"/>
            </w:tcMar>
          </w:tcPr>
          <w:p>
            <w:pPr>
              <w:spacing w:after="0"/>
            </w:pPr>
            <w:r>
              <w:rPr>
                <w:sz w:val="16"/>
              </w:rPr>
              <w:t>9</w:t>
            </w:r>
          </w:p>
        </w:tc>
        <w:tc>
          <w:tcPr>
            <w:tcW w:type="dxa" w:w="1170"/>
            <w:vAlign w:val="center"/>
            <w:tcMar>
              <w:top w:w="90" w:type="dxa"/>
              <w:left w:w="90" w:type="dxa"/>
              <w:bottom w:w="90" w:type="dxa"/>
              <w:right w:w="90" w:type="dxa"/>
            </w:tcMar>
          </w:tcPr>
          <w:p>
            <w:pPr>
              <w:spacing w:after="0"/>
            </w:pPr>
            <w:r>
              <w:rPr>
                <w:sz w:val="16"/>
              </w:rPr>
              <w:t>36</w:t>
            </w:r>
          </w:p>
        </w:tc>
      </w:tr>
      <w:tr>
        <w:tc>
          <w:tcPr>
            <w:tcW w:type="dxa" w:w="1170"/>
            <w:vAlign w:val="center"/>
            <w:shd w:fill="F6F8FA"/>
            <w:tcMar>
              <w:top w:w="90" w:type="dxa"/>
              <w:left w:w="90" w:type="dxa"/>
              <w:bottom w:w="90" w:type="dxa"/>
              <w:right w:w="90" w:type="dxa"/>
            </w:tcMar>
          </w:tcPr>
          <w:p>
            <w:pPr>
              <w:spacing w:after="0"/>
            </w:pPr>
            <w:r>
              <w:rPr>
                <w:sz w:val="16"/>
              </w:rPr>
              <w:t>Status</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r>
    </w:tbl>
    <w:p>
      <w:pPr>
        <w:pStyle w:val="Heading2"/>
      </w:pPr>
      <w:r>
        <w:t>Project Milestones</w:t>
      </w:r>
    </w:p>
    <w:p>
      <w:pPr>
        <w:pStyle w:val="Caption"/>
      </w:pPr>
      <w:r>
        <w:t>Table 5 – Major Milestones</w:t>
      </w:r>
    </w:p>
    <w:tbl>
      <w:tblPr>
        <w:tblStyle w:val="TableGrid"/>
        <w:tblW w:type="auto" w:w="0"/>
        <w:jc w:val="center"/>
        <w:tblLayout w:type="fixed"/>
        <w:tblLook w:firstColumn="1" w:firstRow="1" w:lastColumn="0" w:lastRow="0" w:noHBand="0" w:noVBand="1" w:val="04A0"/>
      </w:tblPr>
      <w:tblGrid>
        <w:gridCol w:w="1656"/>
        <w:gridCol w:w="1584"/>
        <w:gridCol w:w="4176"/>
        <w:gridCol w:w="1800"/>
      </w:tblGrid>
      <w:tr>
        <w:trPr>
          <w:tblHeader w:val="true"/>
        </w:trPr>
        <w:tc>
          <w:tcPr>
            <w:tcW w:type="dxa" w:w="2340"/>
            <w:vAlign w:val="center"/>
            <w:shd w:fill="DDE6EF"/>
            <w:tcMar>
              <w:top w:w="90" w:type="dxa"/>
              <w:left w:w="90" w:type="dxa"/>
              <w:bottom w:w="90" w:type="dxa"/>
              <w:right w:w="90" w:type="dxa"/>
            </w:tcMar>
          </w:tcPr>
          <w:p>
            <w:pPr>
              <w:spacing w:after="0"/>
            </w:pPr>
            <w:r>
              <w:rPr>
                <w:b/>
                <w:sz w:val="16"/>
              </w:rPr>
              <w:t>Instrument / PM Phase</w:t>
            </w:r>
          </w:p>
        </w:tc>
        <w:tc>
          <w:tcPr>
            <w:tcW w:type="dxa" w:w="2340"/>
            <w:vAlign w:val="center"/>
            <w:shd w:fill="DDE6EF"/>
            <w:tcMar>
              <w:top w:w="90" w:type="dxa"/>
              <w:left w:w="90" w:type="dxa"/>
              <w:bottom w:w="90" w:type="dxa"/>
              <w:right w:w="90" w:type="dxa"/>
            </w:tcMar>
          </w:tcPr>
          <w:p>
            <w:pPr>
              <w:spacing w:after="0"/>
            </w:pPr>
            <w:r>
              <w:rPr>
                <w:b/>
                <w:sz w:val="16"/>
              </w:rPr>
              <w:t>Gate / Milestone</w:t>
            </w:r>
          </w:p>
        </w:tc>
        <w:tc>
          <w:tcPr>
            <w:tcW w:type="dxa" w:w="2340"/>
            <w:vAlign w:val="center"/>
            <w:shd w:fill="DDE6EF"/>
            <w:tcMar>
              <w:top w:w="90" w:type="dxa"/>
              <w:left w:w="90" w:type="dxa"/>
              <w:bottom w:w="90" w:type="dxa"/>
              <w:right w:w="90" w:type="dxa"/>
            </w:tcMar>
          </w:tcPr>
          <w:p>
            <w:pPr>
              <w:spacing w:after="0"/>
            </w:pPr>
            <w:r>
              <w:rPr>
                <w:b/>
                <w:sz w:val="16"/>
              </w:rPr>
              <w:t>Major Milestone</w:t>
            </w:r>
          </w:p>
        </w:tc>
        <w:tc>
          <w:tcPr>
            <w:tcW w:type="dxa" w:w="2340"/>
            <w:vAlign w:val="center"/>
            <w:shd w:fill="DDE6EF"/>
            <w:tcMar>
              <w:top w:w="90" w:type="dxa"/>
              <w:left w:w="90" w:type="dxa"/>
              <w:bottom w:w="90" w:type="dxa"/>
              <w:right w:w="90" w:type="dxa"/>
            </w:tcMar>
          </w:tcPr>
          <w:p>
            <w:pPr>
              <w:spacing w:after="0"/>
            </w:pPr>
            <w:r>
              <w:rPr>
                <w:b/>
                <w:sz w:val="16"/>
              </w:rPr>
              <w:t>Milestone Date</w:t>
            </w:r>
          </w:p>
        </w:tc>
      </w:tr>
      <w:tr>
        <w:tc>
          <w:tcPr>
            <w:tcW w:type="dxa" w:w="2340"/>
            <w:vAlign w:val="center"/>
            <w:tcMar>
              <w:top w:w="90" w:type="dxa"/>
              <w:left w:w="90" w:type="dxa"/>
              <w:bottom w:w="90" w:type="dxa"/>
              <w:right w:w="90" w:type="dxa"/>
            </w:tcMar>
          </w:tcPr>
          <w:p>
            <w:pPr>
              <w:spacing w:after="0"/>
            </w:pPr>
            <w:r>
              <w:rPr>
                <w:sz w:val="16"/>
              </w:rPr>
              <w:t>0</w:t>
            </w:r>
          </w:p>
        </w:tc>
        <w:tc>
          <w:tcPr>
            <w:tcW w:type="dxa" w:w="2340"/>
            <w:vAlign w:val="center"/>
            <w:tcMar>
              <w:top w:w="90" w:type="dxa"/>
              <w:left w:w="90" w:type="dxa"/>
              <w:bottom w:w="90" w:type="dxa"/>
              <w:right w:w="90" w:type="dxa"/>
            </w:tcMar>
          </w:tcPr>
          <w:p>
            <w:pPr>
              <w:spacing w:after="0"/>
            </w:pPr>
            <w:r>
              <w:rPr>
                <w:sz w:val="16"/>
              </w:rPr>
              <w:t>MCR</w:t>
            </w:r>
          </w:p>
        </w:tc>
        <w:tc>
          <w:tcPr>
            <w:tcW w:type="dxa" w:w="2340"/>
            <w:vAlign w:val="center"/>
            <w:tcMar>
              <w:top w:w="90" w:type="dxa"/>
              <w:left w:w="90" w:type="dxa"/>
              <w:bottom w:w="90" w:type="dxa"/>
              <w:right w:w="90" w:type="dxa"/>
            </w:tcMar>
          </w:tcPr>
          <w:p>
            <w:pPr>
              <w:spacing w:after="0"/>
            </w:pPr>
            <w:r>
              <w:rPr>
                <w:sz w:val="16"/>
              </w:rPr>
              <w:t>Mission Concept Review</w:t>
            </w:r>
          </w:p>
        </w:tc>
        <w:tc>
          <w:tcPr>
            <w:tcW w:type="dxa" w:w="2340"/>
            <w:vAlign w:val="center"/>
            <w:tcMar>
              <w:top w:w="90" w:type="dxa"/>
              <w:left w:w="90" w:type="dxa"/>
              <w:bottom w:w="90" w:type="dxa"/>
              <w:right w:w="90" w:type="dxa"/>
            </w:tcMar>
          </w:tcPr>
          <w:p>
            <w:pPr>
              <w:spacing w:after="0"/>
            </w:pPr>
            <w:r>
              <w:rPr>
                <w:sz w:val="16"/>
              </w:rPr>
              <w:t>Apr 2027</w:t>
            </w:r>
          </w:p>
        </w:tc>
      </w:tr>
      <w:tr>
        <w:tc>
          <w:tcPr>
            <w:tcW w:type="dxa" w:w="2340"/>
            <w:vAlign w:val="center"/>
            <w:shd w:fill="F6F8FA"/>
            <w:tcMar>
              <w:top w:w="90" w:type="dxa"/>
              <w:left w:w="90" w:type="dxa"/>
              <w:bottom w:w="90" w:type="dxa"/>
              <w:right w:w="90" w:type="dxa"/>
            </w:tcMar>
          </w:tcPr>
          <w:p>
            <w:pPr>
              <w:spacing w:after="0"/>
            </w:pPr>
            <w:r>
              <w:rPr>
                <w:sz w:val="16"/>
              </w:rPr>
              <w:t>A</w:t>
            </w:r>
          </w:p>
        </w:tc>
        <w:tc>
          <w:tcPr>
            <w:tcW w:type="dxa" w:w="2340"/>
            <w:vAlign w:val="center"/>
            <w:shd w:fill="F6F8FA"/>
            <w:tcMar>
              <w:top w:w="90" w:type="dxa"/>
              <w:left w:w="90" w:type="dxa"/>
              <w:bottom w:w="90" w:type="dxa"/>
              <w:right w:w="90" w:type="dxa"/>
            </w:tcMar>
          </w:tcPr>
          <w:p>
            <w:pPr>
              <w:spacing w:after="0"/>
            </w:pPr>
            <w:r>
              <w:rPr>
                <w:sz w:val="16"/>
              </w:rPr>
              <w:t>SRR</w:t>
            </w:r>
          </w:p>
        </w:tc>
        <w:tc>
          <w:tcPr>
            <w:tcW w:type="dxa" w:w="2340"/>
            <w:vAlign w:val="center"/>
            <w:shd w:fill="F6F8FA"/>
            <w:tcMar>
              <w:top w:w="90" w:type="dxa"/>
              <w:left w:w="90" w:type="dxa"/>
              <w:bottom w:w="90" w:type="dxa"/>
              <w:right w:w="90" w:type="dxa"/>
            </w:tcMar>
          </w:tcPr>
          <w:p>
            <w:pPr>
              <w:spacing w:after="0"/>
            </w:pPr>
            <w:r>
              <w:rPr>
                <w:sz w:val="16"/>
              </w:rPr>
              <w:t>System Requirements Review</w:t>
            </w:r>
          </w:p>
        </w:tc>
        <w:tc>
          <w:tcPr>
            <w:tcW w:type="dxa" w:w="2340"/>
            <w:vAlign w:val="center"/>
            <w:shd w:fill="F6F8FA"/>
            <w:tcMar>
              <w:top w:w="90" w:type="dxa"/>
              <w:left w:w="90" w:type="dxa"/>
              <w:bottom w:w="90" w:type="dxa"/>
              <w:right w:w="90" w:type="dxa"/>
            </w:tcMar>
          </w:tcPr>
          <w:p>
            <w:pPr>
              <w:spacing w:after="0"/>
            </w:pPr>
            <w:r>
              <w:rPr>
                <w:sz w:val="16"/>
              </w:rPr>
              <w:t>Feb 2028</w:t>
            </w:r>
          </w:p>
        </w:tc>
      </w:tr>
      <w:tr>
        <w:tc>
          <w:tcPr>
            <w:tcW w:type="dxa" w:w="2340"/>
            <w:vAlign w:val="center"/>
            <w:tcMar>
              <w:top w:w="90" w:type="dxa"/>
              <w:left w:w="90" w:type="dxa"/>
              <w:bottom w:w="90" w:type="dxa"/>
              <w:right w:w="90" w:type="dxa"/>
            </w:tcMar>
          </w:tcPr>
          <w:p>
            <w:pPr>
              <w:spacing w:after="0"/>
            </w:pPr>
            <w:r>
              <w:rPr>
                <w:sz w:val="16"/>
              </w:rPr>
              <w:t>B</w:t>
            </w:r>
          </w:p>
        </w:tc>
        <w:tc>
          <w:tcPr>
            <w:tcW w:type="dxa" w:w="2340"/>
            <w:vAlign w:val="center"/>
            <w:tcMar>
              <w:top w:w="90" w:type="dxa"/>
              <w:left w:w="90" w:type="dxa"/>
              <w:bottom w:w="90" w:type="dxa"/>
              <w:right w:w="90" w:type="dxa"/>
            </w:tcMar>
          </w:tcPr>
          <w:p>
            <w:pPr>
              <w:spacing w:after="0"/>
            </w:pPr>
            <w:r>
              <w:rPr>
                <w:sz w:val="16"/>
              </w:rPr>
              <w:t>PDR</w:t>
            </w:r>
          </w:p>
        </w:tc>
        <w:tc>
          <w:tcPr>
            <w:tcW w:type="dxa" w:w="2340"/>
            <w:vAlign w:val="center"/>
            <w:tcMar>
              <w:top w:w="90" w:type="dxa"/>
              <w:left w:w="90" w:type="dxa"/>
              <w:bottom w:w="90" w:type="dxa"/>
              <w:right w:w="90" w:type="dxa"/>
            </w:tcMar>
          </w:tcPr>
          <w:p>
            <w:pPr>
              <w:spacing w:after="0"/>
            </w:pPr>
            <w:r>
              <w:rPr>
                <w:sz w:val="16"/>
              </w:rPr>
              <w:t>Preliminary Design Review</w:t>
            </w:r>
          </w:p>
        </w:tc>
        <w:tc>
          <w:tcPr>
            <w:tcW w:type="dxa" w:w="2340"/>
            <w:vAlign w:val="center"/>
            <w:tcMar>
              <w:top w:w="90" w:type="dxa"/>
              <w:left w:w="90" w:type="dxa"/>
              <w:bottom w:w="90" w:type="dxa"/>
              <w:right w:w="90" w:type="dxa"/>
            </w:tcMar>
          </w:tcPr>
          <w:p>
            <w:pPr>
              <w:spacing w:after="0"/>
            </w:pPr>
            <w:r>
              <w:rPr>
                <w:sz w:val="16"/>
              </w:rPr>
              <w:t>Apr 2029</w:t>
            </w:r>
          </w:p>
        </w:tc>
      </w:tr>
      <w:tr>
        <w:tc>
          <w:tcPr>
            <w:tcW w:type="dxa" w:w="2340"/>
            <w:vAlign w:val="center"/>
            <w:shd w:fill="F6F8FA"/>
            <w:tcMar>
              <w:top w:w="90" w:type="dxa"/>
              <w:left w:w="90" w:type="dxa"/>
              <w:bottom w:w="90" w:type="dxa"/>
              <w:right w:w="90" w:type="dxa"/>
            </w:tcMar>
          </w:tcPr>
          <w:p>
            <w:pPr>
              <w:spacing w:after="0"/>
            </w:pPr>
            <w:r>
              <w:rPr>
                <w:sz w:val="16"/>
              </w:rPr>
              <w:t>C</w:t>
            </w:r>
          </w:p>
        </w:tc>
        <w:tc>
          <w:tcPr>
            <w:tcW w:type="dxa" w:w="2340"/>
            <w:vAlign w:val="center"/>
            <w:shd w:fill="F6F8FA"/>
            <w:tcMar>
              <w:top w:w="90" w:type="dxa"/>
              <w:left w:w="90" w:type="dxa"/>
              <w:bottom w:w="90" w:type="dxa"/>
              <w:right w:w="90" w:type="dxa"/>
            </w:tcMar>
          </w:tcPr>
          <w:p>
            <w:pPr>
              <w:spacing w:after="0"/>
            </w:pPr>
            <w:r>
              <w:rPr>
                <w:sz w:val="16"/>
              </w:rPr>
              <w:t>CDR</w:t>
            </w:r>
          </w:p>
        </w:tc>
        <w:tc>
          <w:tcPr>
            <w:tcW w:type="dxa" w:w="2340"/>
            <w:vAlign w:val="center"/>
            <w:shd w:fill="F6F8FA"/>
            <w:tcMar>
              <w:top w:w="90" w:type="dxa"/>
              <w:left w:w="90" w:type="dxa"/>
              <w:bottom w:w="90" w:type="dxa"/>
              <w:right w:w="90" w:type="dxa"/>
            </w:tcMar>
          </w:tcPr>
          <w:p>
            <w:pPr>
              <w:spacing w:after="0"/>
            </w:pPr>
            <w:r>
              <w:rPr>
                <w:sz w:val="16"/>
              </w:rPr>
              <w:t>Critical Design Review</w:t>
            </w:r>
          </w:p>
        </w:tc>
        <w:tc>
          <w:tcPr>
            <w:tcW w:type="dxa" w:w="2340"/>
            <w:vAlign w:val="center"/>
            <w:shd w:fill="F6F8FA"/>
            <w:tcMar>
              <w:top w:w="90" w:type="dxa"/>
              <w:left w:w="90" w:type="dxa"/>
              <w:bottom w:w="90" w:type="dxa"/>
              <w:right w:w="90" w:type="dxa"/>
            </w:tcMar>
          </w:tcPr>
          <w:p>
            <w:pPr>
              <w:spacing w:after="0"/>
            </w:pPr>
            <w:r>
              <w:rPr>
                <w:sz w:val="16"/>
              </w:rPr>
              <w:t>Apr 2030</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MRR</w:t>
            </w:r>
          </w:p>
        </w:tc>
        <w:tc>
          <w:tcPr>
            <w:tcW w:type="dxa" w:w="2340"/>
            <w:vAlign w:val="center"/>
            <w:tcMar>
              <w:top w:w="90" w:type="dxa"/>
              <w:left w:w="90" w:type="dxa"/>
              <w:bottom w:w="90" w:type="dxa"/>
              <w:right w:w="90" w:type="dxa"/>
            </w:tcMar>
          </w:tcPr>
          <w:p>
            <w:pPr>
              <w:spacing w:after="0"/>
            </w:pPr>
            <w:r>
              <w:rPr>
                <w:sz w:val="16"/>
              </w:rPr>
              <w:t>Manufacturing Readiness Review</w:t>
            </w:r>
          </w:p>
        </w:tc>
        <w:tc>
          <w:tcPr>
            <w:tcW w:type="dxa" w:w="2340"/>
            <w:vAlign w:val="center"/>
            <w:tcMar>
              <w:top w:w="90" w:type="dxa"/>
              <w:left w:w="90" w:type="dxa"/>
              <w:bottom w:w="90" w:type="dxa"/>
              <w:right w:w="90" w:type="dxa"/>
            </w:tcMar>
          </w:tcPr>
          <w:p>
            <w:pPr>
              <w:spacing w:after="0"/>
            </w:pPr>
            <w:r>
              <w:rPr>
                <w:sz w:val="16"/>
              </w:rPr>
              <w:t>Jul 2030</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UV qualification</w:t>
            </w:r>
          </w:p>
        </w:tc>
        <w:tc>
          <w:tcPr>
            <w:tcW w:type="dxa" w:w="2340"/>
            <w:vAlign w:val="center"/>
            <w:shd w:fill="F6F8FA"/>
            <w:tcMar>
              <w:top w:w="90" w:type="dxa"/>
              <w:left w:w="90" w:type="dxa"/>
              <w:bottom w:w="90" w:type="dxa"/>
              <w:right w:w="90" w:type="dxa"/>
            </w:tcMar>
          </w:tcPr>
          <w:p>
            <w:pPr>
              <w:spacing w:after="0"/>
            </w:pPr>
            <w:r>
              <w:rPr>
                <w:sz w:val="16"/>
              </w:rPr>
              <w:t>Feb 2031</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FM-1 complete</w:t>
            </w:r>
          </w:p>
        </w:tc>
        <w:tc>
          <w:tcPr>
            <w:tcW w:type="dxa" w:w="2340"/>
            <w:vAlign w:val="center"/>
            <w:tcMar>
              <w:top w:w="90" w:type="dxa"/>
              <w:left w:w="90" w:type="dxa"/>
              <w:bottom w:w="90" w:type="dxa"/>
              <w:right w:w="90" w:type="dxa"/>
            </w:tcMar>
          </w:tcPr>
          <w:p>
            <w:pPr>
              <w:spacing w:after="0"/>
            </w:pPr>
            <w:r>
              <w:rPr>
                <w:sz w:val="16"/>
              </w:rPr>
              <w:t>Oct 2031</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FM-2 complete</w:t>
            </w:r>
          </w:p>
        </w:tc>
        <w:tc>
          <w:tcPr>
            <w:tcW w:type="dxa" w:w="2340"/>
            <w:vAlign w:val="center"/>
            <w:shd w:fill="F6F8FA"/>
            <w:tcMar>
              <w:top w:w="90" w:type="dxa"/>
              <w:left w:w="90" w:type="dxa"/>
              <w:bottom w:w="90" w:type="dxa"/>
              <w:right w:w="90" w:type="dxa"/>
            </w:tcMar>
          </w:tcPr>
          <w:p>
            <w:pPr>
              <w:spacing w:after="0"/>
            </w:pPr>
            <w:r>
              <w:rPr>
                <w:sz w:val="16"/>
              </w:rPr>
              <w:t>Jan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SIR</w:t>
            </w:r>
          </w:p>
        </w:tc>
        <w:tc>
          <w:tcPr>
            <w:tcW w:type="dxa" w:w="2340"/>
            <w:vAlign w:val="center"/>
            <w:tcMar>
              <w:top w:w="90" w:type="dxa"/>
              <w:left w:w="90" w:type="dxa"/>
              <w:bottom w:w="90" w:type="dxa"/>
              <w:right w:w="90" w:type="dxa"/>
            </w:tcMar>
          </w:tcPr>
          <w:p>
            <w:pPr>
              <w:spacing w:after="0"/>
            </w:pPr>
            <w:r>
              <w:rPr>
                <w:sz w:val="16"/>
              </w:rPr>
              <w:t>System Integration Review</w:t>
            </w:r>
          </w:p>
        </w:tc>
        <w:tc>
          <w:tcPr>
            <w:tcW w:type="dxa" w:w="2340"/>
            <w:vAlign w:val="center"/>
            <w:tcMar>
              <w:top w:w="90" w:type="dxa"/>
              <w:left w:w="90" w:type="dxa"/>
              <w:bottom w:w="90" w:type="dxa"/>
              <w:right w:w="90" w:type="dxa"/>
            </w:tcMar>
          </w:tcPr>
          <w:p>
            <w:pPr>
              <w:spacing w:after="0"/>
            </w:pPr>
            <w:r>
              <w:rPr>
                <w:sz w:val="16"/>
              </w:rPr>
              <w:t>Mar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AR</w:t>
            </w:r>
          </w:p>
        </w:tc>
        <w:tc>
          <w:tcPr>
            <w:tcW w:type="dxa" w:w="2340"/>
            <w:vAlign w:val="center"/>
            <w:shd w:fill="F6F8FA"/>
            <w:tcMar>
              <w:top w:w="90" w:type="dxa"/>
              <w:left w:w="90" w:type="dxa"/>
              <w:bottom w:w="90" w:type="dxa"/>
              <w:right w:w="90" w:type="dxa"/>
            </w:tcMar>
          </w:tcPr>
          <w:p>
            <w:pPr>
              <w:spacing w:after="0"/>
            </w:pPr>
            <w:r>
              <w:rPr>
                <w:sz w:val="16"/>
              </w:rPr>
              <w:t>Acceptance</w:t>
            </w:r>
          </w:p>
        </w:tc>
        <w:tc>
          <w:tcPr>
            <w:tcW w:type="dxa" w:w="2340"/>
            <w:vAlign w:val="center"/>
            <w:shd w:fill="F6F8FA"/>
            <w:tcMar>
              <w:top w:w="90" w:type="dxa"/>
              <w:left w:w="90" w:type="dxa"/>
              <w:bottom w:w="90" w:type="dxa"/>
              <w:right w:w="90" w:type="dxa"/>
            </w:tcMar>
          </w:tcPr>
          <w:p>
            <w:pPr>
              <w:spacing w:after="0"/>
            </w:pPr>
            <w:r>
              <w:rPr>
                <w:sz w:val="16"/>
              </w:rPr>
              <w:t>Jul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LRR</w:t>
            </w:r>
          </w:p>
        </w:tc>
        <w:tc>
          <w:tcPr>
            <w:tcW w:type="dxa" w:w="2340"/>
            <w:vAlign w:val="center"/>
            <w:tcMar>
              <w:top w:w="90" w:type="dxa"/>
              <w:left w:w="90" w:type="dxa"/>
              <w:bottom w:w="90" w:type="dxa"/>
              <w:right w:w="90" w:type="dxa"/>
            </w:tcMar>
          </w:tcPr>
          <w:p>
            <w:pPr>
              <w:spacing w:after="0"/>
            </w:pPr>
            <w:r>
              <w:rPr>
                <w:sz w:val="16"/>
              </w:rPr>
              <w:t>Launch / Delivery Readiness Review</w:t>
            </w:r>
          </w:p>
        </w:tc>
        <w:tc>
          <w:tcPr>
            <w:tcW w:type="dxa" w:w="2340"/>
            <w:vAlign w:val="center"/>
            <w:tcMar>
              <w:top w:w="90" w:type="dxa"/>
              <w:left w:w="90" w:type="dxa"/>
              <w:bottom w:w="90" w:type="dxa"/>
              <w:right w:w="90" w:type="dxa"/>
            </w:tcMar>
          </w:tcPr>
          <w:p>
            <w:pPr>
              <w:spacing w:after="0"/>
            </w:pPr>
            <w:r>
              <w:rPr>
                <w:sz w:val="16"/>
              </w:rPr>
              <w:t>Oct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L</w:t>
            </w:r>
          </w:p>
        </w:tc>
        <w:tc>
          <w:tcPr>
            <w:tcW w:type="dxa" w:w="2340"/>
            <w:vAlign w:val="center"/>
            <w:shd w:fill="F6F8FA"/>
            <w:tcMar>
              <w:top w:w="90" w:type="dxa"/>
              <w:left w:w="90" w:type="dxa"/>
              <w:bottom w:w="90" w:type="dxa"/>
              <w:right w:w="90" w:type="dxa"/>
            </w:tcMar>
          </w:tcPr>
          <w:p>
            <w:pPr>
              <w:spacing w:after="0"/>
            </w:pPr>
            <w:r>
              <w:rPr>
                <w:sz w:val="16"/>
              </w:rPr>
              <w:t>Launch</w:t>
            </w:r>
          </w:p>
        </w:tc>
        <w:tc>
          <w:tcPr>
            <w:tcW w:type="dxa" w:w="2340"/>
            <w:vAlign w:val="center"/>
            <w:shd w:fill="F6F8FA"/>
            <w:tcMar>
              <w:top w:w="90" w:type="dxa"/>
              <w:left w:w="90" w:type="dxa"/>
              <w:bottom w:w="90" w:type="dxa"/>
              <w:right w:w="90" w:type="dxa"/>
            </w:tcMar>
          </w:tcPr>
          <w:p>
            <w:pPr>
              <w:spacing w:after="0"/>
            </w:pPr>
            <w:r>
              <w:rPr>
                <w:sz w:val="16"/>
              </w:rPr>
              <w:t>Dec 2032</w:t>
            </w:r>
          </w:p>
        </w:tc>
      </w:tr>
      <w:tr>
        <w:tc>
          <w:tcPr>
            <w:tcW w:type="dxa" w:w="2340"/>
            <w:vAlign w:val="center"/>
            <w:tcMar>
              <w:top w:w="90" w:type="dxa"/>
              <w:left w:w="90" w:type="dxa"/>
              <w:bottom w:w="90" w:type="dxa"/>
              <w:right w:w="90" w:type="dxa"/>
            </w:tcMar>
          </w:tcPr>
          <w:p>
            <w:pPr>
              <w:spacing w:after="0"/>
            </w:pPr>
            <w:r>
              <w:rPr>
                <w:sz w:val="16"/>
              </w:rPr>
              <w:t>E</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Commissioning</w:t>
            </w:r>
          </w:p>
        </w:tc>
        <w:tc>
          <w:tcPr>
            <w:tcW w:type="dxa" w:w="2340"/>
            <w:vAlign w:val="center"/>
            <w:tcMar>
              <w:top w:w="90" w:type="dxa"/>
              <w:left w:w="90" w:type="dxa"/>
              <w:bottom w:w="90" w:type="dxa"/>
              <w:right w:w="90" w:type="dxa"/>
            </w:tcMar>
          </w:tcPr>
          <w:p>
            <w:pPr>
              <w:spacing w:after="0"/>
            </w:pPr>
            <w:r>
              <w:rPr>
                <w:sz w:val="16"/>
              </w:rPr>
              <w:t>Mar 2033</w:t>
            </w:r>
          </w:p>
        </w:tc>
      </w:tr>
      <w:tr>
        <w:tc>
          <w:tcPr>
            <w:tcW w:type="dxa" w:w="2340"/>
            <w:vAlign w:val="center"/>
            <w:shd w:fill="F6F8FA"/>
            <w:tcMar>
              <w:top w:w="90" w:type="dxa"/>
              <w:left w:w="90" w:type="dxa"/>
              <w:bottom w:w="90" w:type="dxa"/>
              <w:right w:w="90" w:type="dxa"/>
            </w:tcMar>
          </w:tcPr>
          <w:p>
            <w:pPr>
              <w:spacing w:after="0"/>
            </w:pPr>
            <w:r>
              <w:rPr>
                <w:sz w:val="16"/>
              </w:rPr>
              <w:t>E</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Nominal end</w:t>
            </w:r>
          </w:p>
        </w:tc>
        <w:tc>
          <w:tcPr>
            <w:tcW w:type="dxa" w:w="2340"/>
            <w:vAlign w:val="center"/>
            <w:shd w:fill="F6F8FA"/>
            <w:tcMar>
              <w:top w:w="90" w:type="dxa"/>
              <w:left w:w="90" w:type="dxa"/>
              <w:bottom w:w="90" w:type="dxa"/>
              <w:right w:w="90" w:type="dxa"/>
            </w:tcMar>
          </w:tcPr>
          <w:p>
            <w:pPr>
              <w:spacing w:after="0"/>
            </w:pPr>
            <w:r>
              <w:rPr>
                <w:sz w:val="16"/>
              </w:rPr>
              <w:t>Mar 2036</w:t>
            </w:r>
          </w:p>
        </w:tc>
      </w:tr>
    </w:tbl>
    <w:p>
      <w:pPr>
        <w:pStyle w:val="Heading2"/>
      </w:pPr>
      <w:r>
        <w:t>Safety and Mission Assurance</w:t>
      </w:r>
    </w:p>
    <w:p>
      <w:pPr/>
      <w:r>
        <w:t>The project applies controlled requirements, hazard analysis, independent quality oversight, parts and materials screening, nonconformance disposition, serialized configuration and documented readiness reviews. Hazards include stored energy, fluid containment, high voltage, radiation, moving mechanisms, thermal surfaces and potential loss of user service as applicable.</w:t>
      </w:r>
    </w:p>
    <w:p>
      <w:pPr/>
      <w:r>
        <w:t>For Orastra Auroral Dynamics Observatory, the initial risk concentration is Dayglow contamination, FUV detector gain drift, paired-orbit phasing, radiation exposure in polar passes and viewing-geometry-dependent coverage. Safety-related controls receive independent verification; mission success and medical or food-use claims require separate acceptance evidence.</w:t>
      </w:r>
    </w:p>
    <w:p>
      <w:pPr>
        <w:pStyle w:val="Heading2"/>
      </w:pPr>
      <w:r>
        <w:t>Prototyping Model Philosophy Qualification and Verification Strategy</w:t>
      </w:r>
    </w:p>
    <w:p>
      <w:pPr/>
      <w:r>
        <w:t>The reference model philosophy comprises an electrical integration article, engineering or breadboard articles for novel functions, a structural/thermal qualification article and 2 flight or delivered unit(s). Every unit receives end-to-end functional, environmental workmanship, communications, safety and calibration testing. Qualification of a representative article does not waive acceptance of later units.</w:t>
      </w:r>
    </w:p>
    <w:p>
      <w:pPr/>
      <w:r>
        <w:t>Verification records state the exact serial number, software version, procedures, environmental settings, anomalies and concessions. The commissioning review compares as-delivered performance to the reference allocation before operations begin.</w:t>
      </w:r>
    </w:p>
    <w:p>
      <w:pPr>
        <w:pStyle w:val="Heading2"/>
      </w:pPr>
      <w:r>
        <w:t>Sparing Strategy</w:t>
      </w:r>
    </w:p>
    <w:p>
      <w:pPr>
        <w:pStyle w:val="BodyText"/>
      </w:pPr>
      <w:r>
        <w:t>Flight spares are allocated for critical, long lead and failure-prone units. A maintained engineering article and ground support equipment support anomaly reproduction and software validation. The final spare quantities and holding costs belong in Part B.</w:t>
      </w:r>
    </w:p>
    <w:p>
      <w:pPr>
        <w:pStyle w:val="Heading2"/>
      </w:pPr>
      <w:r>
        <w:t>Risk Assessment</w:t>
      </w:r>
    </w:p>
    <w:p>
      <w:pPr/>
      <w:r>
        <w:t>The Part C risk register controls risk probability, cost and schedule exposure. Principal threats: Dayglow contamination, FUV detector gain drift, paired-orbit phasing, radiation exposure in polar passes and viewing-geometry-dependent coverage. Each has an owner, trigger, planned mitigation and residual exposure. Design reserves on mass, power, data and propellant or consumables are reported separately from financial contingency.</w:t>
      </w:r>
    </w:p>
    <w:p>
      <w:pPr>
        <w:pStyle w:val="Heading2"/>
      </w:pPr>
      <w:r>
        <w:t>Organizational Breakdown Structure</w:t>
      </w:r>
    </w:p>
    <w:p>
      <w:pPr>
        <w:pStyle w:val="Heading3"/>
      </w:pPr>
      <w:r>
        <w:t>Space Agencies and Government Organizations</w:t>
      </w:r>
    </w:p>
    <w:p>
      <w:pPr>
        <w:pStyle w:val="Caption"/>
      </w:pPr>
      <w:r>
        <w:t>Table 6 – Mission Organizations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Jurisdiction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Iverune Polar Science Office</w:t>
            </w:r>
          </w:p>
        </w:tc>
        <w:tc>
          <w:tcPr>
            <w:tcW w:type="dxa" w:w="3120"/>
            <w:vAlign w:val="center"/>
            <w:tcMar>
              <w:top w:w="90" w:type="dxa"/>
              <w:left w:w="90" w:type="dxa"/>
              <w:bottom w:w="90" w:type="dxa"/>
              <w:right w:w="90" w:type="dxa"/>
            </w:tcMar>
          </w:tcPr>
          <w:p>
            <w:pPr>
              <w:spacing w:after="0"/>
            </w:pPr>
            <w:r>
              <w:rPr>
                <w:sz w:val="16"/>
              </w:rPr>
              <w:t>Mission jurisdiction</w:t>
            </w:r>
          </w:p>
        </w:tc>
        <w:tc>
          <w:tcPr>
            <w:tcW w:type="dxa" w:w="3120"/>
            <w:vAlign w:val="center"/>
            <w:tcMar>
              <w:top w:w="90" w:type="dxa"/>
              <w:left w:w="90" w:type="dxa"/>
              <w:bottom w:w="90" w:type="dxa"/>
              <w:right w:w="90" w:type="dxa"/>
            </w:tcMar>
          </w:tcPr>
          <w:p>
            <w:pPr>
              <w:spacing w:after="0"/>
            </w:pPr>
            <w:r>
              <w:rPr>
                <w:sz w:val="16"/>
              </w:rPr>
              <w:t>mission authority, procurement, project assurance and acceptance.</w:t>
            </w:r>
          </w:p>
        </w:tc>
      </w:tr>
    </w:tbl>
    <w:p>
      <w:pPr>
        <w:pStyle w:val="Heading3"/>
      </w:pPr>
      <w:r>
        <w:t>Industrial Partners</w:t>
      </w:r>
    </w:p>
    <w:p>
      <w:pPr>
        <w:pStyle w:val="Caption"/>
      </w:pPr>
      <w:r>
        <w:t>Table 7 – Industrial Partners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Nerovian Satellite Works</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integrated unit design, manufacture and system verification.</w:t>
            </w:r>
          </w:p>
        </w:tc>
      </w:tr>
      <w:tr>
        <w:tc>
          <w:tcPr>
            <w:tcW w:type="dxa" w:w="3120"/>
            <w:vAlign w:val="center"/>
            <w:shd w:fill="F6F8FA"/>
            <w:tcMar>
              <w:top w:w="90" w:type="dxa"/>
              <w:left w:w="90" w:type="dxa"/>
              <w:bottom w:w="90" w:type="dxa"/>
              <w:right w:w="90" w:type="dxa"/>
            </w:tcMar>
          </w:tcPr>
          <w:p>
            <w:pPr>
              <w:spacing w:after="0"/>
            </w:pPr>
            <w:r>
              <w:rPr>
                <w:sz w:val="16"/>
              </w:rPr>
              <w:t>Kelvori Optical Instruments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payload/process equipment and acceptance calibration.</w:t>
            </w:r>
          </w:p>
        </w:tc>
      </w:tr>
      <w:tr>
        <w:tc>
          <w:tcPr>
            <w:tcW w:type="dxa" w:w="3120"/>
            <w:vAlign w:val="center"/>
            <w:tcMar>
              <w:top w:w="90" w:type="dxa"/>
              <w:left w:w="90" w:type="dxa"/>
              <w:bottom w:w="90" w:type="dxa"/>
              <w:right w:w="90" w:type="dxa"/>
            </w:tcMar>
          </w:tcPr>
          <w:p>
            <w:pPr>
              <w:spacing w:after="0"/>
            </w:pPr>
            <w:r>
              <w:rPr>
                <w:sz w:val="16"/>
              </w:rPr>
              <w:t>Orivane Launch Cooperative</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delivery, campaign operations and associated interfaces.</w:t>
            </w:r>
          </w:p>
        </w:tc>
      </w:tr>
      <w:tr>
        <w:tc>
          <w:tcPr>
            <w:tcW w:type="dxa" w:w="3120"/>
            <w:vAlign w:val="center"/>
            <w:shd w:fill="F6F8FA"/>
            <w:tcMar>
              <w:top w:w="90" w:type="dxa"/>
              <w:left w:w="90" w:type="dxa"/>
              <w:bottom w:w="90" w:type="dxa"/>
              <w:right w:w="90" w:type="dxa"/>
            </w:tcMar>
          </w:tcPr>
          <w:p>
            <w:pPr>
              <w:spacing w:after="0"/>
            </w:pPr>
            <w:r>
              <w:rPr>
                <w:sz w:val="16"/>
              </w:rPr>
              <w:t>Darellis Polar Ground Services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ground network, receiving interfaces and operations support.</w:t>
            </w:r>
          </w:p>
        </w:tc>
      </w:tr>
    </w:tbl>
    <w:p>
      <w:pPr>
        <w:pStyle w:val="Heading3"/>
      </w:pPr>
      <w:r>
        <w:t>Participating Academic Institutions</w:t>
      </w:r>
    </w:p>
    <w:p>
      <w:pPr>
        <w:pStyle w:val="Caption"/>
      </w:pPr>
      <w:r>
        <w:t>Table 8 – Research Institutions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Institution</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contribution</w:t>
            </w:r>
          </w:p>
        </w:tc>
      </w:tr>
      <w:tr>
        <w:tc>
          <w:tcPr>
            <w:tcW w:type="dxa" w:w="3120"/>
            <w:vAlign w:val="center"/>
            <w:tcMar>
              <w:top w:w="90" w:type="dxa"/>
              <w:left w:w="90" w:type="dxa"/>
              <w:bottom w:w="90" w:type="dxa"/>
              <w:right w:w="90" w:type="dxa"/>
            </w:tcMar>
          </w:tcPr>
          <w:p>
            <w:pPr>
              <w:spacing w:after="0"/>
            </w:pPr>
            <w:r>
              <w:rPr>
                <w:sz w:val="16"/>
              </w:rPr>
              <w:t>Yalveran Geospace Institute</w:t>
            </w:r>
          </w:p>
        </w:tc>
        <w:tc>
          <w:tcPr>
            <w:tcW w:type="dxa" w:w="3120"/>
            <w:vAlign w:val="center"/>
            <w:tcMar>
              <w:top w:w="90" w:type="dxa"/>
              <w:left w:w="90" w:type="dxa"/>
              <w:bottom w:w="90" w:type="dxa"/>
              <w:right w:w="90" w:type="dxa"/>
            </w:tcMar>
          </w:tcPr>
          <w:p>
            <w:pPr>
              <w:spacing w:after="0"/>
            </w:pPr>
            <w:r>
              <w:rPr>
                <w:sz w:val="16"/>
              </w:rPr>
              <w:t>Science consortium</w:t>
            </w:r>
          </w:p>
        </w:tc>
        <w:tc>
          <w:tcPr>
            <w:tcW w:type="dxa" w:w="3120"/>
            <w:vAlign w:val="center"/>
            <w:tcMar>
              <w:top w:w="90" w:type="dxa"/>
              <w:left w:w="90" w:type="dxa"/>
              <w:bottom w:w="90" w:type="dxa"/>
              <w:right w:w="90" w:type="dxa"/>
            </w:tcMar>
          </w:tcPr>
          <w:p>
            <w:pPr>
              <w:spacing w:after="0"/>
            </w:pPr>
            <w:r>
              <w:rPr>
                <w:sz w:val="16"/>
              </w:rPr>
              <w:t>science or user requirements, calibration, data validation and exploitation.</w:t>
            </w:r>
          </w:p>
        </w:tc>
      </w:tr>
    </w:tbl>
    <w:p>
      <w:pPr>
        <w:pStyle w:val="Heading3"/>
      </w:pPr>
      <w:r>
        <w:t>Scientific Leadership (Principal Investigator)</w:t>
      </w:r>
    </w:p>
    <w:p>
      <w:pPr>
        <w:pStyle w:val="Caption"/>
      </w:pPr>
      <w:r>
        <w:t>Table 9 – Scientific Leadership</w:t>
      </w:r>
    </w:p>
    <w:tbl>
      <w:tblPr>
        <w:tblStyle w:val="TableGrid"/>
        <w:tblW w:type="auto" w:w="0"/>
        <w:jc w:val="center"/>
        <w:tblLayout w:type="fixed"/>
        <w:tblLook w:firstColumn="1" w:firstRow="1" w:lastColumn="0" w:lastRow="0" w:noHBand="0" w:noVBand="1" w:val="04A0"/>
      </w:tblPr>
      <w:tblGrid>
        <w:gridCol w:w="2880"/>
        <w:gridCol w:w="2016"/>
        <w:gridCol w:w="4320"/>
      </w:tblGrid>
      <w:tr>
        <w:trPr>
          <w:tblHeader w:val="true"/>
        </w:trPr>
        <w:tc>
          <w:tcPr>
            <w:tcW w:type="dxa" w:w="3120"/>
            <w:vAlign w:val="center"/>
            <w:shd w:fill="DDE6EF"/>
            <w:tcMar>
              <w:top w:w="90" w:type="dxa"/>
              <w:left w:w="90" w:type="dxa"/>
              <w:bottom w:w="90" w:type="dxa"/>
              <w:right w:w="90" w:type="dxa"/>
            </w:tcMar>
          </w:tcPr>
          <w:p>
            <w:pPr>
              <w:spacing w:after="0"/>
            </w:pPr>
            <w:r>
              <w:rPr>
                <w:b/>
                <w:sz w:val="16"/>
              </w:rPr>
              <w:t>Position</w:t>
            </w:r>
          </w:p>
        </w:tc>
        <w:tc>
          <w:tcPr>
            <w:tcW w:type="dxa" w:w="3120"/>
            <w:vAlign w:val="center"/>
            <w:shd w:fill="DDE6EF"/>
            <w:tcMar>
              <w:top w:w="90" w:type="dxa"/>
              <w:left w:w="90" w:type="dxa"/>
              <w:bottom w:w="90" w:type="dxa"/>
              <w:right w:w="90" w:type="dxa"/>
            </w:tcMar>
          </w:tcPr>
          <w:p>
            <w:pPr>
              <w:spacing w:after="0"/>
            </w:pPr>
            <w:r>
              <w:rPr>
                <w:b/>
                <w:sz w:val="16"/>
              </w:rPr>
              <w:t>Assigned individual</w:t>
            </w:r>
          </w:p>
        </w:tc>
        <w:tc>
          <w:tcPr>
            <w:tcW w:type="dxa" w:w="3120"/>
            <w:vAlign w:val="center"/>
            <w:shd w:fill="DDE6EF"/>
            <w:tcMar>
              <w:top w:w="90" w:type="dxa"/>
              <w:left w:w="90" w:type="dxa"/>
              <w:bottom w:w="90" w:type="dxa"/>
              <w:right w:w="90" w:type="dxa"/>
            </w:tcMar>
          </w:tcPr>
          <w:p>
            <w:pPr>
              <w:spacing w:after="0"/>
            </w:pPr>
            <w:r>
              <w:rPr>
                <w:b/>
                <w:sz w:val="16"/>
              </w:rPr>
              <w:t>Affiliation</w:t>
            </w:r>
          </w:p>
        </w:tc>
      </w:tr>
      <w:tr>
        <w:tc>
          <w:tcPr>
            <w:tcW w:type="dxa" w:w="3120"/>
            <w:vAlign w:val="center"/>
            <w:tcMar>
              <w:top w:w="90" w:type="dxa"/>
              <w:left w:w="90" w:type="dxa"/>
              <w:bottom w:w="90" w:type="dxa"/>
              <w:right w:w="90" w:type="dxa"/>
            </w:tcMar>
          </w:tcPr>
          <w:p>
            <w:pPr>
              <w:spacing w:after="0"/>
            </w:pPr>
            <w:r>
              <w:rPr>
                <w:sz w:val="16"/>
              </w:rPr>
              <w:t>Principal investigator</w:t>
            </w:r>
          </w:p>
        </w:tc>
        <w:tc>
          <w:tcPr>
            <w:tcW w:type="dxa" w:w="3120"/>
            <w:vAlign w:val="center"/>
            <w:tcMar>
              <w:top w:w="90" w:type="dxa"/>
              <w:left w:w="90" w:type="dxa"/>
              <w:bottom w:w="90" w:type="dxa"/>
              <w:right w:w="90" w:type="dxa"/>
            </w:tcMar>
          </w:tcPr>
          <w:p>
            <w:pPr>
              <w:spacing w:after="0"/>
            </w:pPr>
            <w:r>
              <w:rPr>
                <w:sz w:val="16"/>
              </w:rPr>
              <w:t>Tavren Elovar</w:t>
            </w:r>
          </w:p>
        </w:tc>
        <w:tc>
          <w:tcPr>
            <w:tcW w:type="dxa" w:w="3120"/>
            <w:vAlign w:val="center"/>
            <w:tcMar>
              <w:top w:w="90" w:type="dxa"/>
              <w:left w:w="90" w:type="dxa"/>
              <w:bottom w:w="90" w:type="dxa"/>
              <w:right w:w="90" w:type="dxa"/>
            </w:tcMar>
          </w:tcPr>
          <w:p>
            <w:pPr>
              <w:spacing w:after="0"/>
            </w:pPr>
            <w:r>
              <w:rPr>
                <w:sz w:val="16"/>
              </w:rPr>
              <w:t>Yalveran Geospace Institute</w:t>
            </w:r>
          </w:p>
        </w:tc>
      </w:tr>
      <w:tr>
        <w:tc>
          <w:tcPr>
            <w:tcW w:type="dxa" w:w="3120"/>
            <w:vAlign w:val="center"/>
            <w:shd w:fill="F6F8FA"/>
            <w:tcMar>
              <w:top w:w="90" w:type="dxa"/>
              <w:left w:w="90" w:type="dxa"/>
              <w:bottom w:w="90" w:type="dxa"/>
              <w:right w:w="90" w:type="dxa"/>
            </w:tcMar>
          </w:tcPr>
          <w:p>
            <w:pPr>
              <w:spacing w:after="0"/>
            </w:pPr>
            <w:r>
              <w:rPr>
                <w:sz w:val="16"/>
              </w:rPr>
              <w:t>Instrument scientist</w:t>
            </w:r>
          </w:p>
        </w:tc>
        <w:tc>
          <w:tcPr>
            <w:tcW w:type="dxa" w:w="3120"/>
            <w:vAlign w:val="center"/>
            <w:shd w:fill="F6F8FA"/>
            <w:tcMar>
              <w:top w:w="90" w:type="dxa"/>
              <w:left w:w="90" w:type="dxa"/>
              <w:bottom w:w="90" w:type="dxa"/>
              <w:right w:w="90" w:type="dxa"/>
            </w:tcMar>
          </w:tcPr>
          <w:p>
            <w:pPr>
              <w:spacing w:after="0"/>
            </w:pPr>
            <w:r>
              <w:rPr>
                <w:sz w:val="16"/>
              </w:rPr>
              <w:t>Mirev Solanar</w:t>
            </w:r>
          </w:p>
        </w:tc>
        <w:tc>
          <w:tcPr>
            <w:tcW w:type="dxa" w:w="3120"/>
            <w:vAlign w:val="center"/>
            <w:shd w:fill="F6F8FA"/>
            <w:tcMar>
              <w:top w:w="90" w:type="dxa"/>
              <w:left w:w="90" w:type="dxa"/>
              <w:bottom w:w="90" w:type="dxa"/>
              <w:right w:w="90" w:type="dxa"/>
            </w:tcMar>
          </w:tcPr>
          <w:p>
            <w:pPr>
              <w:spacing w:after="0"/>
            </w:pPr>
            <w:r>
              <w:rPr>
                <w:sz w:val="16"/>
              </w:rPr>
              <w:t>Kelvori Optical Instruments</w:t>
            </w:r>
          </w:p>
        </w:tc>
      </w:tr>
    </w:tbl>
    <w:sectPr w:rsidR="007E7DA8" w:rsidRPr="00D26B54" w:rsidSect="00E81DCD">
      <w:footerReference w:type="default" r:id="rId16"/>
      <w:headerReference w:type="default" r:id="rId19"/>
      <w:footnotePr>
        <w:numRestart w:val="eachPage"/>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3DAF" w14:textId="77777777" w:rsidR="00AD7A76" w:rsidRDefault="00AD7A76">
      <w:r>
        <w:separator/>
      </w:r>
    </w:p>
  </w:endnote>
  <w:endnote w:type="continuationSeparator" w:id="0">
    <w:p w14:paraId="58087F25" w14:textId="77777777" w:rsidR="00AD7A76" w:rsidRDefault="00AD7A76">
      <w:r>
        <w:continuationSeparator/>
      </w:r>
    </w:p>
  </w:endnote>
  <w:endnote w:type="continuationNotice" w:id="1">
    <w:p w14:paraId="51F0BB4B" w14:textId="77777777" w:rsidR="00AD7A76" w:rsidRDefault="00AD7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514E8B72" w:rsidR="00B02A74" w:rsidRDefault="00B02A74">
    <w:pPr>
      <w:pStyle w:val="Footer"/>
      <w:pBdr>
        <w:top w:val="single" w:sz="6" w:space="1" w:color="auto"/>
      </w:pBdr>
      <w:tabs>
        <w:tab w:val="clear" w:pos="4320"/>
        <w:tab w:val="clear" w:pos="8640"/>
        <w:tab w:val="center" w:pos="4680"/>
        <w:tab w:val="right" w:pos="9360"/>
      </w:tabs>
      <w:jc w:val="right"/>
    </w:pPr>
    <w:r>
      <w:t>CADRe Part A  •  OADO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B7A3" w14:textId="77777777" w:rsidR="00AD7A76" w:rsidRDefault="00AD7A76">
      <w:r>
        <w:separator/>
      </w:r>
    </w:p>
  </w:footnote>
  <w:footnote w:type="continuationSeparator" w:id="0">
    <w:p w14:paraId="36B43A57" w14:textId="77777777" w:rsidR="00AD7A76" w:rsidRDefault="00AD7A76">
      <w:r>
        <w:continuationSeparator/>
      </w:r>
    </w:p>
  </w:footnote>
  <w:footnote w:type="continuationNotice" w:id="1">
    <w:p w14:paraId="12267820" w14:textId="77777777" w:rsidR="00AD7A76" w:rsidRDefault="00AD7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0397D9C4"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6450EB">
        <w:t>CSA-FIN-RD-0765</w:t>
      </w:r>
    </w:fldSimple>
    <w:r w:rsidR="008F5539">
      <w:tab/>
    </w:r>
    <w:r w:rsidR="008F5539">
      <w:tab/>
    </w:r>
    <w:fldSimple w:instr="COMMENTS  \* MERGEFORMAT">
      <w:r w:rsidR="006450EB">
        <w:t>Draft 1.0</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89A5B10"/>
    <w:multiLevelType w:val="multilevel"/>
    <w:tmpl w:val="1F44DD9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901F16"/>
    <w:multiLevelType w:val="multilevel"/>
    <w:tmpl w:val="68B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2"/>
  </w:num>
  <w:num w:numId="12" w16cid:durableId="1050106139">
    <w:abstractNumId w:val="19"/>
  </w:num>
  <w:num w:numId="13" w16cid:durableId="1552573594">
    <w:abstractNumId w:val="16"/>
  </w:num>
  <w:num w:numId="14" w16cid:durableId="1153527647">
    <w:abstractNumId w:val="10"/>
  </w:num>
  <w:num w:numId="15" w16cid:durableId="576473743">
    <w:abstractNumId w:val="21"/>
  </w:num>
  <w:num w:numId="16" w16cid:durableId="2094088368">
    <w:abstractNumId w:val="13"/>
  </w:num>
  <w:num w:numId="17" w16cid:durableId="367222494">
    <w:abstractNumId w:val="11"/>
  </w:num>
  <w:num w:numId="18" w16cid:durableId="46613096">
    <w:abstractNumId w:val="20"/>
  </w:num>
  <w:num w:numId="19" w16cid:durableId="2104379051">
    <w:abstractNumId w:val="18"/>
  </w:num>
  <w:num w:numId="20" w16cid:durableId="1876035712">
    <w:abstractNumId w:val="15"/>
  </w:num>
  <w:num w:numId="21" w16cid:durableId="1350908024">
    <w:abstractNumId w:val="14"/>
  </w:num>
  <w:num w:numId="22" w16cid:durableId="1063794209">
    <w:abstractNumId w:val="17"/>
  </w:num>
  <w:num w:numId="23" w16cid:durableId="44068667">
    <w:abstractNumId w:val="12"/>
  </w:num>
  <w:num w:numId="24" w16cid:durableId="1437679430">
    <w:abstractNumId w:val="12"/>
  </w:num>
  <w:num w:numId="25" w16cid:durableId="10353028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396"/>
    <w:rsid w:val="000A6EBB"/>
    <w:rsid w:val="000A741A"/>
    <w:rsid w:val="000A7F1B"/>
    <w:rsid w:val="000B0465"/>
    <w:rsid w:val="000B1D02"/>
    <w:rsid w:val="000B1F01"/>
    <w:rsid w:val="000B2C0B"/>
    <w:rsid w:val="000B316D"/>
    <w:rsid w:val="000B423C"/>
    <w:rsid w:val="000B424D"/>
    <w:rsid w:val="000B64AC"/>
    <w:rsid w:val="000B74AB"/>
    <w:rsid w:val="000C0D5F"/>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A7193"/>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50DE"/>
    <w:rsid w:val="001D6D48"/>
    <w:rsid w:val="001D7608"/>
    <w:rsid w:val="001D7E1C"/>
    <w:rsid w:val="001E170A"/>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434"/>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2BF"/>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4BC4"/>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50EB"/>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2243"/>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6851"/>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0D4"/>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2C9"/>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A2E"/>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592D"/>
    <w:rsid w:val="00A76D7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521B"/>
    <w:rsid w:val="00AC6A81"/>
    <w:rsid w:val="00AD0412"/>
    <w:rsid w:val="00AD1260"/>
    <w:rsid w:val="00AD2A32"/>
    <w:rsid w:val="00AD4F7A"/>
    <w:rsid w:val="00AD6D6D"/>
    <w:rsid w:val="00AD766D"/>
    <w:rsid w:val="00AD7A76"/>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66E1"/>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67482"/>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54"/>
    <w:rsid w:val="00D26CFE"/>
    <w:rsid w:val="00D27252"/>
    <w:rsid w:val="00D305E9"/>
    <w:rsid w:val="00D327F6"/>
    <w:rsid w:val="00D3407B"/>
    <w:rsid w:val="00D34A1D"/>
    <w:rsid w:val="00D356F8"/>
    <w:rsid w:val="00D35BE1"/>
    <w:rsid w:val="00D37F1E"/>
    <w:rsid w:val="00D415A8"/>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4B5B"/>
    <w:rsid w:val="00E250D4"/>
    <w:rsid w:val="00E25307"/>
    <w:rsid w:val="00E25EB3"/>
    <w:rsid w:val="00E260FD"/>
    <w:rsid w:val="00E304F0"/>
    <w:rsid w:val="00E309AB"/>
    <w:rsid w:val="00E31B41"/>
    <w:rsid w:val="00E31BEB"/>
    <w:rsid w:val="00E31EE3"/>
    <w:rsid w:val="00E32565"/>
    <w:rsid w:val="00E3574D"/>
    <w:rsid w:val="00E36C55"/>
    <w:rsid w:val="00E378C4"/>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1DCD"/>
    <w:rsid w:val="00E833EE"/>
    <w:rsid w:val="00E8778F"/>
    <w:rsid w:val="00E912B7"/>
    <w:rsid w:val="00E916F7"/>
    <w:rsid w:val="00E91F00"/>
    <w:rsid w:val="00EA1751"/>
    <w:rsid w:val="00EA1E31"/>
    <w:rsid w:val="00EA2B63"/>
    <w:rsid w:val="00EA343B"/>
    <w:rsid w:val="00EA578A"/>
    <w:rsid w:val="00EA5966"/>
    <w:rsid w:val="00EA714E"/>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961"/>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A7592D"/>
    <w:pPr>
      <w:keepNext/>
      <w:widowControl w:val="0"/>
      <w:numPr>
        <w:numId w:val="11"/>
      </w:numPr>
      <w:tabs>
        <w:tab w:val="left" w:pos="576"/>
      </w:tabs>
      <w:spacing w:before="240" w:after="60"/>
      <w:outlineLvl w:val="0"/>
    </w:pPr>
    <w:rPr>
      <w:rFonts w:cstheme="minorHAnsi"/>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4-Accent1">
    <w:name w:val="Grid Table 4 Accent 1"/>
    <w:basedOn w:val="TableNormal"/>
    <w:uiPriority w:val="49"/>
    <w:rsid w:val="001D50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header" Target="header4.xml"/><Relationship Id="rId20" Type="http://schemas.openxmlformats.org/officeDocument/2006/relationships/image" Target="media/image5.png"/><Relationship Id="rId2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Document_Template-CSA_Project-generic.dotx</Template>
  <TotalTime>8385</TotalTime>
  <Pages>20</Pages>
  <Words>4384</Words>
  <Characters>27664</Characters>
  <Application>Microsoft Office Word</Application>
  <DocSecurity>0</DocSecurity>
  <Lines>922</Lines>
  <Paragraphs>464</Paragraphs>
  <ScaleCrop>false</ScaleCrop>
  <HeadingPairs>
    <vt:vector size="2" baseType="variant">
      <vt:variant>
        <vt:lpstr>Title</vt:lpstr>
      </vt:variant>
      <vt:variant>
        <vt:i4>1</vt:i4>
      </vt:variant>
    </vt:vector>
  </HeadingPairs>
  <TitlesOfParts>
    <vt:vector size="1" baseType="lpstr">
      <vt:lpstr>CSA-FIN-RD-0765</vt:lpstr>
    </vt:vector>
  </TitlesOfParts>
  <Company>Canadian Space Agency</Company>
  <LinksUpToDate>false</LinksUpToDate>
  <CharactersWithSpaces>31584</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CSA-FIN-RD-0765</dc:title>
  <dc:subject>CADRe Part A</dc:subject>
  <dc:creator>Mireille Bedirian</dc:creator>
  <cp:keywords/>
  <dc:description>Draft 1.0</dc:description>
  <cp:lastModifiedBy>Bedirian, Mireille (ASC/CSA)</cp:lastModifiedBy>
  <cp:revision>88</cp:revision>
  <cp:lastPrinted>2001-05-10T16:44:00Z</cp:lastPrinted>
  <dcterms:created xsi:type="dcterms:W3CDTF">2026-05-30T14:57:00Z</dcterms:created>
  <dcterms:modified xsi:type="dcterms:W3CDTF">2026-09-17T18:05:00Z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