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TME</w:t>
      </w:r>
    </w:p>
    <w:p>
      <w:pPr>
        <w:pStyle w:val="DocTitle"/>
      </w:pPr>
      <w:r>
        <w:t>Mission Cost Analysis Directorate</w:t>
      </w:r>
    </w:p>
    <w:p>
      <w:pPr>
        <w:pStyle w:val="DocTitle"/>
      </w:pPr>
      <w:r>
        <w:t>Cost Analysis Data Requirements</w:t>
      </w:r>
    </w:p>
    <w:p>
      <w:pPr>
        <w:pStyle w:val="DocTitle"/>
      </w:pPr>
      <w:r>
        <w:t>PART A</w:t>
      </w:r>
    </w:p>
    <w:p>
      <w:pPr>
        <w:pStyle w:val="DocTitle"/>
      </w:pPr>
      <w:r>
        <w:t>Tavora Mesosphere Explorer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Tavora Mesosphere Explorer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two imaging spacecraft. Its operational environment is 520 ±15 km near-circular altitude; two orbital planes with target 45-minute local-time separation. The nominal duration is Three-year nominal operations; six-month commissioning; four-year spacecraft design life. The flight or installed unit is sized at 180 kg and uses 520 W power generation or host allocation as stated in the subsystem budget.</w:t>
      </w:r>
    </w:p>
    <w:p>
      <w:pPr/>
      <w:r>
        <w:t>The design carries ultraviolet limb spectrometer, thermal infrared limb radiometer and occultation timing receiver.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TME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Tavora Mesosphere Explorer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Retrieve daily ozone and water-vapour profiles at 2 km vertical sampling from 45–95 km altitude, with ≤10% relative precision where radiance exceeds sensitivity threshold.</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Three-year nominal operations; six-month commissioning; four-year spacecraft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Two imaging spacecraft; 2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520 ±15 km near-circular altitude; two orbital planes with target 45-minute local-time separation.</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Three-year nominal operations; six-month commissioning; four-year spacecraft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≤180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≤43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520 W at specified reference; nominal 310 W and peak 445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Retrieve daily ozone and water-vapour profiles at 2 km vertical sampling from 45–95 km altitude, with ≤10% relative precision where radiance exceeds sensitivity threshold.</w:t>
            </w:r>
          </w:p>
        </w:tc>
        <w:tc>
          <w:tcPr>
            <w:tcW w:type="dxa" w:w="3120"/>
            <w:vAlign w:val="center"/>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25 kg / 105 W; 250–340 nm; 0.5 nm spectral sampling; 2 km vertical bins over 45–95 km.</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12 kg / 85 W; 6.3–12 µm in 4 bands; 0.15 K noise-equivalent delta-T at 250 K reference scene.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6 kg / 22 W; dual-frequency occultation signal tracking at 1 Hz for profile registration and retrieval screening.</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Dual star trackers, four wheels, magnetic torquers and GNSS receiver; limb pointing error ≤0.05° and knowledge ≤0.01° at 95% confidence.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20 GB/day per spacecraft</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Neraval Atmospheric Directorate owns system requirements, procurement, risk and mission acceptance.</w:t>
      </w:r>
    </w:p>
    <w:p>
      <w:pPr>
        <w:pStyle w:val="BodyText"/>
      </w:pPr>
      <w:r>
        <w:t>Oryvex Orbital Manufacturing owns the integrated unit, interfaces and system-level verification.</w:t>
      </w:r>
    </w:p>
    <w:p>
      <w:pPr>
        <w:pStyle w:val="BodyText"/>
      </w:pPr>
      <w:r>
        <w:t>Selrith Optical Works delivers the measurement equipment and calibration evidence.</w:t>
      </w:r>
    </w:p>
    <w:p>
      <w:pPr>
        <w:pStyle w:val="BodyText"/>
      </w:pPr>
      <w:r>
        <w:t>Daverin Launch Collective delivers the unit to its destination and verifies interface conditions.</w:t>
      </w:r>
    </w:p>
    <w:p>
      <w:pPr>
        <w:pStyle w:val="BodyText"/>
      </w:pPr>
      <w:r>
        <w:t>Mirevan Receiving Services supplies receiving, networking and ground-service capacity.</w:t>
      </w:r>
    </w:p>
    <w:p>
      <w:pPr>
        <w:pStyle w:val="BodyText"/>
      </w:pPr>
      <w:r>
        <w:t>Istralen Atmospheric Institute produces, validates and archives the calibrated mission products.</w:t>
      </w:r>
    </w:p>
    <w:p>
      <w:pPr>
        <w:pStyle w:val="Heading1"/>
      </w:pPr>
      <w:r>
        <w:t>Space Segment Description</w:t>
      </w:r>
    </w:p>
    <w:p>
      <w:pPr/>
      <w:r>
        <w:t>The reference configuration is two imaging spacecraft. Its operational environment is 520 ±15 km near-circular altitude; two orbital planes with target 45-minute local-time separation. The nominal duration is Three-year nominal operations; six-month commissioning; four-year spacecraft design life. The flight or installed unit is sized at 180 kg and uses 520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520 ±15 km near-circular altitude; two orbital planes with target 45-minute local-time separation.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180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125 kg dry bus + 43 kg payload + 12 kg propellant = 180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43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520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310 W / 445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512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≥95 m/s per spacecraft; 12 kg monopropellant at 220 s yields ~149 m/s ideal at 180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Two contracted launches into separate planes; each carries one 180 kg spacecraft + 50 kg adaptor = 230 kg, with ≥275 kg capacity to the reference orbit</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Three-year nominal operations; six-month commissioning; four-year spacecraft design life.</w:t>
            </w:r>
          </w:p>
        </w:tc>
      </w:tr>
    </w:tbl>
    <w:p>
      <w:pPr>
        <w:pStyle w:val="Heading3"/>
      </w:pPr>
      <w:r>
        <w:t>Structural Subsystem</w:t>
      </w:r>
    </w:p>
    <w:p>
      <w:pPr/>
      <w:r>
        <w:t>The structural design is sized for 180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520 W generation or host provision, 310 W operating demand, 445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520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310 W nominal / 445 W peak</w:t>
            </w:r>
          </w:p>
        </w:tc>
      </w:tr>
    </w:tbl>
    <w:p>
      <w:pPr>
        <w:pStyle w:val="Heading3"/>
      </w:pPr>
      <w:r>
        <w:t>Command and Data Handling</w:t>
      </w:r>
    </w:p>
    <w:p>
      <w:pPr/>
      <w:r>
        <w:t>A redundant or monitored controller executes time-tagged operations, instrument interlocks, fault detection and protected storage. The local allocation is 512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512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20 GB/day per spacecraft planning case against memory capacity, contact availability and the required processing latency. Raw records are retained until integrity checks and ingest acknowledgement complete.</w:t>
      </w:r>
    </w:p>
    <w:p>
      <w:pPr>
        <w:pStyle w:val="Heading3"/>
      </w:pPr>
      <w:r>
        <w:t>Thermal Subsystem</w:t>
      </w:r>
    </w:p>
    <w:p>
      <w:pPr/>
      <w:r>
        <w:t>520 km eclipse and albedo hot/cold cases; payload bench 15–25 °C ±1 °C/orbit; radiator planning area 0.55 m².</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445 W peak electrical input, the nominal 310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Dual star trackers, four wheels, magnetic torquers and GNSS receiver; limb pointing error ≤0.05° and knowledge ≤0.01° at 95% confidence.</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12 kg monopropellant, 220 s Isp; ideal Δv ~149 m/s, leaving 54 m/s before unusable propellant and performance allowances.</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180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≥95 m/s per spacecraft; 12 kg monopropellant at 220 s yields ~149 m/s ideal at 180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12 kg monopropellant, 220 s Isp</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Two Sun-synchronous orbit planes; 45-minute local-time spacing verified by trajectory and launch analysis.</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≥95 m/s per spacecraft; 12 kg monopropellant at 220 s yields ~149 m/s ideal at 180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12 kg monopropellant, 220 s Isp; ideal Δv ~149 m/s, leaving 54 m/s before unusable propellant a</w:t>
            </w:r>
          </w:p>
        </w:tc>
      </w:tr>
    </w:tbl>
    <w:p>
      <w:pPr>
        <w:pStyle w:val="Heading3"/>
      </w:pPr>
      <w:r>
        <w:t>Telemetry, Tracking and Command</w:t>
      </w:r>
    </w:p>
    <w:p>
      <w:pPr/>
      <w:r>
        <w:t>Two 12-minute contacts/day at 150 Mb/s yield 27 GB gross; 20 GB/day requires 74% effective payload throughput.</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150 Mb/s X-band to ≥7 m ground antenna. The contact budget carries acquisition, engineering telemetry, protocol framing, retransmission and unavailable weather or host periods. The sizing check compares usable transferred bytes per contact with 20 GB/day per spacecraft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ultraviolet limb spectrometer, thermal infrared limb radiometer and occultation timing receiver. Each element has a separate delivered mass, operating load, mode list, failure assessment and calibration requirement.</w:t>
      </w:r>
    </w:p>
    <w:p>
      <w:pPr>
        <w:pStyle w:val="Heading3"/>
      </w:pPr>
      <w:r>
        <w:t>Ultraviolet limb spectrometer</w:t>
      </w:r>
    </w:p>
    <w:p>
      <w:pPr/>
      <w:r>
        <w:t>25 kg / 105 W; 250–340 nm; 0.5 nm spectral sampling; 2 km vertical bins over 45–95 km.</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Ultraviolet limb spectrometer</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25 kg / 105 W; 250–340 nm; 0.5 nm spectral sampling; 2 km vertical bins over 45–95 km.</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520 km eclipse and albedo hot/cold cases; payload bench 15–25 °C ±1 °C/orbit; radiator planning area 0.55 m².</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43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Thermal infrared limb radiometer</w:t>
      </w:r>
    </w:p>
    <w:p>
      <w:pPr/>
      <w:r>
        <w:t>12 kg / 85 W; 6.3–12 µm in 4 bands; 0.15 K noise-equivalent delta-T at 250 K reference scene.</w:t>
      </w:r>
    </w:p>
    <w:p>
      <w:pPr/>
      <w:r>
        <w:t>This measurement or process provides an independent check on the primary result. The ground model shall retain geometric, thermal and instrumental uncertainty, including changes caused by the spacecraft or host.</w:t>
      </w:r>
    </w:p>
    <w:p>
      <w:pPr/>
      <w:r>
        <w:t>For Tavora Mesosphere Explorer,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Thermal infrared limb radiometer</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12 kg / 85 W; 6.3–12 µm in 4 bands; 0.15 K noise-equivalent delta-T at 250 K reference scene.</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520 ±15 km near-circular altitude; two orbital planes with target 45-minute local-time separation.</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20 GB/day per spacecraft</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Ultraviolet limb spectrometer; Thermal infrared limb radiometer; Occultation timing receiver</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512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43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445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520 ±15 km near-circular altitude; two orbital planes with target 45-minute</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Occultation timing receiver</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520 km eclipse and albedo hot/cold cases; payload bench 15–25 °C ±1 °C/orbit; radiator planning area 0.55 m².</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Thermal infrared limb radiometer</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TME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Two contracted launches into separate planes; each carries one 180 kg spacecraft + 50 kg adaptor = 230 kg, with ≥275 kg capacity to the reference orbit</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Four 7 m-class receive sites; ≥100 GB/day ingest; 180 TB multi-version archive and processing.</w:t>
      </w:r>
    </w:p>
    <w:p>
      <w:pPr/>
      <w:r>
        <w:t>Two 12-minute contacts/day at 150 Mb/s yield 27 GB gross; 20 GB/day requires 74% effective payload throughput.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Four 7 m-class receive sites; ≥100 GB/day ingest; 180 TB multi-version archive and processing.</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20 GB/day per spacecraft; scheduled ground service availability ≥99%.</w:t>
            </w:r>
          </w:p>
        </w:tc>
      </w:tr>
    </w:tbl>
    <w:p>
      <w:pPr/>
      <w:r>
        <w:t>The daily return is 20 GB/day per spacecraft.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Four 7 m-class receive sites; ≥100 GB/day ingest; 180 TB multi-version archive and processing.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15 months; C 12 months; D1 16 months; D2 9 months; LEOP/commissioning 6 months; E 36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15</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36</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Apr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Feb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Apr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Apr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Jul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Instrument qualification</w:t>
            </w:r>
          </w:p>
        </w:tc>
        <w:tc>
          <w:tcPr>
            <w:tcW w:type="dxa" w:w="2340"/>
            <w:vAlign w:val="center"/>
            <w:shd w:fill="F6F8FA"/>
            <w:tcMar>
              <w:top w:w="90" w:type="dxa"/>
              <w:left w:w="90" w:type="dxa"/>
              <w:bottom w:w="90" w:type="dxa"/>
              <w:right w:w="90" w:type="dxa"/>
            </w:tcMar>
          </w:tcPr>
          <w:p>
            <w:pPr>
              <w:spacing w:after="0"/>
            </w:pPr>
            <w:r>
              <w:rPr>
                <w:sz w:val="16"/>
              </w:rPr>
              <w:t>Feb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FM-1 complete</w:t>
            </w:r>
          </w:p>
        </w:tc>
        <w:tc>
          <w:tcPr>
            <w:tcW w:type="dxa" w:w="2340"/>
            <w:vAlign w:val="center"/>
            <w:tcMar>
              <w:top w:w="90" w:type="dxa"/>
              <w:left w:w="90" w:type="dxa"/>
              <w:bottom w:w="90" w:type="dxa"/>
              <w:right w:w="90" w:type="dxa"/>
            </w:tcMar>
          </w:tcPr>
          <w:p>
            <w:pPr>
              <w:spacing w:after="0"/>
            </w:pPr>
            <w:r>
              <w:rPr>
                <w:sz w:val="16"/>
              </w:rPr>
              <w:t>Oct 2031</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FM-2 complete</w:t>
            </w:r>
          </w:p>
        </w:tc>
        <w:tc>
          <w:tcPr>
            <w:tcW w:type="dxa" w:w="2340"/>
            <w:vAlign w:val="center"/>
            <w:shd w:fill="F6F8FA"/>
            <w:tcMar>
              <w:top w:w="90" w:type="dxa"/>
              <w:left w:w="90" w:type="dxa"/>
              <w:bottom w:w="90" w:type="dxa"/>
              <w:right w:w="90" w:type="dxa"/>
            </w:tcMar>
          </w:tcPr>
          <w:p>
            <w:pPr>
              <w:spacing w:after="0"/>
            </w:pPr>
            <w:r>
              <w:rPr>
                <w:sz w:val="16"/>
              </w:rPr>
              <w:t>Jan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Mar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Jul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Oct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L1–L3</w:t>
            </w:r>
          </w:p>
        </w:tc>
        <w:tc>
          <w:tcPr>
            <w:tcW w:type="dxa" w:w="2340"/>
            <w:vAlign w:val="center"/>
            <w:shd w:fill="F6F8FA"/>
            <w:tcMar>
              <w:top w:w="90" w:type="dxa"/>
              <w:left w:w="90" w:type="dxa"/>
              <w:bottom w:w="90" w:type="dxa"/>
              <w:right w:w="90" w:type="dxa"/>
            </w:tcMar>
          </w:tcPr>
          <w:p>
            <w:pPr>
              <w:spacing w:after="0"/>
            </w:pPr>
            <w:r>
              <w:rPr>
                <w:sz w:val="16"/>
              </w:rPr>
              <w:t>Launch sequence</w:t>
            </w:r>
          </w:p>
        </w:tc>
        <w:tc>
          <w:tcPr>
            <w:tcW w:type="dxa" w:w="2340"/>
            <w:vAlign w:val="center"/>
            <w:shd w:fill="F6F8FA"/>
            <w:tcMar>
              <w:top w:w="90" w:type="dxa"/>
              <w:left w:w="90" w:type="dxa"/>
              <w:bottom w:w="90" w:type="dxa"/>
              <w:right w:w="90" w:type="dxa"/>
            </w:tcMar>
          </w:tcPr>
          <w:p>
            <w:pPr>
              <w:spacing w:after="0"/>
            </w:pPr>
            <w:r>
              <w:rPr>
                <w:sz w:val="16"/>
              </w:rPr>
              <w:t>Dec 2032</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Jun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Jun 2036</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Tavora Mesosphere Explorer, the initial risk concentration is Detector stray light at twilight, spectral calibration drift, orbital-plane separation, drag-driven propellant growth and downlink coverage.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2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Detector stray light at twilight, spectral calibration drift, orbital-plane separation, drag-driven propellant growth and downlink coverage.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Neraval Atmospheric Directorate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Oryvex Orbital Manufacturing</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Selrith Optical Works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Daverin Launch Collective</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Mirevan Receiving Services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Istralen Atmospheric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Istralen Atmospheric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Selrith Optical Works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TME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