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7304C">
      <w:pPr>
        <w:jc w:val="center"/>
      </w:pPr>
      <w:r>
        <w:rPr>
          <w:b/>
          <w:color w:val="17365D"/>
          <w:sz w:val="42"/>
        </w:rPr>
        <w:t>WORK PLAN — COMPFARE-XANHSM</w:t>
      </w:r>
    </w:p>
    <w:p w14:paraId="688071B0">
      <w:pPr>
        <w:jc w:val="center"/>
      </w:pPr>
      <w:r>
        <w:rPr>
          <w:color w:val="0F6B78"/>
          <w:sz w:val="24"/>
        </w:rPr>
        <w:t>Competitor Fare Forecasting with Calibrated Uncertainty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2494"/>
        <w:gridCol w:w="2948"/>
        <w:gridCol w:w="2721"/>
        <w:gridCol w:w="2778"/>
        <w:gridCol w:w="2948"/>
      </w:tblGrid>
      <w:tr w14:paraId="260FB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F1F1F1"/>
          </w:tcPr>
          <w:p w14:paraId="51FD1DD6">
            <w:pPr>
              <w:spacing w:after="40" w:line="240" w:lineRule="auto"/>
              <w:jc w:val="center"/>
            </w:pPr>
            <w:r>
              <w:rPr>
                <w:b/>
                <w:sz w:val="24"/>
              </w:rPr>
              <w:t>Tên Project *</w:t>
            </w:r>
          </w:p>
        </w:tc>
        <w:tc>
          <w:tcPr>
            <w:tcW w:w="2494" w:type="dxa"/>
            <w:shd w:val="clear" w:color="auto" w:fill="F1F1F1"/>
          </w:tcPr>
          <w:p w14:paraId="22DCF565">
            <w:pPr>
              <w:spacing w:after="40" w:line="240" w:lineRule="auto"/>
              <w:jc w:val="center"/>
            </w:pPr>
            <w:r>
              <w:rPr>
                <w:b/>
                <w:sz w:val="24"/>
              </w:rPr>
              <w:t>Sản phẩm bàn giao *</w:t>
            </w:r>
          </w:p>
        </w:tc>
        <w:tc>
          <w:tcPr>
            <w:tcW w:w="2948" w:type="dxa"/>
            <w:shd w:val="clear" w:color="auto" w:fill="F1F1F1"/>
          </w:tcPr>
          <w:p w14:paraId="4BD4D301">
            <w:pPr>
              <w:spacing w:after="40" w:line="240" w:lineRule="auto"/>
              <w:jc w:val="center"/>
            </w:pPr>
            <w:r>
              <w:rPr>
                <w:b/>
                <w:sz w:val="24"/>
              </w:rPr>
              <w:t>Tiêu chí hoàn thành (kết quả đầu ra mong muốn) *</w:t>
            </w:r>
          </w:p>
        </w:tc>
        <w:tc>
          <w:tcPr>
            <w:tcW w:w="2721" w:type="dxa"/>
            <w:shd w:val="clear" w:color="auto" w:fill="F1F1F1"/>
          </w:tcPr>
          <w:p w14:paraId="70B2239B">
            <w:pPr>
              <w:spacing w:after="40" w:line="240" w:lineRule="auto"/>
              <w:jc w:val="center"/>
            </w:pPr>
            <w:r>
              <w:rPr>
                <w:b/>
                <w:sz w:val="24"/>
              </w:rPr>
              <w:t>Công việc Sprint 1 *</w:t>
            </w:r>
          </w:p>
        </w:tc>
        <w:tc>
          <w:tcPr>
            <w:tcW w:w="2778" w:type="dxa"/>
            <w:shd w:val="clear" w:color="auto" w:fill="F1F1F1"/>
          </w:tcPr>
          <w:p w14:paraId="049E1B0F">
            <w:pPr>
              <w:spacing w:after="40" w:line="240" w:lineRule="auto"/>
              <w:jc w:val="center"/>
            </w:pPr>
            <w:r>
              <w:rPr>
                <w:b/>
                <w:sz w:val="24"/>
              </w:rPr>
              <w:t>Công việc Sprint 2 *</w:t>
            </w:r>
          </w:p>
        </w:tc>
        <w:tc>
          <w:tcPr>
            <w:tcW w:w="2948" w:type="dxa"/>
            <w:shd w:val="clear" w:color="auto" w:fill="F1F1F1"/>
          </w:tcPr>
          <w:p w14:paraId="7D4AF523">
            <w:pPr>
              <w:spacing w:after="40" w:line="240" w:lineRule="auto"/>
              <w:jc w:val="center"/>
            </w:pPr>
            <w:r>
              <w:rPr>
                <w:b/>
                <w:sz w:val="24"/>
              </w:rPr>
              <w:t>Công việc Sprint 3 *</w:t>
            </w:r>
          </w:p>
        </w:tc>
      </w:tr>
      <w:tr w14:paraId="4DDF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AF2F8"/>
          </w:tcPr>
          <w:p w14:paraId="4FDC9DC6">
            <w:pPr>
              <w:spacing w:after="40" w:line="240" w:lineRule="auto"/>
            </w:pPr>
            <w:r>
              <w:rPr>
                <w:b/>
                <w:sz w:val="20"/>
              </w:rPr>
              <w:t>CompFare-XanhSM: Competitor Fare Forecasting with Calibrated Uncertainty</w:t>
            </w:r>
          </w:p>
        </w:tc>
        <w:tc>
          <w:tcPr>
            <w:tcW w:w="2494" w:type="dxa"/>
            <w:shd w:val="clear" w:color="auto" w:fill="FFFFFF"/>
          </w:tcPr>
          <w:p w14:paraId="70605224">
            <w:pPr>
              <w:spacing w:after="40" w:line="240" w:lineRule="auto"/>
            </w:pPr>
            <w:r>
              <w:rPr>
                <w:sz w:val="20"/>
              </w:rPr>
              <w:t>PoC ước lượng giá đối thủ (Grab/Be) tại thời điểm hiện tại từ quan sát có độ trễ, gồm ba cấu phần: (i) phân tích quan hệ giữa các yếu tố chính (thời tiết, thời gian, vị trí, loại dịch vụ, quãng đường) với price và price multiplier; (ii) mô hình dự báo price và price multiplier từ delayed observations; (iii) module uncertainty quantification xuất prediction interval đã hiệu chuẩn (ví dụ 80% PI: [17.20, 20.60]). Kèm theo: public-data benchmark (Uber/Lyft Boston, ~638k bản ghi, 23 ngày, có weather), pipeline snapshot hóa theo route × service × thời điểm, khung backtest theo thời gian, decision rule cho pricing algo (khi nào được tin tín hiệu giá đối thủ), source code, dashboard, technical report và 6 weekly report.</w:t>
            </w:r>
          </w:p>
        </w:tc>
        <w:tc>
          <w:tcPr>
            <w:tcW w:w="2948" w:type="dxa"/>
            <w:shd w:val="clear" w:color="auto" w:fill="EAF2F8"/>
          </w:tcPr>
          <w:p w14:paraId="0DA35ECC">
            <w:pPr>
              <w:spacing w:after="40" w:line="240" w:lineRule="auto"/>
            </w:pPr>
            <w:r>
              <w:rPr>
                <w:sz w:val="20"/>
              </w:rPr>
              <w:t>• Pipeline chạy end-to-end từ raw data đến prediction interval, tái lập được bằng một lệnh.</w:t>
            </w:r>
          </w:p>
          <w:p w14:paraId="654C7612">
            <w:pPr>
              <w:spacing w:after="40" w:line="240" w:lineRule="auto"/>
            </w:pPr>
            <w:r>
              <w:rPr>
                <w:sz w:val="20"/>
              </w:rPr>
              <w:t>• Cấu phần (i): xác định và lượng hóa được các driver chính của price và price multiplier, có bằng chứng thống kê.</w:t>
            </w:r>
          </w:p>
          <w:p w14:paraId="5FB89923">
            <w:pPr>
              <w:spacing w:after="40" w:line="240" w:lineRule="auto"/>
            </w:pPr>
            <w:r>
              <w:rPr>
                <w:sz w:val="20"/>
              </w:rPr>
              <w:t>• Cấu phần (ii): dự báo cả price và price multiplier; đánh giá bằng MAE, RMSE, MAPE trên test split theo thời gian (không leakage); cải thiện tối thiểu 20% MAE so với baseline persistence (lấy giá quan sát gần nhất làm dự báo).</w:t>
            </w:r>
          </w:p>
          <w:p w14:paraId="23511E1E">
            <w:pPr>
              <w:spacing w:after="40" w:line="240" w:lineRule="auto"/>
            </w:pPr>
            <w:r>
              <w:rPr>
                <w:sz w:val="20"/>
              </w:rPr>
              <w:t>• Cấu phần (iii): empirical coverage của 80% và 90% prediction interval nằm trong ±3 điểm phần trăm so với mức danh nghĩa, đồng thời tối thiểu hóa average interval width; báo cáo thêm pinball loss, CRPS và reliability diagram.</w:t>
            </w:r>
          </w:p>
          <w:p w14:paraId="372B2F47">
            <w:pPr>
              <w:spacing w:after="40" w:line="240" w:lineRule="auto"/>
            </w:pPr>
            <w:r>
              <w:rPr>
                <w:sz w:val="20"/>
              </w:rPr>
              <w:t>• Có phân tích coverage theo lát cắt (giờ cao điểm, thời tiết xấu, surge, route hiếm, độ trễ quan sát) để chứng minh interval nới đúng chỗ chứ không nới đều.</w:t>
            </w:r>
          </w:p>
          <w:p w14:paraId="0C3E83C2">
            <w:pPr>
              <w:spacing w:after="40" w:line="240" w:lineRule="auto"/>
            </w:pPr>
            <w:r>
              <w:rPr>
                <w:sz w:val="20"/>
              </w:rPr>
              <w:t>• Có decision rule quy đổi ra vận hành: ngưỡng độ rộng interval mà pricing algo được phép dùng tín hiệu giá đối thủ.</w:t>
            </w:r>
          </w:p>
          <w:p w14:paraId="5CD14E43">
            <w:pPr>
              <w:spacing w:after="40" w:line="240" w:lineRule="auto"/>
            </w:pPr>
            <w:r>
              <w:rPr>
                <w:sz w:val="20"/>
              </w:rPr>
              <w:t>• Mỗi tuần có một weekly report với một punchline (key contribution) đóng vai trò sprint goal của tuần đó.</w:t>
            </w:r>
          </w:p>
          <w:p w14:paraId="37C983D7">
            <w:pPr>
              <w:spacing w:after="40" w:line="240" w:lineRule="auto"/>
            </w:pPr>
            <w:r>
              <w:rPr>
                <w:sz w:val="20"/>
              </w:rPr>
              <w:t>• Có source code, README, dashboard và tài liệu bàn giao đủ để mentor chạy lại trên dataset GreenSM.</w:t>
            </w:r>
          </w:p>
        </w:tc>
        <w:tc>
          <w:tcPr>
            <w:tcW w:w="2721" w:type="dxa"/>
            <w:shd w:val="clear" w:color="auto" w:fill="FFFFFF"/>
          </w:tcPr>
          <w:p w14:paraId="02438F6A">
            <w:pPr>
              <w:spacing w:after="40" w:line="240" w:lineRule="auto"/>
            </w:pPr>
            <w:r>
              <w:rPr>
                <w:sz w:val="20"/>
              </w:rPr>
              <w:t>Trọng tâm: cấu phần (i) và baseline của (ii).</w:t>
            </w:r>
          </w:p>
          <w:p w14:paraId="0762F29C">
            <w:pPr>
              <w:spacing w:after="40" w:line="240" w:lineRule="auto"/>
            </w:pPr>
            <w:r>
              <w:rPr>
                <w:sz w:val="20"/>
              </w:rPr>
              <w:t>• Chốt data contract: định nghĩa delay τ, đơn vị dự báo (route × service × time bucket), target gồm cả price và price multiplier.</w:t>
            </w:r>
          </w:p>
          <w:p w14:paraId="5F337539">
            <w:pPr>
              <w:spacing w:after="40" w:line="240" w:lineRule="auto"/>
            </w:pPr>
            <w:r>
              <w:rPr>
                <w:sz w:val="20"/>
              </w:rPr>
              <w:t>• Đo phân bố khoảng cách giữa hai quan sát liên tiếp để xác định τ khả thi; rebuild snapshot table ở bucket 5–10 phút thay cho bản theo giờ; giữ observation age làm feature.</w:t>
            </w:r>
          </w:p>
          <w:p w14:paraId="5FDD4415">
            <w:pPr>
              <w:spacing w:after="40" w:line="240" w:lineRule="auto"/>
            </w:pPr>
            <w:r>
              <w:rPr>
                <w:sz w:val="20"/>
              </w:rPr>
              <w:t>• Clean dataset, kiểm tra missing/duplicate/outlier, lọc tập route × service đủ dày.</w:t>
            </w:r>
          </w:p>
          <w:p w14:paraId="7729DDC9">
            <w:pPr>
              <w:spacing w:after="40" w:line="240" w:lineRule="auto"/>
            </w:pPr>
            <w:r>
              <w:rPr>
                <w:sz w:val="20"/>
              </w:rPr>
              <w:t>• EDA (i) — Hiếu: yếu tố nào quyết định price và multiplier (time-of-day, day-of-week, distance, source–destination, service type, weather).</w:t>
            </w:r>
          </w:p>
          <w:p w14:paraId="6E90E097">
            <w:pPr>
              <w:spacing w:after="40" w:line="240" w:lineRule="auto"/>
            </w:pPr>
            <w:r>
              <w:rPr>
                <w:sz w:val="20"/>
              </w:rPr>
              <w:t>• EDA (i) — Chiến: yếu tố nào quyết định độ biến động của giá (tiền đề cho cấu phần iii).</w:t>
            </w:r>
          </w:p>
          <w:p w14:paraId="50B1B484">
            <w:pPr>
              <w:spacing w:after="40" w:line="240" w:lineRule="auto"/>
            </w:pPr>
            <w:r>
              <w:rPr>
                <w:sz w:val="20"/>
              </w:rPr>
              <w:t>• Xây baseline persistence và historical-average; train model đơn giản (gradient boosting) trên feature set tối thiểu.</w:t>
            </w:r>
          </w:p>
          <w:p w14:paraId="70B82649">
            <w:pPr>
              <w:spacing w:after="40" w:line="240" w:lineRule="auto"/>
            </w:pPr>
            <w:r>
              <w:rPr>
                <w:sz w:val="20"/>
              </w:rPr>
              <w:t>• Chốt protocol đánh giá: time-based split, danh sách metric, tập lát cắt báo cáo; kiểm tra leakage.</w:t>
            </w:r>
          </w:p>
          <w:p w14:paraId="26756A20">
            <w:pPr>
              <w:spacing w:after="40" w:line="240" w:lineRule="auto"/>
            </w:pPr>
            <w:r>
              <w:rPr>
                <w:sz w:val="20"/>
              </w:rPr>
              <w:t>• Khảo sát public dataset bổ sung; gửi mentor yêu cầu về distribution hoặc simulated data của GreenSM để kiểm tra khả năng chuyển giao.</w:t>
            </w:r>
          </w:p>
        </w:tc>
        <w:tc>
          <w:tcPr>
            <w:tcW w:w="2778" w:type="dxa"/>
            <w:shd w:val="clear" w:color="auto" w:fill="EAF2F8"/>
          </w:tcPr>
          <w:p w14:paraId="3D3B356F">
            <w:pPr>
              <w:spacing w:after="40" w:line="240" w:lineRule="auto"/>
            </w:pPr>
            <w:r>
              <w:rPr>
                <w:sz w:val="20"/>
              </w:rPr>
              <w:t>Trọng tâm: hoàn thiện (ii), khởi động (iii).</w:t>
            </w:r>
          </w:p>
          <w:p w14:paraId="02291615">
            <w:pPr>
              <w:spacing w:after="40" w:line="240" w:lineRule="auto"/>
            </w:pPr>
            <w:r>
              <w:rPr>
                <w:sz w:val="20"/>
              </w:rPr>
              <w:t>• Feature engineering: lag price, rolling mean/std của lịch sử giá, route target-encoding, weather, chỉ báo giờ cao điểm, observation age.</w:t>
            </w:r>
          </w:p>
          <w:p w14:paraId="4E5A121D">
            <w:pPr>
              <w:spacing w:after="40" w:line="240" w:lineRule="auto"/>
            </w:pPr>
            <w:r>
              <w:rPr>
                <w:sz w:val="20"/>
              </w:rPr>
              <w:t>• So sánh có kiểm soát trên cùng test set: persistence, ridge, gradient boosting và một model có yếu tố thời gian; thử ensemble nếu các model có sai số bổ trợ nhau.</w:t>
            </w:r>
          </w:p>
          <w:p w14:paraId="5EBC45FA">
            <w:pPr>
              <w:spacing w:after="40" w:line="240" w:lineRule="auto"/>
            </w:pPr>
            <w:r>
              <w:rPr>
                <w:sz w:val="20"/>
              </w:rPr>
              <w:t>• Ablation: bỏ weather / bỏ lịch sử giá / bỏ route để đo đóng góp từng nhóm feature.</w:t>
            </w:r>
          </w:p>
          <w:p w14:paraId="42A9931D">
            <w:pPr>
              <w:spacing w:after="40" w:line="240" w:lineRule="auto"/>
            </w:pPr>
            <w:r>
              <w:rPr>
                <w:sz w:val="20"/>
              </w:rPr>
              <w:t>• Phân tích sai số theo τ và theo lát cắt vận hành; xác định vùng dữ liệu mô hình yếu.</w:t>
            </w:r>
          </w:p>
          <w:p w14:paraId="2180E271">
            <w:pPr>
              <w:spacing w:after="40" w:line="240" w:lineRule="auto"/>
            </w:pPr>
            <w:r>
              <w:rPr>
                <w:sz w:val="20"/>
              </w:rPr>
              <w:t>• EDA (iii) — Chiến: yếu tố nào quyết định độ bất định của dự báo (surge, route hiếm, thời tiết, observation age, biến động lịch sử).</w:t>
            </w:r>
          </w:p>
          <w:p w14:paraId="0D97254C">
            <w:pPr>
              <w:spacing w:after="40" w:line="240" w:lineRule="auto"/>
            </w:pPr>
            <w:r>
              <w:rPr>
                <w:sz w:val="20"/>
              </w:rPr>
              <w:t>• Chốt model dùng tiếp; prototype uncertainty bằng quantile regression, split conformal prediction và ensemble-based interval; đo coverage sơ bộ trên calibration set tách biệt theo thời gian.</w:t>
            </w:r>
          </w:p>
        </w:tc>
        <w:tc>
          <w:tcPr>
            <w:tcW w:w="2948" w:type="dxa"/>
            <w:shd w:val="clear" w:color="auto" w:fill="FFFFFF"/>
          </w:tcPr>
          <w:p w14:paraId="1117FC47">
            <w:pPr>
              <w:spacing w:after="40" w:line="240" w:lineRule="auto"/>
            </w:pPr>
            <w:r>
              <w:rPr>
                <w:sz w:val="20"/>
              </w:rPr>
              <w:t>Trọng tâm: hoàn thiện (iii) và bàn giao.</w:t>
            </w:r>
          </w:p>
          <w:p w14:paraId="31221079">
            <w:pPr>
              <w:spacing w:after="40" w:line="240" w:lineRule="auto"/>
            </w:pPr>
            <w:r>
              <w:rPr>
                <w:sz w:val="20"/>
              </w:rPr>
              <w:t>• Adaptive/Mondrian conformal: hiệu chuẩn theo nhóm để interval phản ánh đúng mức khó của từng tình huống.</w:t>
            </w:r>
          </w:p>
          <w:p w14:paraId="3BC056E5">
            <w:pPr>
              <w:spacing w:after="40" w:line="240" w:lineRule="auto"/>
            </w:pPr>
            <w:r>
              <w:rPr>
                <w:sz w:val="20"/>
              </w:rPr>
              <w:t>• Đánh giá đầy đủ: marginal coverage, conditional coverage theo nhóm, average width, reliability diagram, pinball loss, CRPS.</w:t>
            </w:r>
          </w:p>
          <w:p w14:paraId="76B1F7E4">
            <w:pPr>
              <w:spacing w:after="40" w:line="240" w:lineRule="auto"/>
            </w:pPr>
            <w:r>
              <w:rPr>
                <w:sz w:val="20"/>
              </w:rPr>
              <w:t>• Stress test: giờ cao điểm, thời tiết xấu, surge cao, route ít dữ liệu, τ lớn hơn thiết kế, shift theo tuần.</w:t>
            </w:r>
          </w:p>
          <w:p w14:paraId="32FDC3FD">
            <w:pPr>
              <w:spacing w:after="40" w:line="240" w:lineRule="auto"/>
            </w:pPr>
            <w:r>
              <w:rPr>
                <w:sz w:val="20"/>
              </w:rPr>
              <w:t>• Xây decision rule cho pricing algo và mô phỏng tác động: tỉ lệ tín hiệu dùng được và sai số khi dùng.</w:t>
            </w:r>
          </w:p>
          <w:p w14:paraId="7D4A7A66">
            <w:pPr>
              <w:spacing w:after="40" w:line="240" w:lineRule="auto"/>
            </w:pPr>
            <w:r>
              <w:rPr>
                <w:sz w:val="20"/>
              </w:rPr>
              <w:t>• Đo decision latency; đề xuất phương án tích hợp ở mức kiến trúc.</w:t>
            </w:r>
          </w:p>
          <w:p w14:paraId="2141E288">
            <w:pPr>
              <w:spacing w:after="40" w:line="240" w:lineRule="auto"/>
            </w:pPr>
            <w:r>
              <w:rPr>
                <w:sz w:val="20"/>
              </w:rPr>
              <w:t>• Hoàn thiện PoC, dashboard, source code, technical report, demo và gói bàn giao để mentor test trên dataset GreenSM; ghi rõ giới hạn và hướng mở rộng.</w:t>
            </w:r>
          </w:p>
        </w:tc>
      </w:tr>
    </w:tbl>
    <w:p w14:paraId="5ED35A37"/>
    <w:p w14:paraId="68692BD2">
      <w:pPr>
        <w:spacing w:before="100" w:after="40"/>
      </w:pPr>
      <w:r>
        <w:rPr>
          <w:b/>
          <w:color w:val="414B55"/>
          <w:sz w:val="20"/>
        </w:rPr>
        <w:t xml:space="preserve">Cấu trúc project theo định hướng mentor: </w:t>
      </w:r>
      <w:r>
        <w:rPr>
          <w:color w:val="414B55"/>
          <w:sz w:val="20"/>
        </w:rPr>
        <w:t>(i) study quan hệ giữa các key feature với price và price multiplier; (ii) build model dự báo price và price multiplier từ delayed observations; (iii) uncertainty quantification để xuất prediction interval đã hiệu chuẩn.</w:t>
      </w:r>
    </w:p>
    <w:p w14:paraId="570AEE1B">
      <w:pPr>
        <w:spacing w:before="100" w:after="40"/>
      </w:pPr>
      <w:r>
        <w:rPr>
          <w:b/>
          <w:color w:val="414B55"/>
          <w:sz w:val="20"/>
        </w:rPr>
        <w:t xml:space="preserve">Phân công: </w:t>
      </w:r>
      <w:r>
        <w:rPr>
          <w:color w:val="414B55"/>
          <w:sz w:val="20"/>
        </w:rPr>
        <w:t>Nguyễn Đức Hiếu focus cấu phần (ii), trọng tâm EDA là “What features determine price?”. Nguyễn Minh Chiến focus cấu phần (iii), trọng tâm EDA là “What determines forecast uncertainty?”. Sprint 1–2 Chiến support Hiếu ở phần model vì (ii) phải xong trước mới roll out được (iii); Sprint 3 Hiếu support Chiến ở phần uncertainty vì đây là phần khó và dễ mất thời gian nhất. Phân công là trọng số, không phải ranh giới cứng.</w:t>
      </w:r>
    </w:p>
    <w:p w14:paraId="3A05CB44">
      <w:pPr>
        <w:spacing w:before="100" w:after="40"/>
      </w:pPr>
      <w:r>
        <w:rPr>
          <w:b/>
          <w:color w:val="414B55"/>
          <w:sz w:val="20"/>
        </w:rPr>
        <w:t xml:space="preserve">Chế độ báo cáo: </w:t>
      </w:r>
      <w:r>
        <w:rPr>
          <w:color w:val="414B55"/>
          <w:sz w:val="20"/>
        </w:rPr>
        <w:t>nộp weekly report vào cuối mỗi tuần, không nộp daily. Mỗi report mở đầu bằng (a) vấn đề đang giải quyết hoặc weakness của tuần trước, và (b) punchline — key contribution của tuần, đóng vai trò sprint goal. Punchline dự kiến của từng tuần được ghi ở dòng đầu cột Mục tiêu trong bảng dưới.</w:t>
      </w:r>
    </w:p>
    <w:p w14:paraId="57E6AB2D">
      <w:pPr>
        <w:spacing w:before="100" w:after="40"/>
      </w:pPr>
      <w:bookmarkStart w:id="0" w:name="_GoBack"/>
      <w:bookmarkEnd w:id="0"/>
      <w:r>
        <w:rPr>
          <w:color w:val="414B55"/>
          <w:sz w:val="20"/>
        </w:rPr>
        <w:t>.</w:t>
      </w:r>
    </w:p>
    <w:p w14:paraId="0478713F">
      <w:pPr>
        <w:spacing w:before="80" w:after="20"/>
      </w:pPr>
      <w:r>
        <w:rPr>
          <w:rFonts w:ascii="Arial" w:hAnsi="Arial"/>
          <w:b/>
          <w:color w:val="006653"/>
          <w:sz w:val="24"/>
        </w:rPr>
        <w:t>BẢNG KẾ HOẠCH CHI TIẾT 6 TUẦN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8"/>
        <w:gridCol w:w="1945"/>
        <w:gridCol w:w="4966"/>
        <w:gridCol w:w="2767"/>
        <w:gridCol w:w="5227"/>
      </w:tblGrid>
      <w:tr w14:paraId="390C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48" w:type="dxa"/>
            <w:shd w:val="clear" w:color="auto" w:fill="006653"/>
            <w:vAlign w:val="center"/>
          </w:tcPr>
          <w:p w14:paraId="5D663C83">
            <w:pPr>
              <w:spacing w:after="0" w:line="240" w:lineRule="auto"/>
              <w:jc w:val="center"/>
            </w:pPr>
            <w:r>
              <w:rPr>
                <w:rFonts w:ascii="Arial" w:hAnsi="Arial"/>
                <w:b/>
                <w:color w:val="FFFFFF"/>
                <w:sz w:val="20"/>
              </w:rPr>
              <w:t>Tuần</w:t>
            </w:r>
          </w:p>
        </w:tc>
        <w:tc>
          <w:tcPr>
            <w:tcW w:w="1945" w:type="dxa"/>
            <w:shd w:val="clear" w:color="auto" w:fill="006653"/>
            <w:vAlign w:val="center"/>
          </w:tcPr>
          <w:p w14:paraId="74A77923">
            <w:pPr>
              <w:spacing w:after="0" w:line="240" w:lineRule="auto"/>
              <w:jc w:val="center"/>
            </w:pPr>
            <w:r>
              <w:rPr>
                <w:rFonts w:ascii="Arial" w:hAnsi="Arial"/>
                <w:b/>
                <w:color w:val="FFFFFF"/>
                <w:sz w:val="20"/>
              </w:rPr>
              <w:t>Mục tiêu và punchline dự kiến</w:t>
            </w:r>
          </w:p>
        </w:tc>
        <w:tc>
          <w:tcPr>
            <w:tcW w:w="4966" w:type="dxa"/>
            <w:shd w:val="clear" w:color="auto" w:fill="006653"/>
            <w:vAlign w:val="center"/>
          </w:tcPr>
          <w:p w14:paraId="73638170">
            <w:pPr>
              <w:spacing w:after="0" w:line="240" w:lineRule="auto"/>
              <w:jc w:val="center"/>
            </w:pPr>
            <w:r>
              <w:rPr>
                <w:rFonts w:ascii="Arial" w:hAnsi="Arial"/>
                <w:b/>
                <w:color w:val="FFFFFF"/>
                <w:sz w:val="20"/>
              </w:rPr>
              <w:t>Công việc chính</w:t>
            </w:r>
          </w:p>
        </w:tc>
        <w:tc>
          <w:tcPr>
            <w:tcW w:w="2767" w:type="dxa"/>
            <w:shd w:val="clear" w:color="auto" w:fill="006653"/>
            <w:vAlign w:val="center"/>
          </w:tcPr>
          <w:p w14:paraId="1C94D96B">
            <w:pPr>
              <w:spacing w:after="0" w:line="240" w:lineRule="auto"/>
              <w:jc w:val="center"/>
            </w:pPr>
            <w:r>
              <w:rPr>
                <w:rFonts w:ascii="Arial" w:hAnsi="Arial"/>
                <w:b/>
                <w:color w:val="FFFFFF"/>
                <w:sz w:val="20"/>
              </w:rPr>
              <w:t>Sản phẩm bàn giao</w:t>
            </w:r>
          </w:p>
        </w:tc>
        <w:tc>
          <w:tcPr>
            <w:tcW w:w="5227" w:type="dxa"/>
            <w:shd w:val="clear" w:color="auto" w:fill="006653"/>
            <w:vAlign w:val="center"/>
          </w:tcPr>
          <w:p w14:paraId="27903CDB">
            <w:pPr>
              <w:spacing w:after="0" w:line="240" w:lineRule="auto"/>
              <w:jc w:val="center"/>
            </w:pPr>
            <w:r>
              <w:rPr>
                <w:rFonts w:ascii="Arial" w:hAnsi="Arial"/>
                <w:b/>
                <w:color w:val="FFFFFF"/>
                <w:sz w:val="20"/>
              </w:rPr>
              <w:t>Tiêu chí hoàn thành và cổng kiểm soát</w:t>
            </w:r>
          </w:p>
        </w:tc>
      </w:tr>
      <w:tr w14:paraId="7F45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Align w:val="center"/>
          </w:tcPr>
          <w:p w14:paraId="72B80497">
            <w:pPr>
              <w:spacing w:after="10" w:line="240" w:lineRule="auto"/>
              <w:jc w:val="center"/>
            </w:pPr>
            <w:r>
              <w:rPr>
                <w:rFonts w:ascii="Arial" w:hAnsi="Arial"/>
                <w:b/>
                <w:sz w:val="20"/>
              </w:rPr>
              <w:t>1</w:t>
            </w:r>
          </w:p>
          <w:p w14:paraId="60C8E407">
            <w:pPr>
              <w:spacing w:after="10" w:line="240" w:lineRule="auto"/>
              <w:jc w:val="center"/>
            </w:pPr>
            <w:r>
              <w:rPr>
                <w:rFonts w:ascii="Arial" w:hAnsi="Arial"/>
                <w:b/>
                <w:sz w:val="20"/>
              </w:rPr>
              <w:t>(Sprint 1)</w:t>
            </w:r>
          </w:p>
        </w:tc>
        <w:tc>
          <w:tcPr>
            <w:tcW w:w="1945" w:type="dxa"/>
          </w:tcPr>
          <w:p w14:paraId="426DE719">
            <w:pPr>
              <w:spacing w:after="10" w:line="240" w:lineRule="auto"/>
            </w:pPr>
            <w:r>
              <w:rPr>
                <w:rFonts w:ascii="Arial" w:hAnsi="Arial"/>
                <w:sz w:val="20"/>
              </w:rPr>
              <w:t>Punchline: Giá đối thủ được quyết định bởi những yếu tố nào, và quan sát trễ bao lâu thì còn dùng được.</w:t>
            </w:r>
          </w:p>
          <w:p w14:paraId="60A56961">
            <w:pPr>
              <w:spacing w:after="10" w:line="240" w:lineRule="auto"/>
            </w:pPr>
            <w:r>
              <w:rPr>
                <w:rFonts w:ascii="Arial" w:hAnsi="Arial"/>
                <w:sz w:val="20"/>
              </w:rPr>
              <w:t>• Hoàn thành cấu phần (i): phân tích driver của price và multiplier.</w:t>
            </w:r>
          </w:p>
          <w:p w14:paraId="1B16DD90">
            <w:pPr>
              <w:spacing w:after="10" w:line="240" w:lineRule="auto"/>
            </w:pPr>
            <w:r>
              <w:rPr>
                <w:rFonts w:ascii="Arial" w:hAnsi="Arial"/>
                <w:sz w:val="20"/>
              </w:rPr>
              <w:t>• Dựng lại snapshot ở đúng độ phân giải của đề bài thay cho bản theo giờ.</w:t>
            </w:r>
          </w:p>
          <w:p w14:paraId="2369B319">
            <w:pPr>
              <w:spacing w:after="10" w:line="240" w:lineRule="auto"/>
            </w:pPr>
            <w:r>
              <w:rPr>
                <w:rFonts w:ascii="Arial" w:hAnsi="Arial"/>
                <w:sz w:val="20"/>
              </w:rPr>
              <w:t>• Khóa đầu vào để phần sau không phải làm lại.</w:t>
            </w:r>
          </w:p>
        </w:tc>
        <w:tc>
          <w:tcPr>
            <w:tcW w:w="4966" w:type="dxa"/>
          </w:tcPr>
          <w:p w14:paraId="60A872A4">
            <w:pPr>
              <w:spacing w:after="10" w:line="240" w:lineRule="auto"/>
            </w:pPr>
            <w:r>
              <w:rPr>
                <w:rFonts w:ascii="Arial" w:hAnsi="Arial"/>
                <w:sz w:val="20"/>
              </w:rPr>
              <w:t>• Chốt data contract: delay τ, đơn vị dự báo (route × service × time bucket), target price và price multiplier. (cả nhóm)</w:t>
            </w:r>
          </w:p>
          <w:p w14:paraId="3C2BC653">
            <w:pPr>
              <w:spacing w:after="10" w:line="240" w:lineRule="auto"/>
            </w:pPr>
            <w:r>
              <w:rPr>
                <w:rFonts w:ascii="Arial" w:hAnsi="Arial"/>
                <w:sz w:val="20"/>
              </w:rPr>
              <w:t>• Đo phân bố khoảng cách giữa hai quan sát liên tiếp của cùng route × service để xác định τ khả thi. Số liệu sơ bộ: median 16,6 phút; 25% ≤ 6 phút; 35% số gap ≤ 10 phút. (Hiếu)</w:t>
            </w:r>
          </w:p>
          <w:p w14:paraId="04E1826A">
            <w:pPr>
              <w:spacing w:after="10" w:line="240" w:lineRule="auto"/>
            </w:pPr>
            <w:r>
              <w:rPr>
                <w:rFonts w:ascii="Arial" w:hAnsi="Arial"/>
                <w:sz w:val="20"/>
              </w:rPr>
              <w:t>• Rebuild snapshot table ở bucket 5–10 phút; giữ observation age làm feature thay vì giả định độ trễ cố định. (Hiếu)</w:t>
            </w:r>
          </w:p>
          <w:p w14:paraId="32320243">
            <w:pPr>
              <w:spacing w:after="10" w:line="240" w:lineRule="auto"/>
            </w:pPr>
            <w:r>
              <w:rPr>
                <w:rFonts w:ascii="Arial" w:hAnsi="Arial"/>
                <w:sz w:val="20"/>
              </w:rPr>
              <w:t>• Lọc tập route × service đủ dày để τ nhỏ có ý nghĩa; ghi rõ phần dữ liệu bị loại và lý do. (Hiếu)</w:t>
            </w:r>
          </w:p>
          <w:p w14:paraId="23A41C84">
            <w:pPr>
              <w:spacing w:after="10" w:line="240" w:lineRule="auto"/>
            </w:pPr>
            <w:r>
              <w:rPr>
                <w:rFonts w:ascii="Arial" w:hAnsi="Arial"/>
                <w:sz w:val="20"/>
              </w:rPr>
              <w:t>• Clean dataset; kiểm tra missing, duplicate, outlier, độ phủ theo route/giờ/service. (cả nhóm)</w:t>
            </w:r>
          </w:p>
          <w:p w14:paraId="2AA7A025">
            <w:pPr>
              <w:spacing w:after="10" w:line="240" w:lineRule="auto"/>
            </w:pPr>
            <w:r>
              <w:rPr>
                <w:rFonts w:ascii="Arial" w:hAnsi="Arial"/>
                <w:sz w:val="20"/>
              </w:rPr>
              <w:t>• EDA (i) — Hiếu: price và multiplier theo time-of-day, day-of-week, distance, source–destination, service type, weather.</w:t>
            </w:r>
          </w:p>
          <w:p w14:paraId="607F8CEB">
            <w:pPr>
              <w:spacing w:after="10" w:line="240" w:lineRule="auto"/>
            </w:pPr>
            <w:r>
              <w:rPr>
                <w:rFonts w:ascii="Arial" w:hAnsi="Arial"/>
                <w:sz w:val="20"/>
              </w:rPr>
              <w:t>• EDA (i) — Chiến: mức biến động giá theo bước 5–10 phút, autocorrelation, và biến động thay đổi theo nhóm nào; đây là tiền đề của cấu phần (iii).</w:t>
            </w:r>
          </w:p>
          <w:p w14:paraId="7F43460C">
            <w:pPr>
              <w:spacing w:after="10" w:line="240" w:lineRule="auto"/>
            </w:pPr>
            <w:r>
              <w:rPr>
                <w:rFonts w:ascii="Arial" w:hAnsi="Arial"/>
                <w:sz w:val="20"/>
              </w:rPr>
              <w:t>• Khảo sát public dataset bổ sung; gửi mentor yêu cầu distribution hoặc simulated data. (Chiến)</w:t>
            </w:r>
          </w:p>
        </w:tc>
        <w:tc>
          <w:tcPr>
            <w:tcW w:w="2767" w:type="dxa"/>
          </w:tcPr>
          <w:p w14:paraId="0E7C28BA">
            <w:pPr>
              <w:spacing w:after="10" w:line="240" w:lineRule="auto"/>
            </w:pPr>
            <w:r>
              <w:rPr>
                <w:rFonts w:ascii="Arial" w:hAnsi="Arial"/>
                <w:sz w:val="20"/>
              </w:rPr>
              <w:t>• week1_report.md (kèm punchline)</w:t>
            </w:r>
          </w:p>
          <w:p w14:paraId="046EE948">
            <w:pPr>
              <w:spacing w:after="10" w:line="240" w:lineRule="auto"/>
            </w:pPr>
            <w:r>
              <w:rPr>
                <w:rFonts w:ascii="Arial" w:hAnsi="Arial"/>
                <w:sz w:val="20"/>
              </w:rPr>
              <w:t>• data_contract.md</w:t>
            </w:r>
          </w:p>
          <w:p w14:paraId="40DC5DF6">
            <w:pPr>
              <w:spacing w:after="10" w:line="240" w:lineRule="auto"/>
            </w:pPr>
            <w:r>
              <w:rPr>
                <w:rFonts w:ascii="Arial" w:hAnsi="Arial"/>
                <w:sz w:val="20"/>
              </w:rPr>
              <w:t>• observation_gap_analysis.md</w:t>
            </w:r>
          </w:p>
          <w:p w14:paraId="32AF0F68">
            <w:pPr>
              <w:spacing w:after="10" w:line="240" w:lineRule="auto"/>
            </w:pPr>
            <w:r>
              <w:rPr>
                <w:rFonts w:ascii="Arial" w:hAnsi="Arial"/>
                <w:sz w:val="20"/>
              </w:rPr>
              <w:t>• clean_dataset.parquet + snapshot_table_10min</w:t>
            </w:r>
          </w:p>
          <w:p w14:paraId="526B4CA1">
            <w:pPr>
              <w:spacing w:after="10" w:line="240" w:lineRule="auto"/>
            </w:pPr>
            <w:r>
              <w:rPr>
                <w:rFonts w:ascii="Arial" w:hAnsi="Arial"/>
                <w:sz w:val="20"/>
              </w:rPr>
              <w:t>• route_coverage_filter.md</w:t>
            </w:r>
          </w:p>
          <w:p w14:paraId="6D4E8B8D">
            <w:pPr>
              <w:spacing w:after="10" w:line="240" w:lineRule="auto"/>
            </w:pPr>
            <w:r>
              <w:rPr>
                <w:rFonts w:ascii="Arial" w:hAnsi="Arial"/>
                <w:sz w:val="20"/>
              </w:rPr>
              <w:t>• eda_price_drivers.md (kèm figures)</w:t>
            </w:r>
          </w:p>
          <w:p w14:paraId="0D886BA6">
            <w:pPr>
              <w:spacing w:after="10" w:line="240" w:lineRule="auto"/>
            </w:pPr>
            <w:r>
              <w:rPr>
                <w:rFonts w:ascii="Arial" w:hAnsi="Arial"/>
                <w:sz w:val="20"/>
              </w:rPr>
              <w:t>• price_volatility_analysis.md</w:t>
            </w:r>
          </w:p>
          <w:p w14:paraId="404D8F1A">
            <w:pPr>
              <w:spacing w:after="10" w:line="240" w:lineRule="auto"/>
            </w:pPr>
            <w:r>
              <w:rPr>
                <w:rFonts w:ascii="Arial" w:hAnsi="Arial"/>
                <w:sz w:val="20"/>
              </w:rPr>
              <w:t>• dataset_survey.md</w:t>
            </w:r>
          </w:p>
          <w:p w14:paraId="1CB7FE89">
            <w:pPr>
              <w:spacing w:after="10" w:line="240" w:lineRule="auto"/>
            </w:pPr>
            <w:r>
              <w:rPr>
                <w:rFonts w:ascii="Arial" w:hAnsi="Arial"/>
                <w:sz w:val="20"/>
              </w:rPr>
              <w:t>• mentor_data_request.md</w:t>
            </w:r>
          </w:p>
        </w:tc>
        <w:tc>
          <w:tcPr>
            <w:tcW w:w="5227" w:type="dxa"/>
          </w:tcPr>
          <w:p w14:paraId="1C094C95">
            <w:pPr>
              <w:spacing w:after="10" w:line="240" w:lineRule="auto"/>
            </w:pPr>
            <w:r>
              <w:rPr>
                <w:rFonts w:ascii="Arial" w:hAnsi="Arial"/>
                <w:sz w:val="20"/>
              </w:rPr>
              <w:t>• Định nghĩa τ, đơn vị dự báo và target được mentor review.</w:t>
            </w:r>
          </w:p>
          <w:p w14:paraId="52A64331">
            <w:pPr>
              <w:spacing w:after="10" w:line="240" w:lineRule="auto"/>
            </w:pPr>
            <w:r>
              <w:rPr>
                <w:rFonts w:ascii="Arial" w:hAnsi="Arial"/>
                <w:sz w:val="20"/>
              </w:rPr>
              <w:t>• Snapshot mới ở bucket 5–10 phút, có observation age, không chứa thông tin tương lai; kiểm tra leakage bằng script.</w:t>
            </w:r>
          </w:p>
          <w:p w14:paraId="6383C1AA">
            <w:pPr>
              <w:spacing w:after="10" w:line="240" w:lineRule="auto"/>
            </w:pPr>
            <w:r>
              <w:rPr>
                <w:rFonts w:ascii="Arial" w:hAnsi="Arial"/>
                <w:sz w:val="20"/>
              </w:rPr>
              <w:t>• Báo cáo rõ số route × service còn lại sau lọc và tỉ lệ dữ liệu giữ được.</w:t>
            </w:r>
          </w:p>
          <w:p w14:paraId="643272FD">
            <w:pPr>
              <w:spacing w:after="10" w:line="240" w:lineRule="auto"/>
            </w:pPr>
            <w:r>
              <w:rPr>
                <w:rFonts w:ascii="Arial" w:hAnsi="Arial"/>
                <w:sz w:val="20"/>
              </w:rPr>
              <w:t>• EDA nêu tối thiểu 3 phát hiện định lượng về driver của giá và 2 phát hiện về driver của biến động.</w:t>
            </w:r>
          </w:p>
          <w:p w14:paraId="042C0201">
            <w:pPr>
              <w:spacing w:after="10" w:line="240" w:lineRule="auto"/>
            </w:pPr>
            <w:r>
              <w:rPr>
                <w:rFonts w:ascii="Arial" w:hAnsi="Arial"/>
                <w:sz w:val="20"/>
              </w:rPr>
              <w:t>• Gate: nếu sau lọc, tập route đủ dày quá nhỏ để train, nới bucket lên 15 phút và ghi rõ khoảng cách so với đề bài 5–10 phút.</w:t>
            </w:r>
          </w:p>
          <w:p w14:paraId="42EE7C3D">
            <w:pPr>
              <w:spacing w:after="10" w:line="240" w:lineRule="auto"/>
            </w:pPr>
            <w:r>
              <w:rPr>
                <w:rFonts w:ascii="Arial" w:hAnsi="Arial"/>
                <w:sz w:val="20"/>
              </w:rPr>
              <w:t>• Gate: nếu autocorrelation cho thấy persistence đã gần tối ưu, chuyển trọng tâm sang multiplier và các lát cắt khó, chốt lại KPI trước tuần 2.</w:t>
            </w:r>
          </w:p>
        </w:tc>
      </w:tr>
      <w:tr w14:paraId="1FE8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shd w:val="clear" w:color="auto" w:fill="EAF4F1"/>
            <w:vAlign w:val="center"/>
          </w:tcPr>
          <w:p w14:paraId="11E7C437">
            <w:pPr>
              <w:spacing w:after="10" w:line="240" w:lineRule="auto"/>
              <w:jc w:val="center"/>
            </w:pPr>
            <w:r>
              <w:rPr>
                <w:rFonts w:ascii="Arial" w:hAnsi="Arial"/>
                <w:b/>
                <w:sz w:val="20"/>
              </w:rPr>
              <w:t>2</w:t>
            </w:r>
          </w:p>
          <w:p w14:paraId="04BB679E">
            <w:pPr>
              <w:spacing w:after="10" w:line="240" w:lineRule="auto"/>
              <w:jc w:val="center"/>
            </w:pPr>
            <w:r>
              <w:rPr>
                <w:rFonts w:ascii="Arial" w:hAnsi="Arial"/>
                <w:b/>
                <w:sz w:val="20"/>
              </w:rPr>
              <w:t>(Sprint 1)</w:t>
            </w:r>
          </w:p>
        </w:tc>
        <w:tc>
          <w:tcPr>
            <w:tcW w:w="1945" w:type="dxa"/>
            <w:shd w:val="clear" w:color="auto" w:fill="EAF4F1"/>
          </w:tcPr>
          <w:p w14:paraId="5FC31AAE">
            <w:pPr>
              <w:spacing w:after="10" w:line="240" w:lineRule="auto"/>
            </w:pPr>
            <w:r>
              <w:rPr>
                <w:rFonts w:ascii="Arial" w:hAnsi="Arial"/>
                <w:sz w:val="20"/>
              </w:rPr>
              <w:t>Punchline: Có model đầu tiên thắng baseline persistence, trên một protocol đánh giá không leakage.</w:t>
            </w:r>
          </w:p>
          <w:p w14:paraId="6B1236F1">
            <w:pPr>
              <w:spacing w:after="10" w:line="240" w:lineRule="auto"/>
            </w:pPr>
            <w:r>
              <w:rPr>
                <w:rFonts w:ascii="Arial" w:hAnsi="Arial"/>
                <w:sz w:val="20"/>
              </w:rPr>
              <w:t>• Khởi động cấu phần (ii).</w:t>
            </w:r>
          </w:p>
          <w:p w14:paraId="75EAA012">
            <w:pPr>
              <w:spacing w:after="10" w:line="240" w:lineRule="auto"/>
            </w:pPr>
            <w:r>
              <w:rPr>
                <w:rFonts w:ascii="Arial" w:hAnsi="Arial"/>
                <w:sz w:val="20"/>
              </w:rPr>
              <w:t>• Chốt protocol đánh giá dùng cho toàn bộ dự án.</w:t>
            </w:r>
          </w:p>
        </w:tc>
        <w:tc>
          <w:tcPr>
            <w:tcW w:w="4966" w:type="dxa"/>
            <w:shd w:val="clear" w:color="auto" w:fill="EAF4F1"/>
          </w:tcPr>
          <w:p w14:paraId="7F9DDEE9">
            <w:pPr>
              <w:spacing w:after="10" w:line="240" w:lineRule="auto"/>
            </w:pPr>
            <w:r>
              <w:rPr>
                <w:rFonts w:ascii="Arial" w:hAnsi="Arial"/>
                <w:sz w:val="20"/>
              </w:rPr>
              <w:t>• Xây baseline persistence (giá quan sát gần nhất) và historical-average baseline. (Hiếu)</w:t>
            </w:r>
          </w:p>
          <w:p w14:paraId="6C139B5F">
            <w:pPr>
              <w:spacing w:after="10" w:line="240" w:lineRule="auto"/>
            </w:pPr>
            <w:r>
              <w:rPr>
                <w:rFonts w:ascii="Arial" w:hAnsi="Arial"/>
                <w:sz w:val="20"/>
              </w:rPr>
              <w:t>• Feature engineering vòng 1: lag price, rolling mean/std, route encoding, weather, chỉ báo cao điểm, observation age. (Hiếu, Chiến support)</w:t>
            </w:r>
          </w:p>
          <w:p w14:paraId="63263CFA">
            <w:pPr>
              <w:spacing w:after="10" w:line="240" w:lineRule="auto"/>
            </w:pPr>
            <w:r>
              <w:rPr>
                <w:rFonts w:ascii="Arial" w:hAnsi="Arial"/>
                <w:sz w:val="20"/>
              </w:rPr>
              <w:t>• Train gradient boosting cho cả hai target: price và price multiplier. (Hiếu)</w:t>
            </w:r>
          </w:p>
          <w:p w14:paraId="7004CF23">
            <w:pPr>
              <w:spacing w:after="10" w:line="240" w:lineRule="auto"/>
            </w:pPr>
            <w:r>
              <w:rPr>
                <w:rFonts w:ascii="Arial" w:hAnsi="Arial"/>
                <w:sz w:val="20"/>
              </w:rPr>
              <w:t>• Chốt time-based split, danh sách metric (MAE, RMSE, MAPE) và tập lát cắt báo cáo. (cả nhóm)</w:t>
            </w:r>
          </w:p>
          <w:p w14:paraId="3FD2BDA2">
            <w:pPr>
              <w:spacing w:after="10" w:line="240" w:lineRule="auto"/>
            </w:pPr>
            <w:r>
              <w:rPr>
                <w:rFonts w:ascii="Arial" w:hAnsi="Arial"/>
                <w:sz w:val="20"/>
              </w:rPr>
              <w:t>• Kiểm tra leakage lần hai bằng permutation test và bằng shift kiểm chứng. (Chiến)</w:t>
            </w:r>
          </w:p>
          <w:p w14:paraId="465704A4">
            <w:pPr>
              <w:spacing w:after="10" w:line="240" w:lineRule="auto"/>
            </w:pPr>
            <w:r>
              <w:rPr>
                <w:rFonts w:ascii="Arial" w:hAnsi="Arial"/>
                <w:sz w:val="20"/>
              </w:rPr>
              <w:t>• Chốt KPI đề xuất dựa trên số thực tế của tuần 1–2, gửi mentor. (cả nhóm)</w:t>
            </w:r>
          </w:p>
        </w:tc>
        <w:tc>
          <w:tcPr>
            <w:tcW w:w="2767" w:type="dxa"/>
            <w:shd w:val="clear" w:color="auto" w:fill="EAF4F1"/>
          </w:tcPr>
          <w:p w14:paraId="6013708F">
            <w:pPr>
              <w:spacing w:after="10" w:line="240" w:lineRule="auto"/>
            </w:pPr>
            <w:r>
              <w:rPr>
                <w:rFonts w:ascii="Arial" w:hAnsi="Arial"/>
                <w:sz w:val="20"/>
              </w:rPr>
              <w:t>• week2_report.md (kèm punchline)</w:t>
            </w:r>
          </w:p>
          <w:p w14:paraId="57FB11B4">
            <w:pPr>
              <w:spacing w:after="10" w:line="240" w:lineRule="auto"/>
            </w:pPr>
            <w:r>
              <w:rPr>
                <w:rFonts w:ascii="Arial" w:hAnsi="Arial"/>
                <w:sz w:val="20"/>
              </w:rPr>
              <w:t>• baseline_results.csv</w:t>
            </w:r>
          </w:p>
          <w:p w14:paraId="6E442084">
            <w:pPr>
              <w:spacing w:after="10" w:line="240" w:lineRule="auto"/>
            </w:pPr>
            <w:r>
              <w:rPr>
                <w:rFonts w:ascii="Arial" w:hAnsi="Arial"/>
                <w:sz w:val="20"/>
              </w:rPr>
              <w:t>• model_v1/ (code + artifact)</w:t>
            </w:r>
          </w:p>
          <w:p w14:paraId="611E496A">
            <w:pPr>
              <w:spacing w:after="10" w:line="240" w:lineRule="auto"/>
            </w:pPr>
            <w:r>
              <w:rPr>
                <w:rFonts w:ascii="Arial" w:hAnsi="Arial"/>
                <w:sz w:val="20"/>
              </w:rPr>
              <w:t>• eval_protocol.md</w:t>
            </w:r>
          </w:p>
          <w:p w14:paraId="7E8267EF">
            <w:pPr>
              <w:spacing w:after="10" w:line="240" w:lineRule="auto"/>
            </w:pPr>
            <w:r>
              <w:rPr>
                <w:rFonts w:ascii="Arial" w:hAnsi="Arial"/>
                <w:sz w:val="20"/>
              </w:rPr>
              <w:t>• leakage_check.md</w:t>
            </w:r>
          </w:p>
          <w:p w14:paraId="0B0C21AE">
            <w:pPr>
              <w:spacing w:after="10" w:line="240" w:lineRule="auto"/>
            </w:pPr>
            <w:r>
              <w:rPr>
                <w:rFonts w:ascii="Arial" w:hAnsi="Arial"/>
                <w:sz w:val="20"/>
              </w:rPr>
              <w:t>• kpi_proposal.md</w:t>
            </w:r>
          </w:p>
        </w:tc>
        <w:tc>
          <w:tcPr>
            <w:tcW w:w="5227" w:type="dxa"/>
            <w:shd w:val="clear" w:color="auto" w:fill="EAF4F1"/>
          </w:tcPr>
          <w:p w14:paraId="74F43DC9">
            <w:pPr>
              <w:spacing w:after="10" w:line="240" w:lineRule="auto"/>
            </w:pPr>
            <w:r>
              <w:rPr>
                <w:rFonts w:ascii="Arial" w:hAnsi="Arial"/>
                <w:sz w:val="20"/>
              </w:rPr>
              <w:t>• Mọi kết quả ghi rõ config, seed, dataset version và runtime.</w:t>
            </w:r>
          </w:p>
          <w:p w14:paraId="754B3D15">
            <w:pPr>
              <w:spacing w:after="10" w:line="240" w:lineRule="auto"/>
            </w:pPr>
            <w:r>
              <w:rPr>
                <w:rFonts w:ascii="Arial" w:hAnsi="Arial"/>
                <w:sz w:val="20"/>
              </w:rPr>
              <w:t>• Model v1 so trên đúng test set với baseline, có bảng số cụ thể cho cả price và multiplier.</w:t>
            </w:r>
          </w:p>
          <w:p w14:paraId="0179ECC8">
            <w:pPr>
              <w:spacing w:after="10" w:line="240" w:lineRule="auto"/>
            </w:pPr>
            <w:r>
              <w:rPr>
                <w:rFonts w:ascii="Arial" w:hAnsi="Arial"/>
                <w:sz w:val="20"/>
              </w:rPr>
              <w:t>• Không có leakage; kiểm chứng được ghi lại.</w:t>
            </w:r>
          </w:p>
          <w:p w14:paraId="43452040">
            <w:pPr>
              <w:spacing w:after="10" w:line="240" w:lineRule="auto"/>
            </w:pPr>
            <w:r>
              <w:rPr>
                <w:rFonts w:ascii="Arial" w:hAnsi="Arial"/>
                <w:sz w:val="20"/>
              </w:rPr>
              <w:t>• KPI proposal đã gửi mentor, phản hồi theo dõi như một gate.</w:t>
            </w:r>
          </w:p>
          <w:p w14:paraId="3C921371">
            <w:pPr>
              <w:spacing w:after="10" w:line="240" w:lineRule="auto"/>
            </w:pPr>
            <w:r>
              <w:rPr>
                <w:rFonts w:ascii="Arial" w:hAnsi="Arial"/>
                <w:sz w:val="20"/>
              </w:rPr>
              <w:t>• Gate: nếu model v1 không thắng baseline, dừng thêm feature và chuyển sang chẩn đoán sai số trước.</w:t>
            </w:r>
          </w:p>
        </w:tc>
      </w:tr>
      <w:tr w14:paraId="4C9C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Align w:val="center"/>
          </w:tcPr>
          <w:p w14:paraId="4B48B073">
            <w:pPr>
              <w:spacing w:after="10" w:line="240" w:lineRule="auto"/>
              <w:jc w:val="center"/>
            </w:pPr>
            <w:r>
              <w:rPr>
                <w:rFonts w:ascii="Arial" w:hAnsi="Arial"/>
                <w:b/>
                <w:sz w:val="20"/>
              </w:rPr>
              <w:t>3</w:t>
            </w:r>
          </w:p>
          <w:p w14:paraId="11FFC728">
            <w:pPr>
              <w:spacing w:after="10" w:line="240" w:lineRule="auto"/>
              <w:jc w:val="center"/>
            </w:pPr>
            <w:r>
              <w:rPr>
                <w:rFonts w:ascii="Arial" w:hAnsi="Arial"/>
                <w:b/>
                <w:sz w:val="20"/>
              </w:rPr>
              <w:t>(Sprint 2)</w:t>
            </w:r>
          </w:p>
        </w:tc>
        <w:tc>
          <w:tcPr>
            <w:tcW w:w="1945" w:type="dxa"/>
          </w:tcPr>
          <w:p w14:paraId="2F0763B2">
            <w:pPr>
              <w:spacing w:after="10" w:line="240" w:lineRule="auto"/>
            </w:pPr>
            <w:r>
              <w:rPr>
                <w:rFonts w:ascii="Arial" w:hAnsi="Arial"/>
                <w:sz w:val="20"/>
              </w:rPr>
              <w:t>Punchline: Chốt được model tốt nhất cho cấu phần (ii), và biết chính xác mô hình sai ở đâu — đây là đầu vào cho cấu phần (iii).</w:t>
            </w:r>
          </w:p>
          <w:p w14:paraId="3155747F">
            <w:pPr>
              <w:spacing w:after="10" w:line="240" w:lineRule="auto"/>
            </w:pPr>
            <w:r>
              <w:rPr>
                <w:rFonts w:ascii="Arial" w:hAnsi="Arial"/>
                <w:sz w:val="20"/>
              </w:rPr>
              <w:t>• Hoàn thiện point forecast.</w:t>
            </w:r>
          </w:p>
          <w:p w14:paraId="1337C3C0">
            <w:pPr>
              <w:spacing w:after="10" w:line="240" w:lineRule="auto"/>
            </w:pPr>
            <w:r>
              <w:rPr>
                <w:rFonts w:ascii="Arial" w:hAnsi="Arial"/>
                <w:sz w:val="20"/>
              </w:rPr>
              <w:t>• Trả lời: cái gì quyết định độ bất định?</w:t>
            </w:r>
          </w:p>
        </w:tc>
        <w:tc>
          <w:tcPr>
            <w:tcW w:w="4966" w:type="dxa"/>
          </w:tcPr>
          <w:p w14:paraId="5E2C87C7">
            <w:pPr>
              <w:spacing w:after="10" w:line="240" w:lineRule="auto"/>
            </w:pPr>
            <w:r>
              <w:rPr>
                <w:rFonts w:ascii="Arial" w:hAnsi="Arial"/>
                <w:sz w:val="20"/>
              </w:rPr>
              <w:t>• So sánh có kiểm soát: persistence, ridge, gradient boosting và một model có yếu tố thời gian, cùng test set. (Hiếu)</w:t>
            </w:r>
          </w:p>
          <w:p w14:paraId="7EC6A238">
            <w:pPr>
              <w:spacing w:after="10" w:line="240" w:lineRule="auto"/>
            </w:pPr>
            <w:r>
              <w:rPr>
                <w:rFonts w:ascii="Arial" w:hAnsi="Arial"/>
                <w:sz w:val="20"/>
              </w:rPr>
              <w:t>• Thử ensemble nếu phân tích cho thấy các model sai ở những vùng khác nhau. (Hiếu)</w:t>
            </w:r>
          </w:p>
          <w:p w14:paraId="2CC41086">
            <w:pPr>
              <w:spacing w:after="10" w:line="240" w:lineRule="auto"/>
            </w:pPr>
            <w:r>
              <w:rPr>
                <w:rFonts w:ascii="Arial" w:hAnsi="Arial"/>
                <w:sz w:val="20"/>
              </w:rPr>
              <w:t>• Ablation: bỏ weather / bỏ lịch sử giá / bỏ route để đo đóng góp từng nhóm feature. (Hiếu)</w:t>
            </w:r>
          </w:p>
          <w:p w14:paraId="6F54093F">
            <w:pPr>
              <w:spacing w:after="10" w:line="240" w:lineRule="auto"/>
            </w:pPr>
            <w:r>
              <w:rPr>
                <w:rFonts w:ascii="Arial" w:hAnsi="Arial"/>
                <w:sz w:val="20"/>
              </w:rPr>
              <w:t>• Phân tích sai số theo τ (5/10/15 phút) và theo lát cắt: giờ cao điểm, thời tiết xấu, surge, route hiếm. (Hiếu)</w:t>
            </w:r>
          </w:p>
          <w:p w14:paraId="33568CA4">
            <w:pPr>
              <w:spacing w:after="10" w:line="240" w:lineRule="auto"/>
            </w:pPr>
            <w:r>
              <w:rPr>
                <w:rFonts w:ascii="Arial" w:hAnsi="Arial"/>
                <w:sz w:val="20"/>
              </w:rPr>
              <w:t>• EDA (iii) — Chiến: heteroscedasticity, residual variance thay đổi theo feature nào, đặc biệt theo observation age và biến động lịch sử.</w:t>
            </w:r>
          </w:p>
          <w:p w14:paraId="7015E044">
            <w:pPr>
              <w:spacing w:after="10" w:line="240" w:lineRule="auto"/>
            </w:pPr>
            <w:r>
              <w:rPr>
                <w:rFonts w:ascii="Arial" w:hAnsi="Arial"/>
                <w:sz w:val="20"/>
              </w:rPr>
              <w:t>• Feature importance và partial dependence cho các driver chính. (Chiến)</w:t>
            </w:r>
          </w:p>
          <w:p w14:paraId="4EFCE2AB">
            <w:pPr>
              <w:spacing w:after="10" w:line="240" w:lineRule="auto"/>
            </w:pPr>
            <w:r>
              <w:rPr>
                <w:rFonts w:ascii="Arial" w:hAnsi="Arial"/>
                <w:sz w:val="20"/>
              </w:rPr>
              <w:t>• Chốt model dùng tiếp cho phần uncertainty. (cả nhóm)</w:t>
            </w:r>
          </w:p>
        </w:tc>
        <w:tc>
          <w:tcPr>
            <w:tcW w:w="2767" w:type="dxa"/>
          </w:tcPr>
          <w:p w14:paraId="0372F8A1">
            <w:pPr>
              <w:spacing w:after="10" w:line="240" w:lineRule="auto"/>
            </w:pPr>
            <w:r>
              <w:rPr>
                <w:rFonts w:ascii="Arial" w:hAnsi="Arial"/>
                <w:sz w:val="20"/>
              </w:rPr>
              <w:t>• week3_report.md (kèm punchline)</w:t>
            </w:r>
          </w:p>
          <w:p w14:paraId="677457B3">
            <w:pPr>
              <w:spacing w:after="10" w:line="240" w:lineRule="auto"/>
            </w:pPr>
            <w:r>
              <w:rPr>
                <w:rFonts w:ascii="Arial" w:hAnsi="Arial"/>
                <w:sz w:val="20"/>
              </w:rPr>
              <w:t>• model_comparison.md</w:t>
            </w:r>
          </w:p>
          <w:p w14:paraId="04534B0A">
            <w:pPr>
              <w:spacing w:after="10" w:line="240" w:lineRule="auto"/>
            </w:pPr>
            <w:r>
              <w:rPr>
                <w:rFonts w:ascii="Arial" w:hAnsi="Arial"/>
                <w:sz w:val="20"/>
              </w:rPr>
              <w:t>• ablation_report.md</w:t>
            </w:r>
          </w:p>
          <w:p w14:paraId="238DD72B">
            <w:pPr>
              <w:spacing w:after="10" w:line="240" w:lineRule="auto"/>
            </w:pPr>
            <w:r>
              <w:rPr>
                <w:rFonts w:ascii="Arial" w:hAnsi="Arial"/>
                <w:sz w:val="20"/>
              </w:rPr>
              <w:t>• error_analysis_by_slice.md</w:t>
            </w:r>
          </w:p>
          <w:p w14:paraId="29F46C35">
            <w:pPr>
              <w:spacing w:after="10" w:line="240" w:lineRule="auto"/>
            </w:pPr>
            <w:r>
              <w:rPr>
                <w:rFonts w:ascii="Arial" w:hAnsi="Arial"/>
                <w:sz w:val="20"/>
              </w:rPr>
              <w:t>• uncertainty_drivers_eda.md</w:t>
            </w:r>
          </w:p>
          <w:p w14:paraId="32F276C2">
            <w:pPr>
              <w:spacing w:after="10" w:line="240" w:lineRule="auto"/>
            </w:pPr>
            <w:r>
              <w:rPr>
                <w:rFonts w:ascii="Arial" w:hAnsi="Arial"/>
                <w:sz w:val="20"/>
              </w:rPr>
              <w:t>• model_v2/ (model chốt)</w:t>
            </w:r>
          </w:p>
        </w:tc>
        <w:tc>
          <w:tcPr>
            <w:tcW w:w="5227" w:type="dxa"/>
          </w:tcPr>
          <w:p w14:paraId="7291151B">
            <w:pPr>
              <w:spacing w:after="10" w:line="240" w:lineRule="auto"/>
            </w:pPr>
            <w:r>
              <w:rPr>
                <w:rFonts w:ascii="Arial" w:hAnsi="Arial"/>
                <w:sz w:val="20"/>
              </w:rPr>
              <w:t>• Có bảng so sánh đầy đủ, nêu rõ model thắng và vì sao.</w:t>
            </w:r>
          </w:p>
          <w:p w14:paraId="1DD2F665">
            <w:pPr>
              <w:spacing w:after="10" w:line="240" w:lineRule="auto"/>
            </w:pPr>
            <w:r>
              <w:rPr>
                <w:rFonts w:ascii="Arial" w:hAnsi="Arial"/>
                <w:sz w:val="20"/>
              </w:rPr>
              <w:t>• Ablation lượng hóa được đóng góp của weather, lịch sử giá và route.</w:t>
            </w:r>
          </w:p>
          <w:p w14:paraId="79527E49">
            <w:pPr>
              <w:spacing w:after="10" w:line="240" w:lineRule="auto"/>
            </w:pPr>
            <w:r>
              <w:rPr>
                <w:rFonts w:ascii="Arial" w:hAnsi="Arial"/>
                <w:sz w:val="20"/>
              </w:rPr>
              <w:t>• Xác định rõ vùng dữ liệu mô hình yếu, kèm giả thuyết nguyên nhân.</w:t>
            </w:r>
          </w:p>
          <w:p w14:paraId="66E2E433">
            <w:pPr>
              <w:spacing w:after="10" w:line="240" w:lineRule="auto"/>
            </w:pPr>
            <w:r>
              <w:rPr>
                <w:rFonts w:ascii="Arial" w:hAnsi="Arial"/>
                <w:sz w:val="20"/>
              </w:rPr>
              <w:t>• Chốt được tối thiểu 3 biến dự báo được độ bất định, có bằng chứng định lượng.</w:t>
            </w:r>
          </w:p>
          <w:p w14:paraId="1B86E93E">
            <w:pPr>
              <w:spacing w:after="10" w:line="240" w:lineRule="auto"/>
            </w:pPr>
            <w:r>
              <w:rPr>
                <w:rFonts w:ascii="Arial" w:hAnsi="Arial"/>
                <w:sz w:val="20"/>
              </w:rPr>
              <w:t>• Gate: model chốt phải đạt KPI MAE; nếu không, thu hẹp scope target (ví dụ chỉ route đủ dữ liệu) và ghi rõ giới hạn.</w:t>
            </w:r>
          </w:p>
          <w:p w14:paraId="06A4927C">
            <w:pPr>
              <w:spacing w:after="10" w:line="240" w:lineRule="auto"/>
            </w:pPr>
            <w:r>
              <w:rPr>
                <w:rFonts w:ascii="Arial" w:hAnsi="Arial"/>
                <w:sz w:val="20"/>
              </w:rPr>
              <w:t>• Gate: nếu tuần 3 chưa chốt được model, cắt phần ensemble và chuyển ngay sang (iii) để không dồn rủi ro về cuối dự án.</w:t>
            </w:r>
          </w:p>
        </w:tc>
      </w:tr>
      <w:tr w14:paraId="01CF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shd w:val="clear" w:color="auto" w:fill="EAF4F1"/>
            <w:vAlign w:val="center"/>
          </w:tcPr>
          <w:p w14:paraId="2103E3FD">
            <w:pPr>
              <w:spacing w:after="10" w:line="240" w:lineRule="auto"/>
              <w:jc w:val="center"/>
            </w:pPr>
            <w:r>
              <w:rPr>
                <w:rFonts w:ascii="Arial" w:hAnsi="Arial"/>
                <w:b/>
                <w:sz w:val="20"/>
              </w:rPr>
              <w:t>4</w:t>
            </w:r>
          </w:p>
          <w:p w14:paraId="284FFF93">
            <w:pPr>
              <w:spacing w:after="10" w:line="240" w:lineRule="auto"/>
              <w:jc w:val="center"/>
            </w:pPr>
            <w:r>
              <w:rPr>
                <w:rFonts w:ascii="Arial" w:hAnsi="Arial"/>
                <w:b/>
                <w:sz w:val="20"/>
              </w:rPr>
              <w:t>(Sprint 2)</w:t>
            </w:r>
          </w:p>
        </w:tc>
        <w:tc>
          <w:tcPr>
            <w:tcW w:w="1945" w:type="dxa"/>
            <w:shd w:val="clear" w:color="auto" w:fill="EAF4F1"/>
          </w:tcPr>
          <w:p w14:paraId="44085D39">
            <w:pPr>
              <w:spacing w:after="10" w:line="240" w:lineRule="auto"/>
            </w:pPr>
            <w:r>
              <w:rPr>
                <w:rFonts w:ascii="Arial" w:hAnsi="Arial"/>
                <w:sz w:val="20"/>
              </w:rPr>
              <w:t>Punchline: Mô hình không còn xuất một con số, mà xuất một khoảng — 80% PI đầu tiên có coverage đo được.</w:t>
            </w:r>
          </w:p>
          <w:p w14:paraId="417E0658">
            <w:pPr>
              <w:spacing w:after="10" w:line="240" w:lineRule="auto"/>
            </w:pPr>
            <w:r>
              <w:rPr>
                <w:rFonts w:ascii="Arial" w:hAnsi="Arial"/>
                <w:sz w:val="20"/>
              </w:rPr>
              <w:t>• Khởi động cấu phần (iii).</w:t>
            </w:r>
          </w:p>
          <w:p w14:paraId="6EB0ADA1">
            <w:pPr>
              <w:spacing w:after="10" w:line="240" w:lineRule="auto"/>
            </w:pPr>
            <w:r>
              <w:rPr>
                <w:rFonts w:ascii="Arial" w:hAnsi="Arial"/>
                <w:sz w:val="20"/>
              </w:rPr>
              <w:t>• So sánh sòng phẳng các hướng uncertainty quantification.</w:t>
            </w:r>
          </w:p>
        </w:tc>
        <w:tc>
          <w:tcPr>
            <w:tcW w:w="4966" w:type="dxa"/>
            <w:shd w:val="clear" w:color="auto" w:fill="EAF4F1"/>
          </w:tcPr>
          <w:p w14:paraId="038D5176">
            <w:pPr>
              <w:spacing w:after="10" w:line="240" w:lineRule="auto"/>
            </w:pPr>
            <w:r>
              <w:rPr>
                <w:rFonts w:ascii="Arial" w:hAnsi="Arial"/>
                <w:sz w:val="20"/>
              </w:rPr>
              <w:t>• Triển khai quantile regression (pinball loss) cho các mức 10/50/90. (Chiến)</w:t>
            </w:r>
          </w:p>
          <w:p w14:paraId="3A96C939">
            <w:pPr>
              <w:spacing w:after="10" w:line="240" w:lineRule="auto"/>
            </w:pPr>
            <w:r>
              <w:rPr>
                <w:rFonts w:ascii="Arial" w:hAnsi="Arial"/>
                <w:sz w:val="20"/>
              </w:rPr>
              <w:t>• Triển khai split conformal prediction trên residual của model chốt. (Chiến)</w:t>
            </w:r>
          </w:p>
          <w:p w14:paraId="4A327644">
            <w:pPr>
              <w:spacing w:after="10" w:line="240" w:lineRule="auto"/>
            </w:pPr>
            <w:r>
              <w:rPr>
                <w:rFonts w:ascii="Arial" w:hAnsi="Arial"/>
                <w:sz w:val="20"/>
              </w:rPr>
              <w:t>• Triển khai ensemble/bootstrap-based interval làm đối chứng. (Hiếu support)</w:t>
            </w:r>
          </w:p>
          <w:p w14:paraId="4692DBB7">
            <w:pPr>
              <w:spacing w:after="10" w:line="240" w:lineRule="auto"/>
            </w:pPr>
            <w:r>
              <w:rPr>
                <w:rFonts w:ascii="Arial" w:hAnsi="Arial"/>
                <w:sz w:val="20"/>
              </w:rPr>
              <w:t>• Xây calibration set tách biệt theo thời gian, không trùng train và test. (Chiến)</w:t>
            </w:r>
          </w:p>
          <w:p w14:paraId="08B8BAB0">
            <w:pPr>
              <w:spacing w:after="10" w:line="240" w:lineRule="auto"/>
            </w:pPr>
            <w:r>
              <w:rPr>
                <w:rFonts w:ascii="Arial" w:hAnsi="Arial"/>
                <w:sz w:val="20"/>
              </w:rPr>
              <w:t>• Đo coverage, average interval width, pinball loss, CRPS trên test. (Chiến)</w:t>
            </w:r>
          </w:p>
          <w:p w14:paraId="3E77BCB1">
            <w:pPr>
              <w:spacing w:after="10" w:line="240" w:lineRule="auto"/>
            </w:pPr>
            <w:r>
              <w:rPr>
                <w:rFonts w:ascii="Arial" w:hAnsi="Arial"/>
                <w:sz w:val="20"/>
              </w:rPr>
              <w:t>• Vẽ reliability diagram và coverage-versus-width curve. (Chiến)</w:t>
            </w:r>
          </w:p>
        </w:tc>
        <w:tc>
          <w:tcPr>
            <w:tcW w:w="2767" w:type="dxa"/>
            <w:shd w:val="clear" w:color="auto" w:fill="EAF4F1"/>
          </w:tcPr>
          <w:p w14:paraId="2B586776">
            <w:pPr>
              <w:spacing w:after="10" w:line="240" w:lineRule="auto"/>
            </w:pPr>
            <w:r>
              <w:rPr>
                <w:rFonts w:ascii="Arial" w:hAnsi="Arial"/>
                <w:sz w:val="20"/>
              </w:rPr>
              <w:t>• week4_report.md (kèm punchline)</w:t>
            </w:r>
          </w:p>
          <w:p w14:paraId="1BE71BDB">
            <w:pPr>
              <w:spacing w:after="10" w:line="240" w:lineRule="auto"/>
            </w:pPr>
            <w:r>
              <w:rPr>
                <w:rFonts w:ascii="Arial" w:hAnsi="Arial"/>
                <w:sz w:val="20"/>
              </w:rPr>
              <w:t>• uncertainty_module/ (3 phương pháp)</w:t>
            </w:r>
          </w:p>
          <w:p w14:paraId="642E0962">
            <w:pPr>
              <w:spacing w:after="10" w:line="240" w:lineRule="auto"/>
            </w:pPr>
            <w:r>
              <w:rPr>
                <w:rFonts w:ascii="Arial" w:hAnsi="Arial"/>
                <w:sz w:val="20"/>
              </w:rPr>
              <w:t>• calibration_split.md</w:t>
            </w:r>
          </w:p>
          <w:p w14:paraId="6BAD2B47">
            <w:pPr>
              <w:spacing w:after="10" w:line="240" w:lineRule="auto"/>
            </w:pPr>
            <w:r>
              <w:rPr>
                <w:rFonts w:ascii="Arial" w:hAnsi="Arial"/>
                <w:sz w:val="20"/>
              </w:rPr>
              <w:t>• uncertainty_results.csv</w:t>
            </w:r>
          </w:p>
          <w:p w14:paraId="34FFCEA6">
            <w:pPr>
              <w:spacing w:after="10" w:line="240" w:lineRule="auto"/>
            </w:pPr>
            <w:r>
              <w:rPr>
                <w:rFonts w:ascii="Arial" w:hAnsi="Arial"/>
                <w:sz w:val="20"/>
              </w:rPr>
              <w:t>• reliability_diagrams/</w:t>
            </w:r>
          </w:p>
          <w:p w14:paraId="04315BF1">
            <w:pPr>
              <w:spacing w:after="10" w:line="240" w:lineRule="auto"/>
            </w:pPr>
            <w:r>
              <w:rPr>
                <w:rFonts w:ascii="Arial" w:hAnsi="Arial"/>
                <w:sz w:val="20"/>
              </w:rPr>
              <w:t>• uq_comparison.md</w:t>
            </w:r>
          </w:p>
        </w:tc>
        <w:tc>
          <w:tcPr>
            <w:tcW w:w="5227" w:type="dxa"/>
            <w:shd w:val="clear" w:color="auto" w:fill="EAF4F1"/>
          </w:tcPr>
          <w:p w14:paraId="6BF337F7">
            <w:pPr>
              <w:spacing w:after="10" w:line="240" w:lineRule="auto"/>
            </w:pPr>
            <w:r>
              <w:rPr>
                <w:rFonts w:ascii="Arial" w:hAnsi="Arial"/>
                <w:sz w:val="20"/>
              </w:rPr>
              <w:t>• Calibration set tách biệt theo thời gian, có kiểm chứng.</w:t>
            </w:r>
          </w:p>
          <w:p w14:paraId="581928D8">
            <w:pPr>
              <w:spacing w:after="10" w:line="240" w:lineRule="auto"/>
            </w:pPr>
            <w:r>
              <w:rPr>
                <w:rFonts w:ascii="Arial" w:hAnsi="Arial"/>
                <w:sz w:val="20"/>
              </w:rPr>
              <w:t>• Cả 3 phương pháp chạy được và có số coverage/width trên cùng test set.</w:t>
            </w:r>
          </w:p>
          <w:p w14:paraId="63F913AC">
            <w:pPr>
              <w:spacing w:after="10" w:line="240" w:lineRule="auto"/>
            </w:pPr>
            <w:r>
              <w:rPr>
                <w:rFonts w:ascii="Arial" w:hAnsi="Arial"/>
                <w:sz w:val="20"/>
              </w:rPr>
              <w:t>• Marginal coverage của 80% và 90% interval sai lệch ≤3 điểm phần trăm ở tối thiểu một phương pháp.</w:t>
            </w:r>
          </w:p>
          <w:p w14:paraId="36217981">
            <w:pPr>
              <w:spacing w:after="10" w:line="240" w:lineRule="auto"/>
            </w:pPr>
            <w:r>
              <w:rPr>
                <w:rFonts w:ascii="Arial" w:hAnsi="Arial"/>
                <w:sz w:val="20"/>
              </w:rPr>
              <w:t>• Output đọc được ở dạng nghiệp vụ, ví dụ 80% prediction interval: [17.20, 20.60].</w:t>
            </w:r>
          </w:p>
          <w:p w14:paraId="3DCD7970">
            <w:pPr>
              <w:spacing w:after="10" w:line="240" w:lineRule="auto"/>
            </w:pPr>
            <w:r>
              <w:rPr>
                <w:rFonts w:ascii="Arial" w:hAnsi="Arial"/>
                <w:sz w:val="20"/>
              </w:rPr>
              <w:t>• Gate: nếu không phương pháp nào đạt coverage, ưu tiên conformal vì có đảm bảo lý thuyết, và báo cáo trung thực mức sai lệch thay vì tinh chỉnh đến khi đẹp.</w:t>
            </w:r>
          </w:p>
        </w:tc>
      </w:tr>
      <w:tr w14:paraId="5512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Align w:val="center"/>
          </w:tcPr>
          <w:p w14:paraId="1386ECD3">
            <w:pPr>
              <w:spacing w:after="10" w:line="240" w:lineRule="auto"/>
              <w:jc w:val="center"/>
            </w:pPr>
            <w:r>
              <w:rPr>
                <w:rFonts w:ascii="Arial" w:hAnsi="Arial"/>
                <w:b/>
                <w:sz w:val="20"/>
              </w:rPr>
              <w:t>5</w:t>
            </w:r>
          </w:p>
          <w:p w14:paraId="59F6C3B5">
            <w:pPr>
              <w:spacing w:after="10" w:line="240" w:lineRule="auto"/>
              <w:jc w:val="center"/>
            </w:pPr>
            <w:r>
              <w:rPr>
                <w:rFonts w:ascii="Arial" w:hAnsi="Arial"/>
                <w:b/>
                <w:sz w:val="20"/>
              </w:rPr>
              <w:t>(Sprint 3)</w:t>
            </w:r>
          </w:p>
        </w:tc>
        <w:tc>
          <w:tcPr>
            <w:tcW w:w="1945" w:type="dxa"/>
          </w:tcPr>
          <w:p w14:paraId="652BA03F">
            <w:pPr>
              <w:spacing w:after="10" w:line="240" w:lineRule="auto"/>
            </w:pPr>
            <w:r>
              <w:rPr>
                <w:rFonts w:ascii="Arial" w:hAnsi="Arial"/>
                <w:sz w:val="20"/>
              </w:rPr>
              <w:t>Punchline: Interval nới đúng chỗ — rộng ở tình huống khó, hẹp ở tình huống dễ — và có ngưỡng cụ thể để pricing algo biết khi nào được tin tín hiệu giá đối thủ.</w:t>
            </w:r>
          </w:p>
          <w:p w14:paraId="3F0B10D9">
            <w:pPr>
              <w:spacing w:after="10" w:line="240" w:lineRule="auto"/>
            </w:pPr>
            <w:r>
              <w:rPr>
                <w:rFonts w:ascii="Arial" w:hAnsi="Arial"/>
                <w:sz w:val="20"/>
              </w:rPr>
              <w:t>• Kiểm tra độ bền qua nhiều tình huống trước khi khuyến nghị.</w:t>
            </w:r>
          </w:p>
        </w:tc>
        <w:tc>
          <w:tcPr>
            <w:tcW w:w="4966" w:type="dxa"/>
          </w:tcPr>
          <w:p w14:paraId="465B5117">
            <w:pPr>
              <w:spacing w:after="10" w:line="240" w:lineRule="auto"/>
            </w:pPr>
            <w:r>
              <w:rPr>
                <w:rFonts w:ascii="Arial" w:hAnsi="Arial"/>
                <w:sz w:val="20"/>
              </w:rPr>
              <w:t>• Triển khai adaptive/Mondrian conformal: hiệu chuẩn theo nhóm (giờ cao điểm, thời tiết, service, mật độ route, observation age). (Chiến, Hiếu support)</w:t>
            </w:r>
          </w:p>
          <w:p w14:paraId="0F3FCA4F">
            <w:pPr>
              <w:spacing w:after="10" w:line="240" w:lineRule="auto"/>
            </w:pPr>
            <w:r>
              <w:rPr>
                <w:rFonts w:ascii="Arial" w:hAnsi="Arial"/>
                <w:sz w:val="20"/>
              </w:rPr>
              <w:t>• Đo conditional coverage theo từng nhóm, không chỉ marginal coverage. (Chiến)</w:t>
            </w:r>
          </w:p>
          <w:p w14:paraId="340BBA21">
            <w:pPr>
              <w:spacing w:after="10" w:line="240" w:lineRule="auto"/>
            </w:pPr>
            <w:r>
              <w:rPr>
                <w:rFonts w:ascii="Arial" w:hAnsi="Arial"/>
                <w:sz w:val="20"/>
              </w:rPr>
              <w:t>• Stress test: giờ cao điểm, mưa/tuyết, surge cao, route ít dữ liệu, τ lớn hơn thiết kế, shift theo tuần. (Hiếu)</w:t>
            </w:r>
          </w:p>
          <w:p w14:paraId="2368A9A4">
            <w:pPr>
              <w:spacing w:after="10" w:line="240" w:lineRule="auto"/>
            </w:pPr>
            <w:r>
              <w:rPr>
                <w:rFonts w:ascii="Arial" w:hAnsi="Arial"/>
                <w:sz w:val="20"/>
              </w:rPr>
              <w:t>• Xây decision rule: ngưỡng độ rộng interval mà pricing algo được phép dùng tín hiệu giá đối thủ. (cả nhóm)</w:t>
            </w:r>
          </w:p>
          <w:p w14:paraId="07A2F0B1">
            <w:pPr>
              <w:spacing w:after="10" w:line="240" w:lineRule="auto"/>
            </w:pPr>
            <w:r>
              <w:rPr>
                <w:rFonts w:ascii="Arial" w:hAnsi="Arial"/>
                <w:sz w:val="20"/>
              </w:rPr>
              <w:t>• Mô phỏng tác động của decision rule: tỉ lệ tín hiệu được dùng và sai số khi dùng. (Hiếu)</w:t>
            </w:r>
          </w:p>
          <w:p w14:paraId="3F5ECD51">
            <w:pPr>
              <w:spacing w:after="10" w:line="240" w:lineRule="auto"/>
            </w:pPr>
            <w:r>
              <w:rPr>
                <w:rFonts w:ascii="Arial" w:hAnsi="Arial"/>
                <w:sz w:val="20"/>
              </w:rPr>
              <w:t>• Đo decision latency (median, P95) của toàn pipeline. (Hiếu)</w:t>
            </w:r>
          </w:p>
        </w:tc>
        <w:tc>
          <w:tcPr>
            <w:tcW w:w="2767" w:type="dxa"/>
          </w:tcPr>
          <w:p w14:paraId="09ED7021">
            <w:pPr>
              <w:spacing w:after="10" w:line="240" w:lineRule="auto"/>
            </w:pPr>
            <w:r>
              <w:rPr>
                <w:rFonts w:ascii="Arial" w:hAnsi="Arial"/>
                <w:sz w:val="20"/>
              </w:rPr>
              <w:t>• week5_report.md (kèm punchline)</w:t>
            </w:r>
          </w:p>
          <w:p w14:paraId="54D59144">
            <w:pPr>
              <w:spacing w:after="10" w:line="240" w:lineRule="auto"/>
            </w:pPr>
            <w:r>
              <w:rPr>
                <w:rFonts w:ascii="Arial" w:hAnsi="Arial"/>
                <w:sz w:val="20"/>
              </w:rPr>
              <w:t>• adaptive_conformal/</w:t>
            </w:r>
          </w:p>
          <w:p w14:paraId="267CE441">
            <w:pPr>
              <w:spacing w:after="10" w:line="240" w:lineRule="auto"/>
            </w:pPr>
            <w:r>
              <w:rPr>
                <w:rFonts w:ascii="Arial" w:hAnsi="Arial"/>
                <w:sz w:val="20"/>
              </w:rPr>
              <w:t>• conditional_coverage_report.md</w:t>
            </w:r>
          </w:p>
          <w:p w14:paraId="19EAD32D">
            <w:pPr>
              <w:spacing w:after="10" w:line="240" w:lineRule="auto"/>
            </w:pPr>
            <w:r>
              <w:rPr>
                <w:rFonts w:ascii="Arial" w:hAnsi="Arial"/>
                <w:sz w:val="20"/>
              </w:rPr>
              <w:t>• stress_test_report.md</w:t>
            </w:r>
          </w:p>
          <w:p w14:paraId="732A55C0">
            <w:pPr>
              <w:spacing w:after="10" w:line="240" w:lineRule="auto"/>
            </w:pPr>
            <w:r>
              <w:rPr>
                <w:rFonts w:ascii="Arial" w:hAnsi="Arial"/>
                <w:sz w:val="20"/>
              </w:rPr>
              <w:t>• decision_rule.md</w:t>
            </w:r>
          </w:p>
          <w:p w14:paraId="55471EAF">
            <w:pPr>
              <w:spacing w:after="10" w:line="240" w:lineRule="auto"/>
            </w:pPr>
            <w:r>
              <w:rPr>
                <w:rFonts w:ascii="Arial" w:hAnsi="Arial"/>
                <w:sz w:val="20"/>
              </w:rPr>
              <w:t>• latency_report.md</w:t>
            </w:r>
          </w:p>
        </w:tc>
        <w:tc>
          <w:tcPr>
            <w:tcW w:w="5227" w:type="dxa"/>
          </w:tcPr>
          <w:p w14:paraId="01662361">
            <w:pPr>
              <w:spacing w:after="10" w:line="240" w:lineRule="auto"/>
            </w:pPr>
            <w:r>
              <w:rPr>
                <w:rFonts w:ascii="Arial" w:hAnsi="Arial"/>
                <w:sz w:val="20"/>
              </w:rPr>
              <w:t>• Conditional coverage được báo cáo cho mọi nhóm, kèm số mẫu từng nhóm.</w:t>
            </w:r>
          </w:p>
          <w:p w14:paraId="41862586">
            <w:pPr>
              <w:spacing w:after="10" w:line="240" w:lineRule="auto"/>
            </w:pPr>
            <w:r>
              <w:rPr>
                <w:rFonts w:ascii="Arial" w:hAnsi="Arial"/>
                <w:sz w:val="20"/>
              </w:rPr>
              <w:t>• Chứng minh bằng số rằng interval rộng hơn ở nhóm khó và hẹp hơn ở nhóm dễ.</w:t>
            </w:r>
          </w:p>
          <w:p w14:paraId="0EBADD27">
            <w:pPr>
              <w:spacing w:after="10" w:line="240" w:lineRule="auto"/>
            </w:pPr>
            <w:r>
              <w:rPr>
                <w:rFonts w:ascii="Arial" w:hAnsi="Arial"/>
                <w:sz w:val="20"/>
              </w:rPr>
              <w:t>• Stress test báo cáo toàn bộ kịch bản, không chọn riêng ngày tốt nhất.</w:t>
            </w:r>
          </w:p>
          <w:p w14:paraId="02EB2EDA">
            <w:pPr>
              <w:spacing w:after="10" w:line="240" w:lineRule="auto"/>
            </w:pPr>
            <w:r>
              <w:rPr>
                <w:rFonts w:ascii="Arial" w:hAnsi="Arial"/>
                <w:sz w:val="20"/>
              </w:rPr>
              <w:t>• Decision rule có ngưỡng cụ thể và có căn cứ định lượng.</w:t>
            </w:r>
          </w:p>
          <w:p w14:paraId="7BB0A1DB">
            <w:pPr>
              <w:spacing w:after="10" w:line="240" w:lineRule="auto"/>
            </w:pPr>
            <w:r>
              <w:rPr>
                <w:rFonts w:ascii="Arial" w:hAnsi="Arial"/>
                <w:sz w:val="20"/>
              </w:rPr>
              <w:t>• Gate: nếu conditional coverage hỏng ở nhóm quan trọng, hạ claim xuống mức marginal coverage và ghi rõ điều kiện áp dụng.</w:t>
            </w:r>
          </w:p>
        </w:tc>
      </w:tr>
      <w:tr w14:paraId="1C4A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shd w:val="clear" w:color="auto" w:fill="EAF4F1"/>
            <w:vAlign w:val="center"/>
          </w:tcPr>
          <w:p w14:paraId="50132F2E">
            <w:pPr>
              <w:spacing w:after="10" w:line="240" w:lineRule="auto"/>
              <w:jc w:val="center"/>
            </w:pPr>
            <w:r>
              <w:rPr>
                <w:rFonts w:ascii="Arial" w:hAnsi="Arial"/>
                <w:b/>
                <w:sz w:val="20"/>
              </w:rPr>
              <w:t>6</w:t>
            </w:r>
          </w:p>
          <w:p w14:paraId="59935249">
            <w:pPr>
              <w:spacing w:after="10" w:line="240" w:lineRule="auto"/>
              <w:jc w:val="center"/>
            </w:pPr>
            <w:r>
              <w:rPr>
                <w:rFonts w:ascii="Arial" w:hAnsi="Arial"/>
                <w:b/>
                <w:sz w:val="20"/>
              </w:rPr>
              <w:t>(Sprint 3)</w:t>
            </w:r>
          </w:p>
        </w:tc>
        <w:tc>
          <w:tcPr>
            <w:tcW w:w="1945" w:type="dxa"/>
            <w:shd w:val="clear" w:color="auto" w:fill="EAF4F1"/>
          </w:tcPr>
          <w:p w14:paraId="66FE7D95">
            <w:pPr>
              <w:spacing w:after="10" w:line="240" w:lineRule="auto"/>
            </w:pPr>
            <w:r>
              <w:rPr>
                <w:rFonts w:ascii="Arial" w:hAnsi="Arial"/>
                <w:sz w:val="20"/>
              </w:rPr>
              <w:t>Punchline: Trả lời được câu hỏi vận hành — dự báo giá đối thủ tin được tới đâu, trong điều kiện nào, và khi nào pricing algo không nên dùng nó.</w:t>
            </w:r>
          </w:p>
          <w:p w14:paraId="2F20019A">
            <w:pPr>
              <w:spacing w:after="10" w:line="240" w:lineRule="auto"/>
            </w:pPr>
            <w:r>
              <w:rPr>
                <w:rFonts w:ascii="Arial" w:hAnsi="Arial"/>
                <w:sz w:val="20"/>
              </w:rPr>
              <w:t>• Hoàn thiện và bàn giao PoC.</w:t>
            </w:r>
          </w:p>
        </w:tc>
        <w:tc>
          <w:tcPr>
            <w:tcW w:w="4966" w:type="dxa"/>
            <w:shd w:val="clear" w:color="auto" w:fill="EAF4F1"/>
          </w:tcPr>
          <w:p w14:paraId="42D12087">
            <w:pPr>
              <w:spacing w:after="10" w:line="240" w:lineRule="auto"/>
            </w:pPr>
            <w:r>
              <w:rPr>
                <w:rFonts w:ascii="Arial" w:hAnsi="Arial"/>
                <w:sz w:val="20"/>
              </w:rPr>
              <w:t>• Tổng hợp trade-off: độ chính xác, độ rộng interval và tỉ lệ tín hiệu dùng được. (cả nhóm)</w:t>
            </w:r>
          </w:p>
          <w:p w14:paraId="3AF97305">
            <w:pPr>
              <w:spacing w:after="10" w:line="240" w:lineRule="auto"/>
            </w:pPr>
            <w:r>
              <w:rPr>
                <w:rFonts w:ascii="Arial" w:hAnsi="Arial"/>
                <w:sz w:val="20"/>
              </w:rPr>
              <w:t>• Viết khuyến nghị go/no-go cho việc đưa tín hiệu giá đối thủ vào pricing algo. (cả nhóm)</w:t>
            </w:r>
          </w:p>
          <w:p w14:paraId="6FD0C936">
            <w:pPr>
              <w:spacing w:after="10" w:line="240" w:lineRule="auto"/>
            </w:pPr>
            <w:r>
              <w:rPr>
                <w:rFonts w:ascii="Arial" w:hAnsi="Arial"/>
                <w:sz w:val="20"/>
              </w:rPr>
              <w:t>• Đề xuất phương án tích hợp ở mức kiến trúc, kèm yêu cầu dữ liệu và tần suất cập nhật. (Hiếu)</w:t>
            </w:r>
          </w:p>
          <w:p w14:paraId="1DF861BA">
            <w:pPr>
              <w:spacing w:after="10" w:line="240" w:lineRule="auto"/>
            </w:pPr>
            <w:r>
              <w:rPr>
                <w:rFonts w:ascii="Arial" w:hAnsi="Arial"/>
                <w:sz w:val="20"/>
              </w:rPr>
              <w:t>• Nêu rõ khoảng cách giữa public dataset Boston và bối cảnh Grab/Be tại Việt Nam; liệt kê giả định nào có thể vỡ khi chuyển sang dữ liệu GreenSM. (Chiến)</w:t>
            </w:r>
          </w:p>
          <w:p w14:paraId="100B272E">
            <w:pPr>
              <w:spacing w:after="10" w:line="240" w:lineRule="auto"/>
            </w:pPr>
            <w:r>
              <w:rPr>
                <w:rFonts w:ascii="Arial" w:hAnsi="Arial"/>
                <w:sz w:val="20"/>
              </w:rPr>
              <w:t>• Đóng gói bàn giao để mentor chạy được trên dataset GreenSM: schema đầu vào, script, config, README. (cả nhóm)</w:t>
            </w:r>
          </w:p>
          <w:p w14:paraId="72955DE4">
            <w:pPr>
              <w:spacing w:after="10" w:line="240" w:lineRule="auto"/>
            </w:pPr>
            <w:r>
              <w:rPr>
                <w:rFonts w:ascii="Arial" w:hAnsi="Arial"/>
                <w:sz w:val="20"/>
              </w:rPr>
              <w:t>• Hoàn thiện code, dashboard, technical report, demo và decision log. (cả nhóm)</w:t>
            </w:r>
          </w:p>
          <w:p w14:paraId="5DB95928">
            <w:pPr>
              <w:spacing w:after="10" w:line="240" w:lineRule="auto"/>
            </w:pPr>
            <w:r>
              <w:rPr>
                <w:rFonts w:ascii="Arial" w:hAnsi="Arial"/>
                <w:sz w:val="20"/>
              </w:rPr>
              <w:t>• Đề xuất hướng mở rộng: multi-competitor, dữ liệu dài hạn hơn, online recalibration. (cả nhóm)</w:t>
            </w:r>
          </w:p>
        </w:tc>
        <w:tc>
          <w:tcPr>
            <w:tcW w:w="2767" w:type="dxa"/>
            <w:shd w:val="clear" w:color="auto" w:fill="EAF4F1"/>
          </w:tcPr>
          <w:p w14:paraId="06602CB8">
            <w:pPr>
              <w:spacing w:after="10" w:line="240" w:lineRule="auto"/>
            </w:pPr>
            <w:r>
              <w:rPr>
                <w:rFonts w:ascii="Arial" w:hAnsi="Arial"/>
                <w:sz w:val="20"/>
              </w:rPr>
              <w:t>• week6_report.md (kèm punchline)</w:t>
            </w:r>
          </w:p>
          <w:p w14:paraId="5AA038A7">
            <w:pPr>
              <w:spacing w:after="10" w:line="240" w:lineRule="auto"/>
            </w:pPr>
            <w:r>
              <w:rPr>
                <w:rFonts w:ascii="Arial" w:hAnsi="Arial"/>
                <w:sz w:val="20"/>
              </w:rPr>
              <w:t>• final_report.md</w:t>
            </w:r>
          </w:p>
          <w:p w14:paraId="13377345">
            <w:pPr>
              <w:spacing w:after="10" w:line="240" w:lineRule="auto"/>
            </w:pPr>
            <w:r>
              <w:rPr>
                <w:rFonts w:ascii="Arial" w:hAnsi="Arial"/>
                <w:sz w:val="20"/>
              </w:rPr>
              <w:t>• tradeoff_summary.md</w:t>
            </w:r>
          </w:p>
          <w:p w14:paraId="2FF2BE80">
            <w:pPr>
              <w:spacing w:after="10" w:line="240" w:lineRule="auto"/>
            </w:pPr>
            <w:r>
              <w:rPr>
                <w:rFonts w:ascii="Arial" w:hAnsi="Arial"/>
                <w:sz w:val="20"/>
              </w:rPr>
              <w:t>• go_no_go_recommendation.md</w:t>
            </w:r>
          </w:p>
          <w:p w14:paraId="6791ADFE">
            <w:pPr>
              <w:spacing w:after="10" w:line="240" w:lineRule="auto"/>
            </w:pPr>
            <w:r>
              <w:rPr>
                <w:rFonts w:ascii="Arial" w:hAnsi="Arial"/>
                <w:sz w:val="20"/>
              </w:rPr>
              <w:t>• integration_proposal.md</w:t>
            </w:r>
          </w:p>
          <w:p w14:paraId="38246952">
            <w:pPr>
              <w:spacing w:after="10" w:line="240" w:lineRule="auto"/>
            </w:pPr>
            <w:r>
              <w:rPr>
                <w:rFonts w:ascii="Arial" w:hAnsi="Arial"/>
                <w:sz w:val="20"/>
              </w:rPr>
              <w:t>• limitations_and_transfer.md</w:t>
            </w:r>
          </w:p>
          <w:p w14:paraId="10C584DE">
            <w:pPr>
              <w:spacing w:after="10" w:line="240" w:lineRule="auto"/>
            </w:pPr>
            <w:r>
              <w:rPr>
                <w:rFonts w:ascii="Arial" w:hAnsi="Arial"/>
                <w:sz w:val="20"/>
              </w:rPr>
              <w:t>• handoff_package/ (schema, script, config)</w:t>
            </w:r>
          </w:p>
          <w:p w14:paraId="2A976537">
            <w:pPr>
              <w:spacing w:after="10" w:line="240" w:lineRule="auto"/>
            </w:pPr>
            <w:r>
              <w:rPr>
                <w:rFonts w:ascii="Arial" w:hAnsi="Arial"/>
                <w:sz w:val="20"/>
              </w:rPr>
              <w:t>• README.md, dashboard, demo và source code</w:t>
            </w:r>
          </w:p>
        </w:tc>
        <w:tc>
          <w:tcPr>
            <w:tcW w:w="5227" w:type="dxa"/>
            <w:shd w:val="clear" w:color="auto" w:fill="EAF4F1"/>
          </w:tcPr>
          <w:p w14:paraId="1F52638F">
            <w:pPr>
              <w:spacing w:after="10" w:line="240" w:lineRule="auto"/>
            </w:pPr>
            <w:r>
              <w:rPr>
                <w:rFonts w:ascii="Arial" w:hAnsi="Arial"/>
                <w:sz w:val="20"/>
              </w:rPr>
              <w:t>• Trả lời rõ: dự báo tin được tới đâu, trong điều kiện nào, và khi nào không nên dùng.</w:t>
            </w:r>
          </w:p>
          <w:p w14:paraId="6F3EB39C">
            <w:pPr>
              <w:spacing w:after="10" w:line="240" w:lineRule="auto"/>
            </w:pPr>
            <w:r>
              <w:rPr>
                <w:rFonts w:ascii="Arial" w:hAnsi="Arial"/>
                <w:sz w:val="20"/>
              </w:rPr>
              <w:t>• Kết luận thuộc một nhóm: sẵn sàng thử trên dữ liệu GreenSM; cần thêm dữ liệu; hoặc chưa nên dùng trong pricing algo.</w:t>
            </w:r>
          </w:p>
          <w:p w14:paraId="5BEDA6EF">
            <w:pPr>
              <w:spacing w:after="10" w:line="240" w:lineRule="auto"/>
            </w:pPr>
            <w:r>
              <w:rPr>
                <w:rFonts w:ascii="Arial" w:hAnsi="Arial"/>
                <w:sz w:val="20"/>
              </w:rPr>
              <w:t>• Gói bàn giao chạy được trên dữ liệu có schema khác, có hướng dẫn map trường dữ liệu.</w:t>
            </w:r>
          </w:p>
          <w:p w14:paraId="35ED38F0">
            <w:pPr>
              <w:spacing w:after="10" w:line="240" w:lineRule="auto"/>
            </w:pPr>
            <w:r>
              <w:rPr>
                <w:rFonts w:ascii="Arial" w:hAnsi="Arial"/>
                <w:sz w:val="20"/>
              </w:rPr>
              <w:t>• Demo dễ hiểu với người không chuyên; code và hướng dẫn tái lập được từ đầu.</w:t>
            </w:r>
          </w:p>
          <w:p w14:paraId="4C266E72">
            <w:pPr>
              <w:spacing w:after="10" w:line="240" w:lineRule="auto"/>
            </w:pPr>
            <w:r>
              <w:rPr>
                <w:rFonts w:ascii="Arial" w:hAnsi="Arial"/>
                <w:sz w:val="20"/>
              </w:rPr>
              <w:t>• Mọi claim quan trọng có artifact hoặc evidence link.</w:t>
            </w:r>
          </w:p>
          <w:p w14:paraId="41BC4FC4">
            <w:pPr>
              <w:spacing w:after="10" w:line="240" w:lineRule="auto"/>
            </w:pPr>
            <w:r>
              <w:rPr>
                <w:rFonts w:ascii="Arial" w:hAnsi="Arial"/>
                <w:sz w:val="20"/>
              </w:rPr>
              <w:t>• Gate: không đưa ra claim về hiệu quả trên thị trường thật vượt quá bằng chứng từ public dataset.</w:t>
            </w:r>
          </w:p>
        </w:tc>
      </w:tr>
    </w:tbl>
    <w:p w14:paraId="2A64AF66"/>
    <w:sectPr>
      <w:pgSz w:w="16838" w:h="11906" w:orient="landscape"/>
      <w:pgMar w:top="510" w:right="567" w:bottom="510" w:left="56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FB5D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1680</Words>
  <Characters>7341</Characters>
  <Lines>0</Lines>
  <Paragraphs>0</Paragraphs>
  <TotalTime>1</TotalTime>
  <ScaleCrop>false</ScaleCrop>
  <LinksUpToDate>false</LinksUpToDate>
  <CharactersWithSpaces>8940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Hiếu Nguyễn</cp:lastModifiedBy>
  <dcterms:modified xsi:type="dcterms:W3CDTF">2026-07-21T06:56:42Z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eyJoZGlkIjoiYjMzOWEzZWI4OTc2YjcyYmM0OWRkZTAyMTgyODI4MWIiLCJ1c2VySWQiOiI4ODEzNzE1MjAzOTU2In0=</vt:lpwstr>
  </property>
  <property fmtid="{D5CDD505-2E9C-101B-9397-08002B2CF9AE}" pid="3" name="KSOProductBuildVer">
    <vt:lpwstr>1033-12.1.0.27458</vt:lpwstr>
  </property>
  <property fmtid="{D5CDD505-2E9C-101B-9397-08002B2CF9AE}" pid="4" name="ICV">
    <vt:lpwstr>2FC8A807D1794804B503758F7CBB31AC_12</vt:lpwstr>
  </property>
</Properties>
</file>