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val="0"/>
        <w:spacing w:line="480" w:lineRule="auto" w:before="0" w:after="240"/>
        <w:ind w:firstLine="0"/>
        <w:jc w:val="center"/>
      </w:pPr>
      <w:r>
        <w:rPr>
          <w:rPr>
            <w:rFonts w:ascii="Times New Roman" w:hAnsi="Times New Roman" w:eastAsia="Times New Roman"/>
            <w:b/>
            <w:i w:val="0"/>
            <w:color w:val="000000"/>
            <w:sz w:val="24"/>
          </w:rPr>
        </w:rPr>
        <w:t>CAPÍTULO 4</w:t>
        <w:br/>
        <w:t>ANÁLISIS DE LA APLICACIÓN O SOLUCIÓN</w:t>
      </w:r>
    </w:p>
    <w:p>
      <w:pPr>
        <w:keepNext/>
        <w:keepLines w:val="0"/>
        <w:spacing w:line="480" w:lineRule="auto" w:before="240" w:after="0"/>
        <w:ind w:firstLine="0"/>
        <w:jc w:val="left"/>
      </w:pPr>
      <w:r>
        <w:rPr>
          <w:rPr>
            <w:rFonts w:ascii="Times New Roman" w:hAnsi="Times New Roman" w:eastAsia="Times New Roman"/>
            <w:b/>
            <w:i w:val="0"/>
            <w:color w:val="000000"/>
            <w:sz w:val="24"/>
          </w:rPr>
        </w:rPr>
        <w:t>4.1 Descripción del proyecto</w:t>
      </w:r>
    </w:p>
    <w:p>
      <w:pPr>
        <w:keepLines w:val="0"/>
        <w:spacing w:line="480" w:lineRule="auto" w:before="0" w:after="0"/>
        <w:ind w:firstLine="720"/>
        <w:jc w:val="left"/>
      </w:pPr>
      <w:r>
        <w:rPr>
          <w:rPr>
            <w:rFonts w:ascii="Times New Roman" w:hAnsi="Times New Roman" w:eastAsia="Times New Roman"/>
            <w:b w:val="0"/>
            <w:i w:val="0"/>
            <w:color w:val="000000"/>
            <w:sz w:val="24"/>
          </w:rPr>
        </w:rPr>
        <w:t>El proyecto consiste en el desarrollo de un sistema integral de control operativo para una distribuidora de agua pura. La solución responde a las limitaciones del manejo manual de clientes, rutas, inventario, cargas, ventas, cobros y liquidaciones, donde la información puede dispersarse, duplicarse o no estar disponible oportunamente para la administración.</w:t>
      </w:r>
    </w:p>
    <w:p>
      <w:pPr>
        <w:keepLines w:val="0"/>
        <w:spacing w:line="480" w:lineRule="auto" w:before="0" w:after="0"/>
        <w:ind w:firstLine="720"/>
        <w:jc w:val="left"/>
      </w:pPr>
      <w:r>
        <w:rPr>
          <w:rPr>
            <w:rFonts w:ascii="Times New Roman" w:hAnsi="Times New Roman" w:eastAsia="Times New Roman"/>
            <w:b w:val="0"/>
            <w:i w:val="0"/>
            <w:color w:val="000000"/>
            <w:sz w:val="24"/>
          </w:rPr>
        </w:rPr>
        <w:t>La propuesta se implementa como una aplicación empresarial compuesta por un backend Java con Spring Boot, una interfaz web React instalada como aplicación web progresiva y una base de datos PostgreSQL. Permite que la administración opere desde equipos de escritorio y que los vendedores trabajen desde dispositivos móviles, incluso cuando la conectividad es intermitente.</w:t>
      </w:r>
    </w:p>
    <w:p>
      <w:pPr>
        <w:keepLines w:val="0"/>
        <w:spacing w:line="480" w:lineRule="auto" w:before="0" w:after="0"/>
        <w:ind w:firstLine="720"/>
        <w:jc w:val="left"/>
      </w:pPr>
      <w:r>
        <w:rPr>
          <w:rPr>
            <w:rFonts w:ascii="Times New Roman" w:hAnsi="Times New Roman" w:eastAsia="Times New Roman"/>
            <w:b w:val="0"/>
            <w:i w:val="0"/>
            <w:color w:val="000000"/>
            <w:sz w:val="24"/>
          </w:rPr>
        </w:rPr>
        <w:t>La finalidad del sistema es registrar y controlar las operaciones de distribución de agua pura con trazabilidad. Centraliza la configuración empresarial, usuarios, productos, presentaciones, precios, clientes, rutas, cargas, ventas, pagos, crédito, devoluciones, mermas, liquidaciones, reportes y auditoría. La solución apoya la toma de decisiones, pero conserva la aprobación humana para acciones sensibles.</w:t>
      </w:r>
    </w:p>
    <w:p>
      <w:pPr>
        <w:keepNext/>
        <w:keepLines w:val="0"/>
        <w:spacing w:line="480" w:lineRule="auto" w:before="120" w:after="0"/>
        <w:ind w:firstLine="0"/>
        <w:jc w:val="left"/>
      </w:pPr>
      <w:r>
        <w:rPr>
          <w:rPr>
            <w:rFonts w:ascii="Times New Roman" w:hAnsi="Times New Roman" w:eastAsia="Times New Roman"/>
            <w:b/>
            <w:i w:val="0"/>
            <w:color w:val="000000"/>
            <w:sz w:val="24"/>
          </w:rPr>
        </w:rPr>
        <w:t>Tabla 1</w:t>
      </w:r>
    </w:p>
    <w:p>
      <w:pPr>
        <w:keepNext/>
        <w:keepLines w:val="0"/>
        <w:spacing w:line="480" w:lineRule="auto" w:before="0" w:after="0"/>
        <w:ind w:firstLine="0"/>
        <w:jc w:val="left"/>
      </w:pPr>
      <w:r>
        <w:rPr>
          <w:rPr>
            <w:rFonts w:ascii="Times New Roman" w:hAnsi="Times New Roman" w:eastAsia="Times New Roman"/>
            <w:b w:val="0"/>
            <w:i/>
            <w:color w:val="000000"/>
            <w:sz w:val="24"/>
          </w:rPr>
        </w:rPr>
        <w:t>Alcance funcional de la solución</w:t>
      </w:r>
    </w:p>
    <w:tbl>
      <w:tblPr>
        <w:tblW w:type="auto" w:w="0"/>
        <w:jc w:val="left"/>
        <w:tblLayout w:type="fixed"/>
        <w:tblLook w:firstColumn="1" w:firstRow="1" w:lastColumn="0" w:lastRow="0" w:noHBand="0" w:noVBand="1" w:val="04A0"/>
      </w:tblPr>
      <w:tblGrid>
        <w:gridCol w:w="4680"/>
        <w:gridCol w:w="4680"/>
      </w:tblGrid>
      <w:tr>
        <w:trPr>
          <w:tblHeader w:val="true"/>
        </w:trPr>
        <w:tc>
          <w:tcPr>
            <w:tcW w:type="dxa" w:w="2088"/>
            <w:vAlign w:val="center"/>
            <w:shd w:fill="E7E6E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i w:val="0"/>
                  <w:color w:val="000000"/>
                  <w:sz w:val="24"/>
                </w:rPr>
              </w:rPr>
              <w:t>Componente</w:t>
            </w:r>
          </w:p>
        </w:tc>
        <w:tc>
          <w:tcPr>
            <w:tcW w:type="dxa" w:w="7272"/>
            <w:vAlign w:val="center"/>
            <w:shd w:fill="E7E6E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i w:val="0"/>
                  <w:color w:val="000000"/>
                  <w:sz w:val="24"/>
                </w:rPr>
              </w:rPr>
              <w:t>Función dentro de la solución</w:t>
            </w:r>
          </w:p>
        </w:tc>
      </w:tr>
      <w:tr>
        <w:trPr>
          <w:cantSplit/>
        </w:trPr>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Configuración empresarial</w:t>
            </w:r>
          </w:p>
        </w:tc>
        <w:tc>
          <w:tcPr>
            <w:tcW w:type="dxa" w:w="727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Gestiona identidad, contacto, moneda, zona horaria, logotipo y numeraciones de la purificadora.</w:t>
            </w:r>
          </w:p>
        </w:tc>
      </w:tr>
      <w:tr>
        <w:trPr>
          <w:cantSplit/>
        </w:trPr>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Catálogo y precios</w:t>
            </w:r>
          </w:p>
        </w:tc>
        <w:tc>
          <w:tcPr>
            <w:tcW w:type="dxa" w:w="727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Administra productos, presentaciones, conversiones, listas y versiones de precio.</w:t>
            </w:r>
          </w:p>
        </w:tc>
      </w:tr>
      <w:tr>
        <w:trPr>
          <w:cantSplit/>
        </w:trPr>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Clientes y rutas</w:t>
            </w:r>
          </w:p>
        </w:tc>
        <w:tc>
          <w:tcPr>
            <w:tcW w:type="dxa" w:w="727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Gestiona clientes, vendedores, vehículos y asignaciones históricas de ruta.</w:t>
            </w:r>
          </w:p>
        </w:tc>
      </w:tr>
      <w:tr>
        <w:trPr>
          <w:cantSplit/>
        </w:trPr>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Inventario y carga</w:t>
            </w:r>
          </w:p>
        </w:tc>
        <w:tc>
          <w:tcPr>
            <w:tcW w:type="dxa" w:w="727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Controla existencias, movimientos, carga inicial, recargas y recepción por ruta.</w:t>
            </w:r>
          </w:p>
        </w:tc>
      </w:tr>
      <w:tr>
        <w:trPr>
          <w:cantSplit/>
        </w:trPr>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Ventas y cobros</w:t>
            </w:r>
          </w:p>
        </w:tc>
        <w:tc>
          <w:tcPr>
            <w:tcW w:type="dxa" w:w="727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Registra ventas, comprobantes, efectivo, transferencia y crédito.</w:t>
            </w:r>
          </w:p>
        </w:tc>
      </w:tr>
      <w:tr>
        <w:trPr>
          <w:cantSplit/>
        </w:trPr>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Liquidación y control</w:t>
            </w:r>
          </w:p>
        </w:tc>
        <w:tc>
          <w:tcPr>
            <w:tcW w:type="dxa" w:w="727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Concilia inventario y dinero, registra devoluciones, mermas, auditoría, alertas y reportes.</w:t>
            </w:r>
          </w:p>
        </w:tc>
      </w:tr>
    </w:tbl>
    <w:p>
      <w:pPr>
        <w:keepLines w:val="0"/>
        <w:spacing w:line="480" w:lineRule="auto" w:before="0" w:after="120"/>
        <w:ind w:firstLine="0"/>
        <w:jc w:val="left"/>
      </w:pPr>
      <w:r>
        <w:rPr>
          <w:rPr>
            <w:rFonts w:ascii="Times New Roman" w:hAnsi="Times New Roman" w:eastAsia="Times New Roman"/>
            <w:b/>
            <w:i w:val="0"/>
            <w:color w:val="000000"/>
            <w:sz w:val="24"/>
          </w:rPr>
        </w:rPr>
        <w:t>Fuente: Elaboración propia con base en los requisitos y la documentación del sistema.</w:t>
      </w:r>
    </w:p>
    <w:p>
      <w:pPr>
        <w:keepLines w:val="0"/>
        <w:spacing w:line="480" w:lineRule="auto" w:before="0" w:after="0"/>
        <w:ind w:firstLine="720"/>
        <w:jc w:val="left"/>
      </w:pPr>
      <w:r>
        <w:rPr>
          <w:rPr>
            <w:rFonts w:ascii="Times New Roman" w:hAnsi="Times New Roman" w:eastAsia="Times New Roman"/>
            <w:b w:val="0"/>
            <w:i w:val="0"/>
            <w:color w:val="000000"/>
            <w:sz w:val="24"/>
          </w:rPr>
        </w:rPr>
        <w:t>Quedan fuera del alcance la operación de múltiples empresas en una misma instalación, la facturación electrónica integrada, el rastreo continuo de vendedores, los cobros con tarjeta y la automatización de decisiones administrativas. Esta delimitación concentra el sistema en la operación de una purificadora y en el control verificable de su distribución.</w:t>
      </w:r>
    </w:p>
    <w:p>
      <w:pPr>
        <w:keepNext/>
        <w:keepLines w:val="0"/>
        <w:spacing w:line="480" w:lineRule="auto" w:before="240" w:after="0"/>
        <w:ind w:firstLine="0"/>
        <w:jc w:val="left"/>
      </w:pPr>
      <w:r>
        <w:rPr>
          <w:rPr>
            <w:rFonts w:ascii="Times New Roman" w:hAnsi="Times New Roman" w:eastAsia="Times New Roman"/>
            <w:b/>
            <w:i w:val="0"/>
            <w:color w:val="000000"/>
            <w:sz w:val="24"/>
          </w:rPr>
        </w:rPr>
        <w:t>4.2 Identificación de usuarios</w:t>
      </w:r>
    </w:p>
    <w:p>
      <w:pPr>
        <w:keepLines w:val="0"/>
        <w:spacing w:line="480" w:lineRule="auto" w:before="0" w:after="0"/>
        <w:ind w:firstLine="720"/>
        <w:jc w:val="left"/>
      </w:pPr>
      <w:r>
        <w:rPr>
          <w:rPr>
            <w:rFonts w:ascii="Times New Roman" w:hAnsi="Times New Roman" w:eastAsia="Times New Roman"/>
            <w:b w:val="0"/>
            <w:i w:val="0"/>
            <w:color w:val="000000"/>
            <w:sz w:val="24"/>
          </w:rPr>
        </w:rPr>
        <w:t>Los usuarios se definieron según su participación en las operaciones de la purificadora y el nivel de responsabilidad requerido. El acceso se organiza mediante roles y autorización por recurso: cada persona visualiza y ejecuta únicamente las funciones y datos vinculados con su trabajo.</w:t>
      </w:r>
    </w:p>
    <w:p>
      <w:pPr>
        <w:keepNext/>
        <w:keepLines w:val="0"/>
        <w:spacing w:line="480" w:lineRule="auto" w:before="120" w:after="0"/>
        <w:ind w:firstLine="0"/>
        <w:jc w:val="left"/>
      </w:pPr>
      <w:r>
        <w:rPr>
          <w:rPr>
            <w:rFonts w:ascii="Times New Roman" w:hAnsi="Times New Roman" w:eastAsia="Times New Roman"/>
            <w:b/>
            <w:i w:val="0"/>
            <w:color w:val="000000"/>
            <w:sz w:val="24"/>
          </w:rPr>
        </w:rPr>
        <w:t>Tabla 2</w:t>
      </w:r>
    </w:p>
    <w:p>
      <w:pPr>
        <w:keepNext/>
        <w:keepLines w:val="0"/>
        <w:spacing w:line="480" w:lineRule="auto" w:before="0" w:after="0"/>
        <w:ind w:firstLine="0"/>
        <w:jc w:val="left"/>
      </w:pPr>
      <w:r>
        <w:rPr>
          <w:rPr>
            <w:rFonts w:ascii="Times New Roman" w:hAnsi="Times New Roman" w:eastAsia="Times New Roman"/>
            <w:b w:val="0"/>
            <w:i/>
            <w:color w:val="000000"/>
            <w:sz w:val="24"/>
          </w:rPr>
        </w:rPr>
        <w:t>Perfiles de usuario y responsabilidades</w:t>
      </w:r>
    </w:p>
    <w:tbl>
      <w:tblPr>
        <w:tblW w:type="auto" w:w="0"/>
        <w:jc w:val="left"/>
        <w:tblLayout w:type="fixed"/>
        <w:tblLook w:firstColumn="1" w:firstRow="1" w:lastColumn="0" w:lastRow="0" w:noHBand="0" w:noVBand="1" w:val="04A0"/>
      </w:tblPr>
      <w:tblGrid>
        <w:gridCol w:w="3120"/>
        <w:gridCol w:w="3120"/>
        <w:gridCol w:w="3120"/>
      </w:tblGrid>
      <w:tr>
        <w:trPr>
          <w:tblHeader w:val="true"/>
        </w:trPr>
        <w:tc>
          <w:tcPr>
            <w:tcW w:type="dxa" w:w="2304"/>
            <w:vAlign w:val="center"/>
            <w:shd w:fill="E7E6E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i w:val="0"/>
                  <w:color w:val="000000"/>
                  <w:sz w:val="24"/>
                </w:rPr>
              </w:rPr>
              <w:t>Perfil</w:t>
            </w:r>
          </w:p>
        </w:tc>
        <w:tc>
          <w:tcPr>
            <w:tcW w:type="dxa" w:w="4896"/>
            <w:vAlign w:val="center"/>
            <w:shd w:fill="E7E6E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i w:val="0"/>
                  <w:color w:val="000000"/>
                  <w:sz w:val="24"/>
                </w:rPr>
              </w:rPr>
              <w:t>Responsabilidades principales</w:t>
            </w:r>
          </w:p>
        </w:tc>
        <w:tc>
          <w:tcPr>
            <w:tcW w:type="dxa" w:w="2160"/>
            <w:vAlign w:val="center"/>
            <w:shd w:fill="E7E6E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i w:val="0"/>
                  <w:color w:val="000000"/>
                  <w:sz w:val="24"/>
                </w:rPr>
              </w:rPr>
              <w:t>Nivel de acceso</w:t>
            </w:r>
          </w:p>
        </w:tc>
      </w:tr>
      <w:tr>
        <w:trPr>
          <w:cantSplit/>
        </w:trPr>
        <w:tc>
          <w:tcPr>
            <w:tcW w:type="dxa" w:w="23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Administrador</w:t>
            </w:r>
          </w:p>
        </w:tc>
        <w:tc>
          <w:tcPr>
            <w:tcW w:type="dxa" w:w="489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Configura empresa, usuarios, catálogos, precios, rutas, inventario, reportes, auditoría y respaldos.</w:t>
            </w:r>
          </w:p>
        </w:tc>
        <w:tc>
          <w:tcPr>
            <w:tcW w:type="dxa" w:w="216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Total según autorización.</w:t>
            </w:r>
          </w:p>
        </w:tc>
      </w:tr>
      <w:tr>
        <w:trPr>
          <w:cantSplit/>
        </w:trPr>
        <w:tc>
          <w:tcPr>
            <w:tcW w:type="dxa" w:w="23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Bodega</w:t>
            </w:r>
          </w:p>
        </w:tc>
        <w:tc>
          <w:tcPr>
            <w:tcW w:type="dxa" w:w="489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Prepara cargas, confirma entregas, recibe devoluciones y consulta existencias autorizadas.</w:t>
            </w:r>
          </w:p>
        </w:tc>
        <w:tc>
          <w:tcPr>
            <w:tcW w:type="dxa" w:w="216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Limitado a inventario y cargas.</w:t>
            </w:r>
          </w:p>
        </w:tc>
      </w:tr>
      <w:tr>
        <w:trPr>
          <w:cantSplit/>
        </w:trPr>
        <w:tc>
          <w:tcPr>
            <w:tcW w:type="dxa" w:w="23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Vendedor</w:t>
            </w:r>
          </w:p>
        </w:tc>
        <w:tc>
          <w:tcPr>
            <w:tcW w:type="dxa" w:w="489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Recibe carga, registra ventas, cobros, devoluciones, mermas y operaciones de su ruta.</w:t>
            </w:r>
          </w:p>
        </w:tc>
        <w:tc>
          <w:tcPr>
            <w:tcW w:type="dxa" w:w="216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Solo recursos asignados.</w:t>
            </w:r>
          </w:p>
        </w:tc>
      </w:tr>
    </w:tbl>
    <w:p>
      <w:pPr>
        <w:keepLines w:val="0"/>
        <w:spacing w:line="480" w:lineRule="auto" w:before="0" w:after="120"/>
        <w:ind w:firstLine="0"/>
        <w:jc w:val="left"/>
      </w:pPr>
      <w:r>
        <w:rPr>
          <w:rPr>
            <w:rFonts w:ascii="Times New Roman" w:hAnsi="Times New Roman" w:eastAsia="Times New Roman"/>
            <w:b/>
            <w:i w:val="0"/>
            <w:color w:val="000000"/>
            <w:sz w:val="24"/>
          </w:rPr>
        </w:rPr>
        <w:t>Fuente: Elaboración propia con base en los roles definidos para el sistema.</w:t>
      </w:r>
    </w:p>
    <w:p>
      <w:pPr>
        <w:keepLines w:val="0"/>
        <w:spacing w:line="480" w:lineRule="auto" w:before="0" w:after="0"/>
        <w:ind w:firstLine="720"/>
        <w:jc w:val="left"/>
      </w:pPr>
      <w:r>
        <w:rPr>
          <w:rPr>
            <w:rFonts w:ascii="Times New Roman" w:hAnsi="Times New Roman" w:eastAsia="Times New Roman"/>
            <w:b w:val="0"/>
            <w:i w:val="0"/>
            <w:color w:val="000000"/>
            <w:sz w:val="24"/>
          </w:rPr>
        </w:rPr>
        <w:t>La asignación de usuarios, rutas, vehículos y permisos deberá validarse por la administración antes de la puesta en marcha. Los controles de acceso no sustituyen la supervisión operativa; permiten que las responsabilidades definidas por la empresa se apliquen de forma consistente.</w:t>
      </w:r>
    </w:p>
    <w:p>
      <w:pPr>
        <w:keepNext/>
        <w:keepLines w:val="0"/>
        <w:spacing w:line="480" w:lineRule="auto" w:before="240" w:after="0"/>
        <w:ind w:firstLine="0"/>
        <w:jc w:val="left"/>
      </w:pPr>
      <w:r>
        <w:rPr>
          <w:rPr>
            <w:rFonts w:ascii="Times New Roman" w:hAnsi="Times New Roman" w:eastAsia="Times New Roman"/>
            <w:b/>
            <w:i w:val="0"/>
            <w:color w:val="000000"/>
            <w:sz w:val="24"/>
          </w:rPr>
        </w:rPr>
        <w:t>4.3 Modelado del negocio</w:t>
      </w:r>
    </w:p>
    <w:p>
      <w:pPr>
        <w:keepLines w:val="0"/>
        <w:spacing w:line="480" w:lineRule="auto" w:before="0" w:after="0"/>
        <w:ind w:firstLine="720"/>
        <w:jc w:val="left"/>
      </w:pPr>
      <w:r>
        <w:rPr>
          <w:rPr>
            <w:rFonts w:ascii="Times New Roman" w:hAnsi="Times New Roman" w:eastAsia="Times New Roman"/>
            <w:b w:val="0"/>
            <w:i w:val="0"/>
            <w:color w:val="000000"/>
            <w:sz w:val="24"/>
          </w:rPr>
        </w:rPr>
        <w:t>El modelado del negocio representa la operación de distribución antes de contar con una plataforma centralizada y el flujo esperado con el sistema. Los modelos se enfocan en responsables, movimientos de producto y dinero, registros de operación y puntos de control; sirven como base para los requisitos, reglas de negocio, casos de uso y pruebas.</w:t>
      </w:r>
    </w:p>
    <w:p>
      <w:pPr>
        <w:keepNext/>
        <w:keepLines w:val="0"/>
        <w:spacing w:line="480" w:lineRule="auto" w:before="120" w:after="0"/>
        <w:ind w:firstLine="0"/>
        <w:jc w:val="left"/>
      </w:pPr>
      <w:r>
        <w:rPr>
          <w:rPr>
            <w:rFonts w:ascii="Times New Roman" w:hAnsi="Times New Roman" w:eastAsia="Times New Roman"/>
            <w:b/>
            <w:i w:val="0"/>
            <w:color w:val="000000"/>
            <w:sz w:val="24"/>
          </w:rPr>
        </w:rPr>
        <w:t>4.3.1 Proceso actual AS IS</w:t>
      </w:r>
    </w:p>
    <w:p>
      <w:pPr>
        <w:keepLines w:val="0"/>
        <w:spacing w:line="480" w:lineRule="auto" w:before="0" w:after="0"/>
        <w:ind w:firstLine="720"/>
        <w:jc w:val="left"/>
      </w:pPr>
      <w:r>
        <w:rPr>
          <w:rPr>
            <w:rFonts w:ascii="Times New Roman" w:hAnsi="Times New Roman" w:eastAsia="Times New Roman"/>
            <w:b w:val="0"/>
            <w:i w:val="0"/>
            <w:color w:val="000000"/>
            <w:sz w:val="24"/>
          </w:rPr>
        </w:rPr>
        <w:t>En el proceso actual, las cargas, ventas, devoluciones y cobros se anotan de forma manual o se concentran posteriormente en hojas de cálculo. La administración revisa la información después de la ruta para determinar existencias, efectivo recibido y diferencias. La exactitud depende de los registros del vendedor, de la consolidación manual y de la revisión posterior.</w:t>
      </w:r>
    </w:p>
    <w:p>
      <w:pPr>
        <w:keepNext/>
        <w:keepLines w:val="0"/>
        <w:spacing w:line="480" w:lineRule="auto" w:before="120" w:after="0"/>
        <w:ind w:firstLine="0"/>
        <w:jc w:val="left"/>
      </w:pPr>
      <w:r>
        <w:rPr>
          <w:rPr>
            <w:rFonts w:ascii="Times New Roman" w:hAnsi="Times New Roman" w:eastAsia="Times New Roman"/>
            <w:b/>
            <w:i w:val="0"/>
            <w:color w:val="000000"/>
            <w:sz w:val="24"/>
          </w:rPr>
        </w:rPr>
        <w:t>Figura 1</w:t>
      </w:r>
    </w:p>
    <w:p>
      <w:pPr>
        <w:keepNext/>
        <w:keepLines w:val="0"/>
        <w:spacing w:line="480" w:lineRule="auto" w:before="0" w:after="0"/>
        <w:ind w:firstLine="0"/>
        <w:jc w:val="left"/>
      </w:pPr>
      <w:r>
        <w:rPr>
          <w:rPr>
            <w:rFonts w:ascii="Times New Roman" w:hAnsi="Times New Roman" w:eastAsia="Times New Roman"/>
            <w:b w:val="0"/>
            <w:i/>
            <w:color w:val="000000"/>
            <w:sz w:val="24"/>
          </w:rPr>
        </w:rPr>
        <w:t>Flujo actual de distribución y control de ventas</w:t>
      </w:r>
    </w:p>
    <w:p>
      <w:pPr>
        <w:keepNext/>
        <w:keepLines w:val="0"/>
        <w:spacing w:line="480" w:lineRule="auto" w:before="0" w:after="0"/>
        <w:ind w:firstLine="0"/>
        <w:jc w:val="left"/>
      </w:pPr>
      <w:r>
        <w:rPr>
          <w:rPr>
            <w:rFonts w:ascii="Times New Roman" w:hAnsi="Times New Roman" w:eastAsia="Times New Roman"/>
            <w:b w:val="0"/>
            <w:i w:val="0"/>
            <w:color w:val="000000"/>
            <w:sz w:val="24"/>
          </w:rPr>
        </w:rPr>
        <w:t>La figura representa la secuencia general de preparación de carga, venta en ruta, cobro y liquidación cuando los registros se manejan de forma manual o dispersa.</w:t>
      </w:r>
    </w:p>
    <w:tbl>
      <w:tblPr>
        <w:tblW w:type="auto" w:w="0"/>
        <w:jc w:val="center"/>
        <w:tblLayout w:type="fixed"/>
        <w:tblLook w:firstColumn="1" w:firstRow="1" w:lastColumn="0" w:lastRow="0" w:noHBand="0" w:noVBand="1" w:val="04A0"/>
      </w:tblPr>
      <w:tblGrid>
        <w:gridCol w:w="9360"/>
      </w:tblGrid>
      <w:tr>
        <w:tc>
          <w:tcPr>
            <w:tcW w:type="dxa" w:w="9000"/>
            <w:vAlign w:val="center"/>
            <w:shd w:fill="F7F7F7"/>
            <w:tcBorders>
              <w:top w:val="single" w:sz="8" w:space="0" w:color="595959"/>
              <w:left w:val="single" w:sz="8" w:space="0" w:color="595959"/>
              <w:bottom w:val="single" w:sz="8" w:space="0" w:color="595959"/>
              <w:right w:val="single" w:sz="8" w:space="0" w:color="595959"/>
              <w:insideH w:val="single" w:sz="8" w:space="0" w:color="595959"/>
              <w:insideV w:val="single" w:sz="8" w:space="0" w:color="595959"/>
            </w:tcBorders>
          </w:tcPr>
          <w:p>
            <w:pPr>
              <w:keepLines w:val="0"/>
              <w:spacing w:line="480" w:lineRule="auto" w:before="0" w:after="0"/>
              <w:ind w:firstLine="0"/>
              <w:jc w:val="center"/>
            </w:pPr>
            <w:r>
              <w:rPr>
                <w:rPr>
                  <w:rFonts w:ascii="Times New Roman" w:hAnsi="Times New Roman" w:eastAsia="Times New Roman"/>
                  <w:b/>
                  <w:i w:val="0"/>
                  <w:color w:val="000000"/>
                  <w:sz w:val="24"/>
                </w:rPr>
              </w:rPr>
              <w:t>Inicio → Bodega prepara la carga → Vendedor recibe producto → Se registran ventas y cobros manualmente → Se anotan devoluciones o mermas → Administración revisa registros y liquida la ruta → Fin</w:t>
            </w:r>
          </w:p>
        </w:tc>
      </w:tr>
    </w:tbl>
    <w:p>
      <w:pPr>
        <w:keepLines w:val="0"/>
        <w:spacing w:line="480" w:lineRule="auto" w:before="0" w:after="120"/>
        <w:ind w:firstLine="0"/>
        <w:jc w:val="left"/>
      </w:pPr>
      <w:r>
        <w:rPr>
          <w:rPr>
            <w:rFonts w:ascii="Times New Roman" w:hAnsi="Times New Roman" w:eastAsia="Times New Roman"/>
            <w:b/>
            <w:i w:val="0"/>
            <w:color w:val="000000"/>
            <w:sz w:val="24"/>
          </w:rPr>
        </w:rPr>
        <w:t>Fuente: Elaboración propia con base en el proceso operativo identificado.</w:t>
      </w:r>
    </w:p>
    <w:p>
      <w:pPr>
        <w:keepLines w:val="0"/>
        <w:spacing w:line="480" w:lineRule="auto" w:before="0" w:after="0"/>
        <w:ind w:firstLine="720"/>
        <w:jc w:val="left"/>
      </w:pPr>
      <w:r>
        <w:rPr>
          <w:rPr>
            <w:rFonts w:ascii="Times New Roman" w:hAnsi="Times New Roman" w:eastAsia="Times New Roman"/>
            <w:b w:val="0"/>
            <w:i w:val="0"/>
            <w:color w:val="000000"/>
            <w:sz w:val="24"/>
          </w:rPr>
        </w:rPr>
        <w:t>Los puntos críticos del proceso son la demora para consolidar datos, la dificultad para verificar el inventario por ruta, el riesgo de duplicar o extraviar comprobantes y la falta de evidencia inmediata sobre diferencias físicas o monetarias. También se limita la consulta histórica por cliente, producto, vendedor o fecha.</w:t>
      </w:r>
    </w:p>
    <w:p>
      <w:pPr>
        <w:keepNext/>
        <w:keepLines w:val="0"/>
        <w:spacing w:line="480" w:lineRule="auto" w:before="120" w:after="0"/>
        <w:ind w:firstLine="0"/>
        <w:jc w:val="left"/>
      </w:pPr>
      <w:r>
        <w:rPr>
          <w:rPr>
            <w:rFonts w:ascii="Times New Roman" w:hAnsi="Times New Roman" w:eastAsia="Times New Roman"/>
            <w:b/>
            <w:i w:val="0"/>
            <w:color w:val="000000"/>
            <w:sz w:val="24"/>
          </w:rPr>
        </w:rPr>
        <w:t>4.3.2 Proceso propuesto TO BE</w:t>
      </w:r>
    </w:p>
    <w:p>
      <w:pPr>
        <w:keepLines w:val="0"/>
        <w:spacing w:line="480" w:lineRule="auto" w:before="0" w:after="0"/>
        <w:ind w:firstLine="720"/>
        <w:jc w:val="left"/>
      </w:pPr>
      <w:r>
        <w:rPr>
          <w:rPr>
            <w:rFonts w:ascii="Times New Roman" w:hAnsi="Times New Roman" w:eastAsia="Times New Roman"/>
            <w:b w:val="0"/>
            <w:i w:val="0"/>
            <w:color w:val="000000"/>
            <w:sz w:val="24"/>
          </w:rPr>
        </w:rPr>
        <w:t>El proceso propuesto integra una carga controlada, la operación de ventas desde una PWA, la sincronización de datos y la liquidación de ruta. El sistema valida permisos, stock, precios, crédito y reglas de negocio en el servidor; cuando no hay conexión, conserva operaciones autorizadas localmente y las sincroniza con identificadores únicos.</w:t>
      </w:r>
    </w:p>
    <w:p>
      <w:pPr>
        <w:keepNext/>
        <w:keepLines w:val="0"/>
        <w:spacing w:line="480" w:lineRule="auto" w:before="120" w:after="0"/>
        <w:ind w:firstLine="0"/>
        <w:jc w:val="left"/>
      </w:pPr>
      <w:r>
        <w:rPr>
          <w:rPr>
            <w:rFonts w:ascii="Times New Roman" w:hAnsi="Times New Roman" w:eastAsia="Times New Roman"/>
            <w:b/>
            <w:i w:val="0"/>
            <w:color w:val="000000"/>
            <w:sz w:val="24"/>
          </w:rPr>
        </w:rPr>
        <w:t>Figura 2</w:t>
      </w:r>
    </w:p>
    <w:p>
      <w:pPr>
        <w:keepNext/>
        <w:keepLines w:val="0"/>
        <w:spacing w:line="480" w:lineRule="auto" w:before="0" w:after="0"/>
        <w:ind w:firstLine="0"/>
        <w:jc w:val="left"/>
      </w:pPr>
      <w:r>
        <w:rPr>
          <w:rPr>
            <w:rFonts w:ascii="Times New Roman" w:hAnsi="Times New Roman" w:eastAsia="Times New Roman"/>
            <w:b w:val="0"/>
            <w:i/>
            <w:color w:val="000000"/>
            <w:sz w:val="24"/>
          </w:rPr>
        </w:rPr>
        <w:t>Flujo propuesto para la distribución de agua pura</w:t>
      </w:r>
    </w:p>
    <w:p>
      <w:pPr>
        <w:keepNext/>
        <w:keepLines w:val="0"/>
        <w:spacing w:line="480" w:lineRule="auto" w:before="0" w:after="0"/>
        <w:ind w:firstLine="0"/>
        <w:jc w:val="left"/>
      </w:pPr>
      <w:r>
        <w:rPr>
          <w:rPr>
            <w:rFonts w:ascii="Times New Roman" w:hAnsi="Times New Roman" w:eastAsia="Times New Roman"/>
            <w:b w:val="0"/>
            <w:i w:val="0"/>
            <w:color w:val="000000"/>
            <w:sz w:val="24"/>
          </w:rPr>
        </w:rPr>
        <w:t>La figura muestra el flujo desde la preparación y recepción de la carga hasta la venta, devolución, merma y liquidación. La conciliación física y la monetaria se calculan por separado para que una merma no reduzca el efectivo esperado.</w:t>
      </w:r>
    </w:p>
    <w:tbl>
      <w:tblPr>
        <w:tblW w:type="auto" w:w="0"/>
        <w:jc w:val="center"/>
        <w:tblLayout w:type="fixed"/>
        <w:tblLook w:firstColumn="1" w:firstRow="1" w:lastColumn="0" w:lastRow="0" w:noHBand="0" w:noVBand="1" w:val="04A0"/>
      </w:tblPr>
      <w:tblGrid>
        <w:gridCol w:w="9360"/>
      </w:tblGrid>
      <w:tr>
        <w:tc>
          <w:tcPr>
            <w:tcW w:type="dxa" w:w="9000"/>
            <w:vAlign w:val="center"/>
            <w:shd w:fill="F7F7F7"/>
            <w:tcBorders>
              <w:top w:val="single" w:sz="8" w:space="0" w:color="595959"/>
              <w:left w:val="single" w:sz="8" w:space="0" w:color="595959"/>
              <w:bottom w:val="single" w:sz="8" w:space="0" w:color="595959"/>
              <w:right w:val="single" w:sz="8" w:space="0" w:color="595959"/>
              <w:insideH w:val="single" w:sz="8" w:space="0" w:color="595959"/>
              <w:insideV w:val="single" w:sz="8" w:space="0" w:color="595959"/>
            </w:tcBorders>
          </w:tcPr>
          <w:p>
            <w:pPr>
              <w:keepLines w:val="0"/>
              <w:spacing w:line="480" w:lineRule="auto" w:before="0" w:after="0"/>
              <w:ind w:firstLine="0"/>
              <w:jc w:val="center"/>
            </w:pPr>
            <w:r>
              <w:rPr>
                <w:rPr>
                  <w:rFonts w:ascii="Times New Roman" w:hAnsi="Times New Roman" w:eastAsia="Times New Roman"/>
                  <w:b/>
                  <w:i w:val="0"/>
                  <w:color w:val="000000"/>
                  <w:sz w:val="24"/>
                </w:rPr>
              </w:rPr>
              <w:t>Inicio → Bodega prepara y confirma carga → Vendedor recibe e inicia ruta → PWA registra ventas y cobros → Sincronización valida operaciones → Se registran devoluciones y mermas → Sistema calcula liquidación física y monetaria → Administración revisa y cierra → Fin</w:t>
            </w:r>
          </w:p>
        </w:tc>
      </w:tr>
    </w:tbl>
    <w:p>
      <w:pPr>
        <w:keepLines w:val="0"/>
        <w:spacing w:line="480" w:lineRule="auto" w:before="0" w:after="120"/>
        <w:ind w:firstLine="0"/>
        <w:jc w:val="left"/>
      </w:pPr>
      <w:r>
        <w:rPr>
          <w:rPr>
            <w:rFonts w:ascii="Times New Roman" w:hAnsi="Times New Roman" w:eastAsia="Times New Roman"/>
            <w:b/>
            <w:i w:val="0"/>
            <w:color w:val="000000"/>
            <w:sz w:val="24"/>
          </w:rPr>
        </w:rPr>
        <w:t>Fuente: Elaboración propia con base en el flujo funcional propuesto.</w:t>
      </w:r>
    </w:p>
    <w:p>
      <w:pPr>
        <w:keepNext/>
        <w:keepLines w:val="0"/>
        <w:spacing w:line="480" w:lineRule="auto" w:before="120" w:after="0"/>
        <w:ind w:firstLine="0"/>
        <w:jc w:val="left"/>
      </w:pPr>
      <w:r>
        <w:rPr>
          <w:rPr>
            <w:rFonts w:ascii="Times New Roman" w:hAnsi="Times New Roman" w:eastAsia="Times New Roman"/>
            <w:b/>
            <w:i w:val="0"/>
            <w:color w:val="000000"/>
            <w:sz w:val="24"/>
          </w:rPr>
        </w:rPr>
        <w:t>Tabla 3</w:t>
      </w:r>
    </w:p>
    <w:p>
      <w:pPr>
        <w:keepNext/>
        <w:keepLines w:val="0"/>
        <w:spacing w:line="480" w:lineRule="auto" w:before="0" w:after="0"/>
        <w:ind w:firstLine="0"/>
        <w:jc w:val="left"/>
      </w:pPr>
      <w:r>
        <w:rPr>
          <w:rPr>
            <w:rFonts w:ascii="Times New Roman" w:hAnsi="Times New Roman" w:eastAsia="Times New Roman"/>
            <w:b w:val="0"/>
            <w:i/>
            <w:color w:val="000000"/>
            <w:sz w:val="24"/>
          </w:rPr>
        </w:rPr>
        <w:t>Comparación del proceso actual y el proceso propuesto</w:t>
      </w:r>
    </w:p>
    <w:tbl>
      <w:tblPr>
        <w:tblW w:type="auto" w:w="0"/>
        <w:jc w:val="left"/>
        <w:tblLayout w:type="fixed"/>
        <w:tblLook w:firstColumn="1" w:firstRow="1" w:lastColumn="0" w:lastRow="0" w:noHBand="0" w:noVBand="1" w:val="04A0"/>
      </w:tblPr>
      <w:tblGrid>
        <w:gridCol w:w="3120"/>
        <w:gridCol w:w="3120"/>
        <w:gridCol w:w="3120"/>
      </w:tblGrid>
      <w:tr>
        <w:trPr>
          <w:tblHeader w:val="true"/>
        </w:trPr>
        <w:tc>
          <w:tcPr>
            <w:tcW w:type="dxa" w:w="1800"/>
            <w:vAlign w:val="center"/>
            <w:shd w:fill="E7E6E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i w:val="0"/>
                  <w:color w:val="000000"/>
                  <w:sz w:val="24"/>
                </w:rPr>
              </w:rPr>
              <w:t>Aspecto</w:t>
            </w:r>
          </w:p>
        </w:tc>
        <w:tc>
          <w:tcPr>
            <w:tcW w:type="dxa" w:w="3816"/>
            <w:vAlign w:val="center"/>
            <w:shd w:fill="E7E6E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i w:val="0"/>
                  <w:color w:val="000000"/>
                  <w:sz w:val="24"/>
                </w:rPr>
              </w:rPr>
              <w:t>Proceso actual</w:t>
            </w:r>
          </w:p>
        </w:tc>
        <w:tc>
          <w:tcPr>
            <w:tcW w:type="dxa" w:w="3744"/>
            <w:vAlign w:val="center"/>
            <w:shd w:fill="E7E6E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i w:val="0"/>
                  <w:color w:val="000000"/>
                  <w:sz w:val="24"/>
                </w:rPr>
              </w:rPr>
              <w:t>Proceso propuesto</w:t>
            </w:r>
          </w:p>
        </w:tc>
      </w:tr>
      <w:tr>
        <w:trPr>
          <w:cantSplit/>
        </w:trPr>
        <w:tc>
          <w:tcPr>
            <w:tcW w:type="dxa" w:w="180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Inventario</w:t>
            </w:r>
          </w:p>
        </w:tc>
        <w:tc>
          <w:tcPr>
            <w:tcW w:type="dxa" w:w="381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Conteos y anotaciones por separado.</w:t>
            </w:r>
          </w:p>
        </w:tc>
        <w:tc>
          <w:tcPr>
            <w:tcW w:type="dxa" w:w="374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Movimientos por ubicación y ruta en unidad base.</w:t>
            </w:r>
          </w:p>
        </w:tc>
      </w:tr>
      <w:tr>
        <w:trPr>
          <w:cantSplit/>
        </w:trPr>
        <w:tc>
          <w:tcPr>
            <w:tcW w:type="dxa" w:w="180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Precios</w:t>
            </w:r>
          </w:p>
        </w:tc>
        <w:tc>
          <w:tcPr>
            <w:tcW w:type="dxa" w:w="381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Consulta manual o listas no versionadas.</w:t>
            </w:r>
          </w:p>
        </w:tc>
        <w:tc>
          <w:tcPr>
            <w:tcW w:type="dxa" w:w="374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Resolución por producto, presentación, vigencia, cantidad y cliente.</w:t>
            </w:r>
          </w:p>
        </w:tc>
      </w:tr>
      <w:tr>
        <w:trPr>
          <w:cantSplit/>
        </w:trPr>
        <w:tc>
          <w:tcPr>
            <w:tcW w:type="dxa" w:w="180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Ventas</w:t>
            </w:r>
          </w:p>
        </w:tc>
        <w:tc>
          <w:tcPr>
            <w:tcW w:type="dxa" w:w="381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Comprobantes y cobros dispersos.</w:t>
            </w:r>
          </w:p>
        </w:tc>
        <w:tc>
          <w:tcPr>
            <w:tcW w:type="dxa" w:w="374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Venta, pago y movimiento confirmados de forma transaccional.</w:t>
            </w:r>
          </w:p>
        </w:tc>
      </w:tr>
      <w:tr>
        <w:trPr>
          <w:cantSplit/>
        </w:trPr>
        <w:tc>
          <w:tcPr>
            <w:tcW w:type="dxa" w:w="180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Conectividad</w:t>
            </w:r>
          </w:p>
        </w:tc>
        <w:tc>
          <w:tcPr>
            <w:tcW w:type="dxa" w:w="381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La ruta depende de llamadas o registros posteriores.</w:t>
            </w:r>
          </w:p>
        </w:tc>
        <w:tc>
          <w:tcPr>
            <w:tcW w:type="dxa" w:w="374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PWA conserva operaciones offline y sincroniza de forma idempotente.</w:t>
            </w:r>
          </w:p>
        </w:tc>
      </w:tr>
      <w:tr>
        <w:trPr>
          <w:cantSplit/>
        </w:trPr>
        <w:tc>
          <w:tcPr>
            <w:tcW w:type="dxa" w:w="180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Liquidación</w:t>
            </w:r>
          </w:p>
        </w:tc>
        <w:tc>
          <w:tcPr>
            <w:tcW w:type="dxa" w:w="381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Cálculo manual y difícil de auditar.</w:t>
            </w:r>
          </w:p>
        </w:tc>
        <w:tc>
          <w:tcPr>
            <w:tcW w:type="dxa" w:w="374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Conciliación física y monetaria separada con fuentes verificables.</w:t>
            </w:r>
          </w:p>
        </w:tc>
      </w:tr>
      <w:tr>
        <w:trPr>
          <w:cantSplit/>
        </w:trPr>
        <w:tc>
          <w:tcPr>
            <w:tcW w:type="dxa" w:w="180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Trazabilidad</w:t>
            </w:r>
          </w:p>
        </w:tc>
        <w:tc>
          <w:tcPr>
            <w:tcW w:type="dxa" w:w="381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Depende de documentos físicos.</w:t>
            </w:r>
          </w:p>
        </w:tc>
        <w:tc>
          <w:tcPr>
            <w:tcW w:type="dxa" w:w="374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Auditoría inmutable de acciones críticas.</w:t>
            </w:r>
          </w:p>
        </w:tc>
      </w:tr>
    </w:tbl>
    <w:p>
      <w:pPr>
        <w:keepLines w:val="0"/>
        <w:spacing w:line="480" w:lineRule="auto" w:before="0" w:after="120"/>
        <w:ind w:firstLine="0"/>
        <w:jc w:val="left"/>
      </w:pPr>
      <w:r>
        <w:rPr>
          <w:rPr>
            <w:rFonts w:ascii="Times New Roman" w:hAnsi="Times New Roman" w:eastAsia="Times New Roman"/>
            <w:b/>
            <w:i w:val="0"/>
            <w:color w:val="000000"/>
            <w:sz w:val="24"/>
          </w:rPr>
        </w:rPr>
        <w:t>Fuente: Elaboración propia.</w:t>
      </w:r>
    </w:p>
    <w:p>
      <w:pPr>
        <w:keepNext/>
        <w:keepLines w:val="0"/>
        <w:spacing w:line="480" w:lineRule="auto" w:before="120" w:after="0"/>
        <w:ind w:firstLine="0"/>
        <w:jc w:val="left"/>
      </w:pPr>
      <w:r>
        <w:rPr>
          <w:rPr>
            <w:rFonts w:ascii="Times New Roman" w:hAnsi="Times New Roman" w:eastAsia="Times New Roman"/>
            <w:b/>
            <w:i w:val="0"/>
            <w:color w:val="000000"/>
            <w:sz w:val="24"/>
          </w:rPr>
        </w:rPr>
        <w:t>4.3.3 Reglas de negocio</w:t>
      </w:r>
    </w:p>
    <w:p>
      <w:pPr>
        <w:keepLines w:val="0"/>
        <w:spacing w:line="480" w:lineRule="auto" w:before="0" w:after="0"/>
        <w:ind w:firstLine="720"/>
        <w:jc w:val="left"/>
      </w:pPr>
      <w:r>
        <w:rPr>
          <w:rPr>
            <w:rFonts w:ascii="Times New Roman" w:hAnsi="Times New Roman" w:eastAsia="Times New Roman"/>
            <w:b w:val="0"/>
            <w:i w:val="0"/>
            <w:color w:val="000000"/>
            <w:sz w:val="24"/>
          </w:rPr>
        </w:rPr>
        <w:t>Las reglas de negocio establecen las condiciones que el sistema debe respetar al procesar las operaciones. Se aplican principalmente en la lógica del servidor para que no dependan solo de validaciones visuales de la interfaz. Las operaciones críticas generan auditoría y las correcciones se realizan mediante anulaciones o movimientos compensatorios autorizados.</w:t>
      </w:r>
    </w:p>
    <w:p>
      <w:pPr>
        <w:keepNext/>
        <w:keepLines w:val="0"/>
        <w:spacing w:line="480" w:lineRule="auto" w:before="120" w:after="0"/>
        <w:ind w:firstLine="0"/>
        <w:jc w:val="left"/>
      </w:pPr>
      <w:r>
        <w:rPr>
          <w:rPr>
            <w:rFonts w:ascii="Times New Roman" w:hAnsi="Times New Roman" w:eastAsia="Times New Roman"/>
            <w:b/>
            <w:i w:val="0"/>
            <w:color w:val="000000"/>
            <w:sz w:val="24"/>
          </w:rPr>
        </w:rPr>
        <w:t>Tabla 4</w:t>
      </w:r>
    </w:p>
    <w:p>
      <w:pPr>
        <w:keepNext/>
        <w:keepLines w:val="0"/>
        <w:spacing w:line="480" w:lineRule="auto" w:before="0" w:after="0"/>
        <w:ind w:firstLine="0"/>
        <w:jc w:val="left"/>
      </w:pPr>
      <w:r>
        <w:rPr>
          <w:rPr>
            <w:rFonts w:ascii="Times New Roman" w:hAnsi="Times New Roman" w:eastAsia="Times New Roman"/>
            <w:b w:val="0"/>
            <w:i/>
            <w:color w:val="000000"/>
            <w:sz w:val="24"/>
          </w:rPr>
        </w:rPr>
        <w:t>Reglas de negocio de la purificadora</w:t>
      </w:r>
    </w:p>
    <w:tbl>
      <w:tblPr>
        <w:tblW w:type="auto" w:w="0"/>
        <w:jc w:val="left"/>
        <w:tblLayout w:type="fixed"/>
        <w:tblLook w:firstColumn="1" w:firstRow="1" w:lastColumn="0" w:lastRow="0" w:noHBand="0" w:noVBand="1" w:val="04A0"/>
      </w:tblPr>
      <w:tblGrid>
        <w:gridCol w:w="4680"/>
        <w:gridCol w:w="4680"/>
      </w:tblGrid>
      <w:tr>
        <w:trPr>
          <w:tblHeader w:val="true"/>
        </w:trPr>
        <w:tc>
          <w:tcPr>
            <w:tcW w:type="dxa" w:w="1296"/>
            <w:vAlign w:val="center"/>
            <w:shd w:fill="E7E6E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i w:val="0"/>
                  <w:color w:val="000000"/>
                  <w:sz w:val="24"/>
                </w:rPr>
              </w:rPr>
              <w:t>ID</w:t>
            </w:r>
          </w:p>
        </w:tc>
        <w:tc>
          <w:tcPr>
            <w:tcW w:type="dxa" w:w="8064"/>
            <w:vAlign w:val="center"/>
            <w:shd w:fill="E7E6E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i w:val="0"/>
                  <w:color w:val="000000"/>
                  <w:sz w:val="24"/>
                </w:rPr>
              </w:rPr>
              <w:t>Regla</w:t>
            </w:r>
          </w:p>
        </w:tc>
      </w:tr>
      <w:tr>
        <w:trPr>
          <w:cantSplit/>
        </w:trPr>
        <w:tc>
          <w:tcPr>
            <w:tcW w:type="dxa" w:w="129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RB-001</w:t>
            </w:r>
          </w:p>
        </w:tc>
        <w:tc>
          <w:tcPr>
            <w:tcW w:type="dxa" w:w="806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El servidor es la autoridad para precios, totales, permisos, crédito, inventario y liquidación.</w:t>
            </w:r>
          </w:p>
        </w:tc>
      </w:tr>
      <w:tr>
        <w:trPr>
          <w:cantSplit/>
        </w:trPr>
        <w:tc>
          <w:tcPr>
            <w:tcW w:type="dxa" w:w="129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RB-002</w:t>
            </w:r>
          </w:p>
        </w:tc>
        <w:tc>
          <w:tcPr>
            <w:tcW w:type="dxa" w:w="806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Una venta confirmada no se edita ni elimina; una corrección requiere anulación autorizada.</w:t>
            </w:r>
          </w:p>
        </w:tc>
      </w:tr>
      <w:tr>
        <w:trPr>
          <w:cantSplit/>
        </w:trPr>
        <w:tc>
          <w:tcPr>
            <w:tcW w:type="dxa" w:w="129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RB-003</w:t>
            </w:r>
          </w:p>
        </w:tc>
        <w:tc>
          <w:tcPr>
            <w:tcW w:type="dxa" w:w="806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Todo movimiento de inventario genera un registro inmutable y no se permite stock negativo.</w:t>
            </w:r>
          </w:p>
        </w:tc>
      </w:tr>
      <w:tr>
        <w:trPr>
          <w:cantSplit/>
        </w:trPr>
        <w:tc>
          <w:tcPr>
            <w:tcW w:type="dxa" w:w="129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RB-004</w:t>
            </w:r>
          </w:p>
        </w:tc>
        <w:tc>
          <w:tcPr>
            <w:tcW w:type="dxa" w:w="806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Una merma afecta únicamente la conciliación física y no reduce el efectivo esperado.</w:t>
            </w:r>
          </w:p>
        </w:tc>
      </w:tr>
      <w:tr>
        <w:trPr>
          <w:cantSplit/>
        </w:trPr>
        <w:tc>
          <w:tcPr>
            <w:tcW w:type="dxa" w:w="129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RB-005</w:t>
            </w:r>
          </w:p>
        </w:tc>
        <w:tc>
          <w:tcPr>
            <w:tcW w:type="dxa" w:w="806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Una merma pendiente, rechazada o no aprobada no ajusta el inventario conciliado.</w:t>
            </w:r>
          </w:p>
        </w:tc>
      </w:tr>
      <w:tr>
        <w:trPr>
          <w:cantSplit/>
        </w:trPr>
        <w:tc>
          <w:tcPr>
            <w:tcW w:type="dxa" w:w="129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RB-006</w:t>
            </w:r>
          </w:p>
        </w:tc>
        <w:tc>
          <w:tcPr>
            <w:tcW w:type="dxa" w:w="806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En una aprobación parcial solo se consideran las unidades aprobadas.</w:t>
            </w:r>
          </w:p>
        </w:tc>
      </w:tr>
      <w:tr>
        <w:trPr>
          <w:cantSplit/>
        </w:trPr>
        <w:tc>
          <w:tcPr>
            <w:tcW w:type="dxa" w:w="129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RB-007</w:t>
            </w:r>
          </w:p>
        </w:tc>
        <w:tc>
          <w:tcPr>
            <w:tcW w:type="dxa" w:w="806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El vendedor no aprueba su propia merma, transferencia, descuento o anulación restringida.</w:t>
            </w:r>
          </w:p>
        </w:tc>
      </w:tr>
      <w:tr>
        <w:trPr>
          <w:cantSplit/>
        </w:trPr>
        <w:tc>
          <w:tcPr>
            <w:tcW w:type="dxa" w:w="129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RB-008</w:t>
            </w:r>
          </w:p>
        </w:tc>
        <w:tc>
          <w:tcPr>
            <w:tcW w:type="dxa" w:w="806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Los precios nuevos no modifican ventas históricas; se conservan las versiones aplicadas.</w:t>
            </w:r>
          </w:p>
        </w:tc>
      </w:tr>
      <w:tr>
        <w:trPr>
          <w:cantSplit/>
        </w:trPr>
        <w:tc>
          <w:tcPr>
            <w:tcW w:type="dxa" w:w="129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RB-009</w:t>
            </w:r>
          </w:p>
        </w:tc>
        <w:tc>
          <w:tcPr>
            <w:tcW w:type="dxa" w:w="806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Clientes ocasionales y provisionales no pueden recibir crédito ni precio especial.</w:t>
            </w:r>
          </w:p>
        </w:tc>
      </w:tr>
      <w:tr>
        <w:trPr>
          <w:cantSplit/>
        </w:trPr>
        <w:tc>
          <w:tcPr>
            <w:tcW w:type="dxa" w:w="129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RB-010</w:t>
            </w:r>
          </w:p>
        </w:tc>
        <w:tc>
          <w:tcPr>
            <w:tcW w:type="dxa" w:w="806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Una liquidación no puede cerrarse con operaciones offline pendientes o conflictos relevantes.</w:t>
            </w:r>
          </w:p>
        </w:tc>
      </w:tr>
      <w:tr>
        <w:trPr>
          <w:cantSplit/>
        </w:trPr>
        <w:tc>
          <w:tcPr>
            <w:tcW w:type="dxa" w:w="129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RB-011</w:t>
            </w:r>
          </w:p>
        </w:tc>
        <w:tc>
          <w:tcPr>
            <w:tcW w:type="dxa" w:w="806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Las operaciones críticas usan identificador único para evitar efectos duplicados al sincronizar.</w:t>
            </w:r>
          </w:p>
        </w:tc>
      </w:tr>
      <w:tr>
        <w:trPr>
          <w:cantSplit/>
        </w:trPr>
        <w:tc>
          <w:tcPr>
            <w:tcW w:type="dxa" w:w="129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RB-012</w:t>
            </w:r>
          </w:p>
        </w:tc>
        <w:tc>
          <w:tcPr>
            <w:tcW w:type="dxa" w:w="806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La auditoría y los datos financieros conservan actor, fecha, dispositivo y correlación.</w:t>
            </w:r>
          </w:p>
        </w:tc>
      </w:tr>
    </w:tbl>
    <w:p>
      <w:pPr>
        <w:keepLines w:val="0"/>
        <w:spacing w:line="480" w:lineRule="auto" w:before="0" w:after="120"/>
        <w:ind w:firstLine="0"/>
        <w:jc w:val="left"/>
      </w:pPr>
      <w:r>
        <w:rPr>
          <w:rPr>
            <w:rFonts w:ascii="Times New Roman" w:hAnsi="Times New Roman" w:eastAsia="Times New Roman"/>
            <w:b/>
            <w:i w:val="0"/>
            <w:color w:val="000000"/>
            <w:sz w:val="24"/>
          </w:rPr>
        </w:rPr>
        <w:t>Fuente: Elaboración propia con base en los requisitos del sistema.</w:t>
      </w:r>
    </w:p>
    <w:p>
      <w:pPr>
        <w:keepNext/>
        <w:keepLines w:val="0"/>
        <w:spacing w:line="480" w:lineRule="auto" w:before="240" w:after="0"/>
        <w:ind w:firstLine="0"/>
        <w:jc w:val="left"/>
      </w:pPr>
      <w:r>
        <w:rPr>
          <w:rPr>
            <w:rFonts w:ascii="Times New Roman" w:hAnsi="Times New Roman" w:eastAsia="Times New Roman"/>
            <w:b/>
            <w:i w:val="0"/>
            <w:color w:val="000000"/>
            <w:sz w:val="24"/>
          </w:rPr>
        </w:rPr>
        <w:t>4.4 Metodología de desarrollo de software</w:t>
      </w:r>
    </w:p>
    <w:p>
      <w:pPr>
        <w:keepLines w:val="0"/>
        <w:spacing w:line="480" w:lineRule="auto" w:before="0" w:after="0"/>
        <w:ind w:firstLine="720"/>
        <w:jc w:val="left"/>
      </w:pPr>
      <w:r>
        <w:rPr>
          <w:rPr>
            <w:rFonts w:ascii="Times New Roman" w:hAnsi="Times New Roman" w:eastAsia="Times New Roman"/>
            <w:b w:val="0"/>
            <w:i w:val="0"/>
            <w:color w:val="000000"/>
            <w:sz w:val="24"/>
          </w:rPr>
        </w:rPr>
        <w:t>Se seleccionó una metodología ágil basada en Scrum y adaptada a las condiciones de un proyecto académico. Este enfoque permite construir incrementos verificables, priorizar las funciones que aportan mayor control a la distribución y revisar cada avance con el asesor y con los responsables de la purificadora.</w:t>
      </w:r>
    </w:p>
    <w:p>
      <w:pPr>
        <w:keepLines w:val="0"/>
        <w:spacing w:line="480" w:lineRule="auto" w:before="0" w:after="0"/>
        <w:ind w:firstLine="720"/>
        <w:jc w:val="left"/>
      </w:pPr>
      <w:r>
        <w:rPr>
          <w:rPr>
            <w:rFonts w:ascii="Times New Roman" w:hAnsi="Times New Roman" w:eastAsia="Times New Roman"/>
            <w:b w:val="0"/>
            <w:i w:val="0"/>
            <w:color w:val="000000"/>
            <w:sz w:val="24"/>
          </w:rPr>
        </w:rPr>
        <w:t>La adaptación no replica de forma mecánica todos los roles de un equipo empresarial. El estudiante desarrollador asume las tareas técnicas; la administración de la purificadora valida reglas operativas y criterios de aceptación; y el asesor orienta la revisión académica y técnica. El product backlog se deriva de los requisitos, reglas de negocio y riesgos identificados.</w:t>
      </w:r>
    </w:p>
    <w:p>
      <w:pPr>
        <w:keepNext/>
        <w:keepLines w:val="0"/>
        <w:spacing w:line="480" w:lineRule="auto" w:before="120" w:after="0"/>
        <w:ind w:firstLine="0"/>
        <w:jc w:val="left"/>
      </w:pPr>
      <w:r>
        <w:rPr>
          <w:rPr>
            <w:rFonts w:ascii="Times New Roman" w:hAnsi="Times New Roman" w:eastAsia="Times New Roman"/>
            <w:b/>
            <w:i w:val="0"/>
            <w:color w:val="000000"/>
            <w:sz w:val="24"/>
          </w:rPr>
        </w:rPr>
        <w:t>Tabla 5</w:t>
      </w:r>
    </w:p>
    <w:p>
      <w:pPr>
        <w:keepNext/>
        <w:keepLines w:val="0"/>
        <w:spacing w:line="480" w:lineRule="auto" w:before="0" w:after="0"/>
        <w:ind w:firstLine="0"/>
        <w:jc w:val="left"/>
      </w:pPr>
      <w:r>
        <w:rPr>
          <w:rPr>
            <w:rFonts w:ascii="Times New Roman" w:hAnsi="Times New Roman" w:eastAsia="Times New Roman"/>
            <w:b w:val="0"/>
            <w:i/>
            <w:color w:val="000000"/>
            <w:sz w:val="24"/>
          </w:rPr>
        </w:rPr>
        <w:t>Justificación de la metodología seleccionada</w:t>
      </w:r>
    </w:p>
    <w:tbl>
      <w:tblPr>
        <w:tblW w:type="auto" w:w="0"/>
        <w:jc w:val="left"/>
        <w:tblLayout w:type="fixed"/>
        <w:tblLook w:firstColumn="1" w:firstRow="1" w:lastColumn="0" w:lastRow="0" w:noHBand="0" w:noVBand="1" w:val="04A0"/>
      </w:tblPr>
      <w:tblGrid>
        <w:gridCol w:w="3120"/>
        <w:gridCol w:w="3120"/>
        <w:gridCol w:w="3120"/>
      </w:tblGrid>
      <w:tr>
        <w:trPr>
          <w:tblHeader w:val="true"/>
        </w:trPr>
        <w:tc>
          <w:tcPr>
            <w:tcW w:type="dxa" w:w="1872"/>
            <w:vAlign w:val="center"/>
            <w:shd w:fill="E7E6E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i w:val="0"/>
                  <w:color w:val="000000"/>
                  <w:sz w:val="24"/>
                </w:rPr>
              </w:rPr>
              <w:t>Alternativa</w:t>
            </w:r>
          </w:p>
        </w:tc>
        <w:tc>
          <w:tcPr>
            <w:tcW w:type="dxa" w:w="5328"/>
            <w:vAlign w:val="center"/>
            <w:shd w:fill="E7E6E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i w:val="0"/>
                  <w:color w:val="000000"/>
                  <w:sz w:val="24"/>
                </w:rPr>
              </w:rPr>
              <w:t>Valor para el proyecto</w:t>
            </w:r>
          </w:p>
        </w:tc>
        <w:tc>
          <w:tcPr>
            <w:tcW w:type="dxa" w:w="2160"/>
            <w:vAlign w:val="center"/>
            <w:shd w:fill="E7E6E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i w:val="0"/>
                  <w:color w:val="000000"/>
                  <w:sz w:val="24"/>
                </w:rPr>
              </w:rPr>
              <w:t>Decisión</w:t>
            </w:r>
          </w:p>
        </w:tc>
      </w:tr>
      <w:tr>
        <w:trPr>
          <w:cantSplit/>
        </w:trPr>
        <w:tc>
          <w:tcPr>
            <w:tcW w:type="dxa" w:w="187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Scrum adaptado</w:t>
            </w:r>
          </w:p>
        </w:tc>
        <w:tc>
          <w:tcPr>
            <w:tcW w:type="dxa" w:w="532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Permite entregas pequeñas, revisión temprana y ajustes por incremento.</w:t>
            </w:r>
          </w:p>
        </w:tc>
        <w:tc>
          <w:tcPr>
            <w:tcW w:type="dxa" w:w="216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Seleccionada.</w:t>
            </w:r>
          </w:p>
        </w:tc>
      </w:tr>
      <w:tr>
        <w:trPr>
          <w:cantSplit/>
        </w:trPr>
        <w:tc>
          <w:tcPr>
            <w:tcW w:type="dxa" w:w="187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Cascada</w:t>
            </w:r>
          </w:p>
        </w:tc>
        <w:tc>
          <w:tcPr>
            <w:tcW w:type="dxa" w:w="532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Brinda fases ordenadas, pero limita ajustes posteriores.</w:t>
            </w:r>
          </w:p>
        </w:tc>
        <w:tc>
          <w:tcPr>
            <w:tcW w:type="dxa" w:w="216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No se adopta como enfoque principal.</w:t>
            </w:r>
          </w:p>
        </w:tc>
      </w:tr>
      <w:tr>
        <w:trPr>
          <w:cantSplit/>
        </w:trPr>
        <w:tc>
          <w:tcPr>
            <w:tcW w:type="dxa" w:w="187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RUP</w:t>
            </w:r>
          </w:p>
        </w:tc>
        <w:tc>
          <w:tcPr>
            <w:tcW w:type="dxa" w:w="532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Aporta artefactos rigurosos, pero implica mayor carga documental.</w:t>
            </w:r>
          </w:p>
        </w:tc>
        <w:tc>
          <w:tcPr>
            <w:tcW w:type="dxa" w:w="216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Se retoman prácticas de documentación.</w:t>
            </w:r>
          </w:p>
        </w:tc>
      </w:tr>
    </w:tbl>
    <w:p>
      <w:pPr>
        <w:keepLines w:val="0"/>
        <w:spacing w:line="480" w:lineRule="auto" w:before="0" w:after="120"/>
        <w:ind w:firstLine="0"/>
        <w:jc w:val="left"/>
      </w:pPr>
      <w:r>
        <w:rPr>
          <w:rPr>
            <w:rFonts w:ascii="Times New Roman" w:hAnsi="Times New Roman" w:eastAsia="Times New Roman"/>
            <w:b/>
            <w:i w:val="0"/>
            <w:color w:val="000000"/>
            <w:sz w:val="24"/>
          </w:rPr>
        </w:rPr>
        <w:t>Fuente: Elaboración propia.</w:t>
      </w:r>
    </w:p>
    <w:p>
      <w:pPr>
        <w:keepNext/>
        <w:keepLines w:val="0"/>
        <w:spacing w:line="480" w:lineRule="auto" w:before="240" w:after="0"/>
        <w:ind w:firstLine="0"/>
        <w:jc w:val="left"/>
      </w:pPr>
      <w:r>
        <w:rPr>
          <w:rPr>
            <w:rFonts w:ascii="Times New Roman" w:hAnsi="Times New Roman" w:eastAsia="Times New Roman"/>
            <w:b/>
            <w:i w:val="0"/>
            <w:color w:val="000000"/>
            <w:sz w:val="24"/>
          </w:rPr>
        </w:rPr>
        <w:t>4.5 Fases de la metodología</w:t>
      </w:r>
    </w:p>
    <w:p>
      <w:pPr>
        <w:keepLines w:val="0"/>
        <w:spacing w:line="480" w:lineRule="auto" w:before="0" w:after="0"/>
        <w:ind w:firstLine="720"/>
        <w:jc w:val="left"/>
      </w:pPr>
      <w:r>
        <w:rPr>
          <w:rPr>
            <w:rFonts w:ascii="Times New Roman" w:hAnsi="Times New Roman" w:eastAsia="Times New Roman"/>
            <w:b w:val="0"/>
            <w:i w:val="0"/>
            <w:color w:val="000000"/>
            <w:sz w:val="24"/>
          </w:rPr>
        </w:rPr>
        <w:t>Las fases se ejecutan de manera iterativa. Cada incremento debe cerrar con funcionalidad integrada, pruebas, evidencia técnica y actualización de la documentación. La secuencia describe el desarrollo sin imponer plazos no aprobados en el cronograma general del proyecto.</w:t>
      </w:r>
    </w:p>
    <w:p>
      <w:pPr>
        <w:keepNext/>
        <w:keepLines w:val="0"/>
        <w:spacing w:line="480" w:lineRule="auto" w:before="120" w:after="0"/>
        <w:ind w:firstLine="0"/>
        <w:jc w:val="left"/>
      </w:pPr>
      <w:r>
        <w:rPr>
          <w:rPr>
            <w:rFonts w:ascii="Times New Roman" w:hAnsi="Times New Roman" w:eastAsia="Times New Roman"/>
            <w:b/>
            <w:i w:val="0"/>
            <w:color w:val="000000"/>
            <w:sz w:val="24"/>
          </w:rPr>
        </w:rPr>
        <w:t>Tabla 6</w:t>
      </w:r>
    </w:p>
    <w:p>
      <w:pPr>
        <w:keepNext/>
        <w:keepLines w:val="0"/>
        <w:spacing w:line="480" w:lineRule="auto" w:before="0" w:after="0"/>
        <w:ind w:firstLine="0"/>
        <w:jc w:val="left"/>
      </w:pPr>
      <w:r>
        <w:rPr>
          <w:rPr>
            <w:rFonts w:ascii="Times New Roman" w:hAnsi="Times New Roman" w:eastAsia="Times New Roman"/>
            <w:b w:val="0"/>
            <w:i/>
            <w:color w:val="000000"/>
            <w:sz w:val="24"/>
          </w:rPr>
        </w:rPr>
        <w:t>Fases e incrementos del proyecto</w:t>
      </w:r>
    </w:p>
    <w:tbl>
      <w:tblPr>
        <w:tblW w:type="auto" w:w="0"/>
        <w:jc w:val="left"/>
        <w:tblLayout w:type="fixed"/>
        <w:tblLook w:firstColumn="1" w:firstRow="1" w:lastColumn="0" w:lastRow="0" w:noHBand="0" w:noVBand="1" w:val="04A0"/>
      </w:tblPr>
      <w:tblGrid>
        <w:gridCol w:w="3120"/>
        <w:gridCol w:w="3120"/>
        <w:gridCol w:w="3120"/>
      </w:tblGrid>
      <w:tr>
        <w:trPr>
          <w:tblHeader w:val="true"/>
        </w:trPr>
        <w:tc>
          <w:tcPr>
            <w:tcW w:type="dxa" w:w="1800"/>
            <w:vAlign w:val="center"/>
            <w:shd w:fill="E7E6E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i w:val="0"/>
                  <w:color w:val="000000"/>
                  <w:sz w:val="24"/>
                </w:rPr>
              </w:rPr>
              <w:t>Fase</w:t>
            </w:r>
          </w:p>
        </w:tc>
        <w:tc>
          <w:tcPr>
            <w:tcW w:type="dxa" w:w="5040"/>
            <w:vAlign w:val="center"/>
            <w:shd w:fill="E7E6E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i w:val="0"/>
                  <w:color w:val="000000"/>
                  <w:sz w:val="24"/>
                </w:rPr>
              </w:rPr>
              <w:t>Actividades principales</w:t>
            </w:r>
          </w:p>
        </w:tc>
        <w:tc>
          <w:tcPr>
            <w:tcW w:type="dxa" w:w="2520"/>
            <w:vAlign w:val="center"/>
            <w:shd w:fill="E7E6E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i w:val="0"/>
                  <w:color w:val="000000"/>
                  <w:sz w:val="24"/>
                </w:rPr>
              </w:rPr>
              <w:t>Producto verificable</w:t>
            </w:r>
          </w:p>
        </w:tc>
      </w:tr>
      <w:tr>
        <w:trPr>
          <w:cantSplit/>
        </w:trPr>
        <w:tc>
          <w:tcPr>
            <w:tcW w:type="dxa" w:w="180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Planificación</w:t>
            </w:r>
          </w:p>
        </w:tc>
        <w:tc>
          <w:tcPr>
            <w:tcW w:type="dxa" w:w="504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Levantamiento de necesidades, alcance, riesgos, priorización y backlog.</w:t>
            </w:r>
          </w:p>
        </w:tc>
        <w:tc>
          <w:tcPr>
            <w:tcW w:type="dxa" w:w="252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Alcance, requisitos y plan de incrementos.</w:t>
            </w:r>
          </w:p>
        </w:tc>
      </w:tr>
      <w:tr>
        <w:trPr>
          <w:cantSplit/>
        </w:trPr>
        <w:tc>
          <w:tcPr>
            <w:tcW w:type="dxa" w:w="180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Análisis y diseño</w:t>
            </w:r>
          </w:p>
        </w:tc>
        <w:tc>
          <w:tcPr>
            <w:tcW w:type="dxa" w:w="504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Procesos, reglas, arquitectura, datos, seguridad e interfaces.</w:t>
            </w:r>
          </w:p>
        </w:tc>
        <w:tc>
          <w:tcPr>
            <w:tcW w:type="dxa" w:w="252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Documentación de análisis y diseño.</w:t>
            </w:r>
          </w:p>
        </w:tc>
      </w:tr>
      <w:tr>
        <w:trPr>
          <w:cantSplit/>
        </w:trPr>
        <w:tc>
          <w:tcPr>
            <w:tcW w:type="dxa" w:w="180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Incremento 1</w:t>
            </w:r>
          </w:p>
        </w:tc>
        <w:tc>
          <w:tcPr>
            <w:tcW w:type="dxa" w:w="504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Configuración, autenticación, usuarios, catálogo, clientes y rutas.</w:t>
            </w:r>
          </w:p>
        </w:tc>
        <w:tc>
          <w:tcPr>
            <w:tcW w:type="dxa" w:w="252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Base administrativa integrada.</w:t>
            </w:r>
          </w:p>
        </w:tc>
      </w:tr>
      <w:tr>
        <w:trPr>
          <w:cantSplit/>
        </w:trPr>
        <w:tc>
          <w:tcPr>
            <w:tcW w:type="dxa" w:w="180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Incremento 2</w:t>
            </w:r>
          </w:p>
        </w:tc>
        <w:tc>
          <w:tcPr>
            <w:tcW w:type="dxa" w:w="504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Inventario, cargas, ventas, pagos, crédito y comprobantes.</w:t>
            </w:r>
          </w:p>
        </w:tc>
        <w:tc>
          <w:tcPr>
            <w:tcW w:type="dxa" w:w="252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Operación de distribución controlada.</w:t>
            </w:r>
          </w:p>
        </w:tc>
      </w:tr>
      <w:tr>
        <w:trPr>
          <w:cantSplit/>
        </w:trPr>
        <w:tc>
          <w:tcPr>
            <w:tcW w:type="dxa" w:w="180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Incremento 3</w:t>
            </w:r>
          </w:p>
        </w:tc>
        <w:tc>
          <w:tcPr>
            <w:tcW w:type="dxa" w:w="504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PWA offline, sincronización, devoluciones, mermas y liquidación.</w:t>
            </w:r>
          </w:p>
        </w:tc>
        <w:tc>
          <w:tcPr>
            <w:tcW w:type="dxa" w:w="252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Ruta operativa con trazabilidad.</w:t>
            </w:r>
          </w:p>
        </w:tc>
      </w:tr>
      <w:tr>
        <w:trPr>
          <w:cantSplit/>
        </w:trPr>
        <w:tc>
          <w:tcPr>
            <w:tcW w:type="dxa" w:w="180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Validación y cierre</w:t>
            </w:r>
          </w:p>
        </w:tc>
        <w:tc>
          <w:tcPr>
            <w:tcW w:type="dxa" w:w="504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Pruebas, seguridad, recuperación, reportes, manuales y despliegue.</w:t>
            </w:r>
          </w:p>
        </w:tc>
        <w:tc>
          <w:tcPr>
            <w:tcW w:type="dxa" w:w="252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Versión candidata para evaluación.</w:t>
            </w:r>
          </w:p>
        </w:tc>
      </w:tr>
    </w:tbl>
    <w:p>
      <w:pPr>
        <w:keepLines w:val="0"/>
        <w:spacing w:line="480" w:lineRule="auto" w:before="0" w:after="120"/>
        <w:ind w:firstLine="0"/>
        <w:jc w:val="left"/>
      </w:pPr>
      <w:r>
        <w:rPr>
          <w:rPr>
            <w:rFonts w:ascii="Times New Roman" w:hAnsi="Times New Roman" w:eastAsia="Times New Roman"/>
            <w:b/>
            <w:i w:val="0"/>
            <w:color w:val="000000"/>
            <w:sz w:val="24"/>
          </w:rPr>
        </w:rPr>
        <w:t>Fuente: Elaboración propia con base en la planificación técnica.</w:t>
      </w:r>
    </w:p>
    <w:p>
      <w:pPr>
        <w:keepNext/>
        <w:keepLines w:val="0"/>
        <w:spacing w:line="480" w:lineRule="auto" w:before="240" w:after="0"/>
        <w:ind w:firstLine="0"/>
        <w:jc w:val="left"/>
      </w:pPr>
      <w:r>
        <w:rPr>
          <w:rPr>
            <w:rFonts w:ascii="Times New Roman" w:hAnsi="Times New Roman" w:eastAsia="Times New Roman"/>
            <w:b/>
            <w:i w:val="0"/>
            <w:color w:val="000000"/>
            <w:sz w:val="24"/>
          </w:rPr>
        </w:rPr>
        <w:t>4.6 Características de la metodología</w:t>
      </w:r>
    </w:p>
    <w:p>
      <w:pPr>
        <w:keepNext/>
        <w:keepLines w:val="0"/>
        <w:spacing w:line="480" w:lineRule="auto" w:before="120" w:after="0"/>
        <w:ind w:firstLine="0"/>
        <w:jc w:val="left"/>
      </w:pPr>
      <w:r>
        <w:rPr>
          <w:rPr>
            <w:rFonts w:ascii="Times New Roman" w:hAnsi="Times New Roman" w:eastAsia="Times New Roman"/>
            <w:b/>
            <w:i w:val="0"/>
            <w:color w:val="000000"/>
            <w:sz w:val="24"/>
          </w:rPr>
        </w:rPr>
        <w:t>4.6.1 Roles de trabajo</w:t>
      </w:r>
    </w:p>
    <w:p>
      <w:pPr>
        <w:keepNext/>
        <w:keepLines w:val="0"/>
        <w:spacing w:line="480" w:lineRule="auto" w:before="120" w:after="0"/>
        <w:ind w:firstLine="0"/>
        <w:jc w:val="left"/>
      </w:pPr>
      <w:r>
        <w:rPr>
          <w:rPr>
            <w:rFonts w:ascii="Times New Roman" w:hAnsi="Times New Roman" w:eastAsia="Times New Roman"/>
            <w:b/>
            <w:i w:val="0"/>
            <w:color w:val="000000"/>
            <w:sz w:val="24"/>
          </w:rPr>
        </w:rPr>
        <w:t>Tabla 7</w:t>
      </w:r>
    </w:p>
    <w:p>
      <w:pPr>
        <w:keepNext/>
        <w:keepLines w:val="0"/>
        <w:spacing w:line="480" w:lineRule="auto" w:before="0" w:after="0"/>
        <w:ind w:firstLine="0"/>
        <w:jc w:val="left"/>
      </w:pPr>
      <w:r>
        <w:rPr>
          <w:rPr>
            <w:rFonts w:ascii="Times New Roman" w:hAnsi="Times New Roman" w:eastAsia="Times New Roman"/>
            <w:b w:val="0"/>
            <w:i/>
            <w:color w:val="000000"/>
            <w:sz w:val="24"/>
          </w:rPr>
        </w:rPr>
        <w:t>Roles aplicados en la metodología</w:t>
      </w:r>
    </w:p>
    <w:tbl>
      <w:tblPr>
        <w:tblW w:type="auto" w:w="0"/>
        <w:jc w:val="left"/>
        <w:tblLayout w:type="fixed"/>
        <w:tblLook w:firstColumn="1" w:firstRow="1" w:lastColumn="0" w:lastRow="0" w:noHBand="0" w:noVBand="1" w:val="04A0"/>
      </w:tblPr>
      <w:tblGrid>
        <w:gridCol w:w="4680"/>
        <w:gridCol w:w="4680"/>
      </w:tblGrid>
      <w:tr>
        <w:trPr>
          <w:tblHeader w:val="true"/>
        </w:trPr>
        <w:tc>
          <w:tcPr>
            <w:tcW w:type="dxa" w:w="2592"/>
            <w:vAlign w:val="center"/>
            <w:shd w:fill="E7E6E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i w:val="0"/>
                  <w:color w:val="000000"/>
                  <w:sz w:val="24"/>
                </w:rPr>
              </w:rPr>
              <w:t>Rol</w:t>
            </w:r>
          </w:p>
        </w:tc>
        <w:tc>
          <w:tcPr>
            <w:tcW w:type="dxa" w:w="6768"/>
            <w:vAlign w:val="center"/>
            <w:shd w:fill="E7E6E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i w:val="0"/>
                  <w:color w:val="000000"/>
                  <w:sz w:val="24"/>
                </w:rPr>
              </w:rPr>
              <w:t>Responsabilidad</w:t>
            </w:r>
          </w:p>
        </w:tc>
      </w:tr>
      <w:tr>
        <w:trPr>
          <w:cantSplit/>
        </w:trPr>
        <w:tc>
          <w:tcPr>
            <w:tcW w:type="dxa" w:w="259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Estudiante desarrollador</w:t>
            </w:r>
          </w:p>
        </w:tc>
        <w:tc>
          <w:tcPr>
            <w:tcW w:type="dxa" w:w="676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Analiza, diseña, implementa, prueba, documenta y conserva la trazabilidad del proyecto.</w:t>
            </w:r>
          </w:p>
        </w:tc>
      </w:tr>
      <w:tr>
        <w:trPr>
          <w:cantSplit/>
        </w:trPr>
        <w:tc>
          <w:tcPr>
            <w:tcW w:type="dxa" w:w="259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Administración de la purificadora</w:t>
            </w:r>
          </w:p>
        </w:tc>
        <w:tc>
          <w:tcPr>
            <w:tcW w:type="dxa" w:w="676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Valida reglas operativas, usuarios, precios, rutas, inventario, liquidaciones y reportes.</w:t>
            </w:r>
          </w:p>
        </w:tc>
      </w:tr>
      <w:tr>
        <w:trPr>
          <w:cantSplit/>
        </w:trPr>
        <w:tc>
          <w:tcPr>
            <w:tcW w:type="dxa" w:w="259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Asesor de tesis</w:t>
            </w:r>
          </w:p>
        </w:tc>
        <w:tc>
          <w:tcPr>
            <w:tcW w:type="dxa" w:w="676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Revisa alcance, coherencia metodológica, decisiones técnicas y calidad documental.</w:t>
            </w:r>
          </w:p>
        </w:tc>
      </w:tr>
    </w:tbl>
    <w:p>
      <w:pPr>
        <w:keepLines w:val="0"/>
        <w:spacing w:line="480" w:lineRule="auto" w:before="0" w:after="120"/>
        <w:ind w:firstLine="0"/>
        <w:jc w:val="left"/>
      </w:pPr>
      <w:r>
        <w:rPr>
          <w:rPr>
            <w:rFonts w:ascii="Times New Roman" w:hAnsi="Times New Roman" w:eastAsia="Times New Roman"/>
            <w:b/>
            <w:i w:val="0"/>
            <w:color w:val="000000"/>
            <w:sz w:val="24"/>
          </w:rPr>
        </w:rPr>
        <w:t>Fuente: Elaboración propia.</w:t>
      </w:r>
    </w:p>
    <w:p>
      <w:pPr>
        <w:keepNext/>
        <w:keepLines w:val="0"/>
        <w:spacing w:line="480" w:lineRule="auto" w:before="120" w:after="0"/>
        <w:ind w:firstLine="0"/>
        <w:jc w:val="left"/>
      </w:pPr>
      <w:r>
        <w:rPr>
          <w:rPr>
            <w:rFonts w:ascii="Times New Roman" w:hAnsi="Times New Roman" w:eastAsia="Times New Roman"/>
            <w:b/>
            <w:i w:val="0"/>
            <w:color w:val="000000"/>
            <w:sz w:val="24"/>
          </w:rPr>
        </w:rPr>
        <w:t>4.6.2 Ceremonias y mecanismos de seguimiento</w:t>
      </w:r>
    </w:p>
    <w:p>
      <w:pPr>
        <w:keepNext/>
        <w:keepLines w:val="0"/>
        <w:spacing w:line="480" w:lineRule="auto" w:before="120" w:after="0"/>
        <w:ind w:firstLine="0"/>
        <w:jc w:val="left"/>
      </w:pPr>
      <w:r>
        <w:rPr>
          <w:rPr>
            <w:rFonts w:ascii="Times New Roman" w:hAnsi="Times New Roman" w:eastAsia="Times New Roman"/>
            <w:b/>
            <w:i w:val="0"/>
            <w:color w:val="000000"/>
            <w:sz w:val="24"/>
          </w:rPr>
        </w:rPr>
        <w:t>Tabla 8</w:t>
      </w:r>
    </w:p>
    <w:p>
      <w:pPr>
        <w:keepNext/>
        <w:keepLines w:val="0"/>
        <w:spacing w:line="480" w:lineRule="auto" w:before="0" w:after="0"/>
        <w:ind w:firstLine="0"/>
        <w:jc w:val="left"/>
      </w:pPr>
      <w:r>
        <w:rPr>
          <w:rPr>
            <w:rFonts w:ascii="Times New Roman" w:hAnsi="Times New Roman" w:eastAsia="Times New Roman"/>
            <w:b w:val="0"/>
            <w:i/>
            <w:color w:val="000000"/>
            <w:sz w:val="24"/>
          </w:rPr>
        </w:rPr>
        <w:t>Ceremonias adaptadas al proyecto académico</w:t>
      </w:r>
    </w:p>
    <w:tbl>
      <w:tblPr>
        <w:tblW w:type="auto" w:w="0"/>
        <w:jc w:val="left"/>
        <w:tblLayout w:type="fixed"/>
        <w:tblLook w:firstColumn="1" w:firstRow="1" w:lastColumn="0" w:lastRow="0" w:noHBand="0" w:noVBand="1" w:val="04A0"/>
      </w:tblPr>
      <w:tblGrid>
        <w:gridCol w:w="4680"/>
        <w:gridCol w:w="4680"/>
      </w:tblGrid>
      <w:tr>
        <w:trPr>
          <w:tblHeader w:val="true"/>
        </w:trPr>
        <w:tc>
          <w:tcPr>
            <w:tcW w:type="dxa" w:w="2592"/>
            <w:vAlign w:val="center"/>
            <w:shd w:fill="E7E6E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i w:val="0"/>
                  <w:color w:val="000000"/>
                  <w:sz w:val="24"/>
                </w:rPr>
              </w:rPr>
              <w:t>Mecanismo</w:t>
            </w:r>
          </w:p>
        </w:tc>
        <w:tc>
          <w:tcPr>
            <w:tcW w:type="dxa" w:w="6768"/>
            <w:vAlign w:val="center"/>
            <w:shd w:fill="E7E6E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i w:val="0"/>
                  <w:color w:val="000000"/>
                  <w:sz w:val="24"/>
                </w:rPr>
              </w:rPr>
              <w:t>Aplicación</w:t>
            </w:r>
          </w:p>
        </w:tc>
      </w:tr>
      <w:tr>
        <w:trPr>
          <w:cantSplit/>
        </w:trPr>
        <w:tc>
          <w:tcPr>
            <w:tcW w:type="dxa" w:w="259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Planificación de incremento</w:t>
            </w:r>
          </w:p>
        </w:tc>
        <w:tc>
          <w:tcPr>
            <w:tcW w:type="dxa" w:w="676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Se seleccionan requisitos, criterios de aceptación y actividades técnicas prioritarias.</w:t>
            </w:r>
          </w:p>
        </w:tc>
      </w:tr>
      <w:tr>
        <w:trPr>
          <w:cantSplit/>
        </w:trPr>
        <w:tc>
          <w:tcPr>
            <w:tcW w:type="dxa" w:w="259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Revisión de avance</w:t>
            </w:r>
          </w:p>
        </w:tc>
        <w:tc>
          <w:tcPr>
            <w:tcW w:type="dxa" w:w="676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Se presenta la funcionalidad disponible al asesor y a la purificadora cuando corresponde.</w:t>
            </w:r>
          </w:p>
        </w:tc>
      </w:tr>
      <w:tr>
        <w:trPr>
          <w:cantSplit/>
        </w:trPr>
        <w:tc>
          <w:tcPr>
            <w:tcW w:type="dxa" w:w="259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Seguimiento individual</w:t>
            </w:r>
          </w:p>
        </w:tc>
        <w:tc>
          <w:tcPr>
            <w:tcW w:type="dxa" w:w="676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El desarrollador registra tareas, incidencias, decisiones y resultados de prueba.</w:t>
            </w:r>
          </w:p>
        </w:tc>
      </w:tr>
      <w:tr>
        <w:trPr>
          <w:cantSplit/>
        </w:trPr>
        <w:tc>
          <w:tcPr>
            <w:tcW w:type="dxa" w:w="259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Retrospectiva</w:t>
            </w:r>
          </w:p>
        </w:tc>
        <w:tc>
          <w:tcPr>
            <w:tcW w:type="dxa" w:w="676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Al cierre de cada incremento se identifican mejoras para el siguiente ciclo.</w:t>
            </w:r>
          </w:p>
        </w:tc>
      </w:tr>
    </w:tbl>
    <w:p>
      <w:pPr>
        <w:keepLines w:val="0"/>
        <w:spacing w:line="480" w:lineRule="auto" w:before="0" w:after="120"/>
        <w:ind w:firstLine="0"/>
        <w:jc w:val="left"/>
      </w:pPr>
      <w:r>
        <w:rPr>
          <w:rPr>
            <w:rFonts w:ascii="Times New Roman" w:hAnsi="Times New Roman" w:eastAsia="Times New Roman"/>
            <w:b/>
            <w:i w:val="0"/>
            <w:color w:val="000000"/>
            <w:sz w:val="24"/>
          </w:rPr>
        </w:rPr>
        <w:t>Fuente: Elaboración propia.</w:t>
      </w:r>
    </w:p>
    <w:p>
      <w:pPr>
        <w:keepNext/>
        <w:keepLines w:val="0"/>
        <w:spacing w:line="480" w:lineRule="auto" w:before="120" w:after="0"/>
        <w:ind w:firstLine="0"/>
        <w:jc w:val="left"/>
      </w:pPr>
      <w:r>
        <w:rPr>
          <w:rPr>
            <w:rFonts w:ascii="Times New Roman" w:hAnsi="Times New Roman" w:eastAsia="Times New Roman"/>
            <w:b/>
            <w:i w:val="0"/>
            <w:color w:val="000000"/>
            <w:sz w:val="24"/>
          </w:rPr>
        </w:rPr>
        <w:t>4.6.3 Principios aplicados</w:t>
      </w:r>
    </w:p>
    <w:p>
      <w:pPr>
        <w:pStyle w:val="ListBullet"/>
        <w:keepLines w:val="0"/>
        <w:spacing w:line="480" w:lineRule="auto" w:before="0" w:after="0"/>
        <w:ind w:left="720" w:hanging="288"/>
        <w:jc w:val="left"/>
      </w:pPr>
      <w:r>
        <w:rPr>
          <w:rPr>
            <w:rFonts w:ascii="Times New Roman" w:hAnsi="Times New Roman" w:eastAsia="Times New Roman"/>
            <w:b w:val="0"/>
            <w:i w:val="0"/>
            <w:color w:val="000000"/>
            <w:sz w:val="24"/>
          </w:rPr>
        </w:rPr>
        <w:t>Priorizar el flujo de mayor valor: configuración, productos, clientes, rutas, inventario, carga, venta y liquidación.</w:t>
      </w:r>
    </w:p>
    <w:p>
      <w:pPr>
        <w:pStyle w:val="ListBullet"/>
        <w:keepLines w:val="0"/>
        <w:spacing w:line="480" w:lineRule="auto" w:before="0" w:after="0"/>
        <w:ind w:left="720" w:hanging="288"/>
        <w:jc w:val="left"/>
      </w:pPr>
      <w:r>
        <w:rPr>
          <w:rPr>
            <w:rFonts w:ascii="Times New Roman" w:hAnsi="Times New Roman" w:eastAsia="Times New Roman"/>
            <w:b w:val="0"/>
            <w:i w:val="0"/>
            <w:color w:val="000000"/>
            <w:sz w:val="24"/>
          </w:rPr>
        </w:rPr>
        <w:t>Mantener la trazabilidad entre objetivos, requisitos, reglas de negocio, pruebas y evidencia de ejecución.</w:t>
      </w:r>
    </w:p>
    <w:p>
      <w:pPr>
        <w:pStyle w:val="ListBullet"/>
        <w:keepLines w:val="0"/>
        <w:spacing w:line="480" w:lineRule="auto" w:before="0" w:after="0"/>
        <w:ind w:left="720" w:hanging="288"/>
        <w:jc w:val="left"/>
      </w:pPr>
      <w:r>
        <w:rPr>
          <w:rPr>
            <w:rFonts w:ascii="Times New Roman" w:hAnsi="Times New Roman" w:eastAsia="Times New Roman"/>
            <w:b w:val="0"/>
            <w:i w:val="0"/>
            <w:color w:val="000000"/>
            <w:sz w:val="24"/>
          </w:rPr>
        </w:rPr>
        <w:t>Validar tempranamente las reglas operativas con la administración, especialmente precios, crédito, cargas, devoluciones, mermas y cierre de rutas.</w:t>
      </w:r>
    </w:p>
    <w:p>
      <w:pPr>
        <w:pStyle w:val="ListBullet"/>
        <w:keepLines w:val="0"/>
        <w:spacing w:line="480" w:lineRule="auto" w:before="0" w:after="0"/>
        <w:ind w:left="720" w:hanging="288"/>
        <w:jc w:val="left"/>
      </w:pPr>
      <w:r>
        <w:rPr>
          <w:rPr>
            <w:rFonts w:ascii="Times New Roman" w:hAnsi="Times New Roman" w:eastAsia="Times New Roman"/>
            <w:b w:val="0"/>
            <w:i w:val="0"/>
            <w:color w:val="000000"/>
            <w:sz w:val="24"/>
          </w:rPr>
        </w:rPr>
        <w:t>Proteger la información comercial mediante autenticación, control de acceso, autorización por recurso, auditoría y respaldos verificables.</w:t>
      </w:r>
    </w:p>
    <w:p>
      <w:pPr>
        <w:pStyle w:val="ListBullet"/>
        <w:keepLines w:val="0"/>
        <w:spacing w:line="480" w:lineRule="auto" w:before="0" w:after="0"/>
        <w:ind w:left="720" w:hanging="288"/>
        <w:jc w:val="left"/>
      </w:pPr>
      <w:r>
        <w:rPr>
          <w:rPr>
            <w:rFonts w:ascii="Times New Roman" w:hAnsi="Times New Roman" w:eastAsia="Times New Roman"/>
            <w:b w:val="0"/>
            <w:i w:val="0"/>
            <w:color w:val="000000"/>
            <w:sz w:val="24"/>
          </w:rPr>
        </w:rPr>
        <w:t>Documentar los cambios funcionales y técnicos para facilitar la revisión académica, la instalación y el mantenimiento posterior.</w:t>
      </w:r>
    </w:p>
    <w:p>
      <w:pPr>
        <w:keepNext/>
        <w:keepLines w:val="0"/>
        <w:spacing w:line="480" w:lineRule="auto" w:before="240" w:after="0"/>
        <w:ind w:firstLine="0"/>
        <w:jc w:val="left"/>
      </w:pPr>
      <w:r>
        <w:rPr>
          <w:rPr>
            <w:rFonts w:ascii="Times New Roman" w:hAnsi="Times New Roman" w:eastAsia="Times New Roman"/>
            <w:b/>
            <w:i w:val="0"/>
            <w:color w:val="000000"/>
            <w:sz w:val="24"/>
          </w:rPr>
        </w:rPr>
        <w:t>4.7 Artefactos</w:t>
      </w:r>
    </w:p>
    <w:p>
      <w:pPr>
        <w:keepLines w:val="0"/>
        <w:spacing w:line="480" w:lineRule="auto" w:before="0" w:after="0"/>
        <w:ind w:firstLine="720"/>
        <w:jc w:val="left"/>
      </w:pPr>
      <w:r>
        <w:rPr>
          <w:rPr>
            <w:rFonts w:ascii="Times New Roman" w:hAnsi="Times New Roman" w:eastAsia="Times New Roman"/>
            <w:b w:val="0"/>
            <w:i w:val="0"/>
            <w:color w:val="000000"/>
            <w:sz w:val="24"/>
          </w:rPr>
        </w:rPr>
        <w:t>Los artefactos reúnen la información necesaria para construir y verificar la solución. Funcionan como línea base del desarrollo y permiten comprobar que las funciones implementadas responden a la operación de la purificadora. Las prioridades pueden revisarse si un cambio de alcance queda documentado y aprobado.</w:t>
      </w:r>
    </w:p>
    <w:p>
      <w:pPr>
        <w:keepNext/>
        <w:keepLines w:val="0"/>
        <w:spacing w:line="480" w:lineRule="auto" w:before="120" w:after="0"/>
        <w:ind w:firstLine="0"/>
        <w:jc w:val="left"/>
      </w:pPr>
      <w:r>
        <w:rPr>
          <w:rPr>
            <w:rFonts w:ascii="Times New Roman" w:hAnsi="Times New Roman" w:eastAsia="Times New Roman"/>
            <w:b/>
            <w:i w:val="0"/>
            <w:color w:val="000000"/>
            <w:sz w:val="24"/>
          </w:rPr>
        </w:rPr>
        <w:t>4.7.1 Requisitos funcionales</w:t>
      </w:r>
    </w:p>
    <w:p>
      <w:pPr>
        <w:keepNext/>
        <w:keepLines w:val="0"/>
        <w:spacing w:line="480" w:lineRule="auto" w:before="120" w:after="0"/>
        <w:ind w:firstLine="0"/>
        <w:jc w:val="left"/>
      </w:pPr>
      <w:r>
        <w:rPr>
          <w:rPr>
            <w:rFonts w:ascii="Times New Roman" w:hAnsi="Times New Roman" w:eastAsia="Times New Roman"/>
            <w:b/>
            <w:i w:val="0"/>
            <w:color w:val="000000"/>
            <w:sz w:val="24"/>
          </w:rPr>
        </w:rPr>
        <w:t>Tabla 9</w:t>
      </w:r>
    </w:p>
    <w:p>
      <w:pPr>
        <w:keepNext/>
        <w:keepLines w:val="0"/>
        <w:spacing w:line="480" w:lineRule="auto" w:before="0" w:after="0"/>
        <w:ind w:firstLine="0"/>
        <w:jc w:val="left"/>
      </w:pPr>
      <w:r>
        <w:rPr>
          <w:rPr>
            <w:rFonts w:ascii="Times New Roman" w:hAnsi="Times New Roman" w:eastAsia="Times New Roman"/>
            <w:b w:val="0"/>
            <w:i/>
            <w:color w:val="000000"/>
            <w:sz w:val="24"/>
          </w:rPr>
        </w:rPr>
        <w:t>Requisitos funcionales priorizados</w:t>
      </w:r>
    </w:p>
    <w:tbl>
      <w:tblPr>
        <w:tblW w:type="auto" w:w="0"/>
        <w:jc w:val="left"/>
        <w:tblLayout w:type="fixed"/>
        <w:tblLook w:firstColumn="1" w:firstRow="1" w:lastColumn="0" w:lastRow="0" w:noHBand="0" w:noVBand="1" w:val="04A0"/>
      </w:tblPr>
      <w:tblGrid>
        <w:gridCol w:w="2340"/>
        <w:gridCol w:w="2340"/>
        <w:gridCol w:w="2340"/>
        <w:gridCol w:w="2340"/>
      </w:tblGrid>
      <w:tr>
        <w:trPr>
          <w:tblHeader w:val="true"/>
        </w:trPr>
        <w:tc>
          <w:tcPr>
            <w:tcW w:type="dxa" w:w="936"/>
            <w:vAlign w:val="center"/>
            <w:shd w:fill="E7E6E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i w:val="0"/>
                  <w:color w:val="000000"/>
                  <w:sz w:val="24"/>
                </w:rPr>
              </w:rPr>
              <w:t>ID</w:t>
            </w:r>
          </w:p>
        </w:tc>
        <w:tc>
          <w:tcPr>
            <w:tcW w:type="dxa" w:w="2088"/>
            <w:vAlign w:val="center"/>
            <w:shd w:fill="E7E6E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i w:val="0"/>
                  <w:color w:val="000000"/>
                  <w:sz w:val="24"/>
                </w:rPr>
              </w:rPr>
              <w:t>Nombre</w:t>
            </w:r>
          </w:p>
        </w:tc>
        <w:tc>
          <w:tcPr>
            <w:tcW w:type="dxa" w:w="4824"/>
            <w:vAlign w:val="center"/>
            <w:shd w:fill="E7E6E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i w:val="0"/>
                  <w:color w:val="000000"/>
                  <w:sz w:val="24"/>
                </w:rPr>
              </w:rPr>
              <w:t>Descripción</w:t>
            </w:r>
          </w:p>
        </w:tc>
        <w:tc>
          <w:tcPr>
            <w:tcW w:type="dxa" w:w="1512"/>
            <w:vAlign w:val="center"/>
            <w:shd w:fill="E7E6E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i w:val="0"/>
                  <w:color w:val="000000"/>
                  <w:sz w:val="24"/>
                </w:rPr>
              </w:rPr>
              <w:t>Prioridad</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RF-01</w:t>
            </w:r>
          </w:p>
        </w:tc>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Configuración empresarial</w:t>
            </w:r>
          </w:p>
        </w:tc>
        <w:tc>
          <w:tcPr>
            <w:tcW w:type="dxa" w:w="482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Registrar los datos corporativos que identifican la interfaz y comprobantes.</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Alta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RF-02</w:t>
            </w:r>
          </w:p>
        </w:tc>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Autenticación y roles</w:t>
            </w:r>
          </w:p>
        </w:tc>
        <w:tc>
          <w:tcPr>
            <w:tcW w:type="dxa" w:w="482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Permitir inicio y cierre de sesión con permisos por rol y recurso.</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Alta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RF-03</w:t>
            </w:r>
          </w:p>
        </w:tc>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Catálogo de productos</w:t>
            </w:r>
          </w:p>
        </w:tc>
        <w:tc>
          <w:tcPr>
            <w:tcW w:type="dxa" w:w="482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Gestionar productos, presentaciones y conversiones en unidad base.</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Alta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RF-04</w:t>
            </w:r>
          </w:p>
        </w:tc>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Listas de precios</w:t>
            </w:r>
          </w:p>
        </w:tc>
        <w:tc>
          <w:tcPr>
            <w:tcW w:type="dxa" w:w="482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Gestionar precios versionados por vigencia, presentación, cantidad y cliente.</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Alta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RF-05</w:t>
            </w:r>
          </w:p>
        </w:tc>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Clientes</w:t>
            </w:r>
          </w:p>
        </w:tc>
        <w:tc>
          <w:tcPr>
            <w:tcW w:type="dxa" w:w="482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Registrar clientes permanentes, ocasionales y provisionales.</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Alta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RF-06</w:t>
            </w:r>
          </w:p>
        </w:tc>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Rutas y vehículos</w:t>
            </w:r>
          </w:p>
        </w:tc>
        <w:tc>
          <w:tcPr>
            <w:tcW w:type="dxa" w:w="482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Gestionar rutas, vendedores, vehículos y asignaciones históricas.</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Alta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RF-07</w:t>
            </w:r>
          </w:p>
        </w:tc>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Inventario</w:t>
            </w:r>
          </w:p>
        </w:tc>
        <w:tc>
          <w:tcPr>
            <w:tcW w:type="dxa" w:w="482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Controlar existencias por ubicación y todos sus movimientos.</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Alta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RF-08</w:t>
            </w:r>
          </w:p>
        </w:tc>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Cargas de ruta</w:t>
            </w:r>
          </w:p>
        </w:tc>
        <w:tc>
          <w:tcPr>
            <w:tcW w:type="dxa" w:w="482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Preparar, entregar y confirmar cargas y recargas con doble confirmación.</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Alta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RF-09</w:t>
            </w:r>
          </w:p>
        </w:tc>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Ventas</w:t>
            </w:r>
          </w:p>
        </w:tc>
        <w:tc>
          <w:tcPr>
            <w:tcW w:type="dxa" w:w="482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Registrar ventas con cliente, producto, presentación, cantidad y precio validado.</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Alta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RF-10</w:t>
            </w:r>
          </w:p>
        </w:tc>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Pagos y crédito</w:t>
            </w:r>
          </w:p>
        </w:tc>
        <w:tc>
          <w:tcPr>
            <w:tcW w:type="dxa" w:w="482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Registrar efectivo, transferencia y crédito dentro de límites autorizados.</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Alta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RF-11</w:t>
            </w:r>
          </w:p>
        </w:tc>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Devoluciones y mermas</w:t>
            </w:r>
          </w:p>
        </w:tc>
        <w:tc>
          <w:tcPr>
            <w:tcW w:type="dxa" w:w="482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Registrar devolución, merma y revisión autorizada de las cantidades.</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Alta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RF-12</w:t>
            </w:r>
          </w:p>
        </w:tc>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Liquidación</w:t>
            </w:r>
          </w:p>
        </w:tc>
        <w:tc>
          <w:tcPr>
            <w:tcW w:type="dxa" w:w="482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Calcular diferencias físicas y monetarias de manera independiente.</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Alta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RF-13</w:t>
            </w:r>
          </w:p>
        </w:tc>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Operación offline</w:t>
            </w:r>
          </w:p>
        </w:tc>
        <w:tc>
          <w:tcPr>
            <w:tcW w:type="dxa" w:w="482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Permitir registrar operaciones autorizadas sin conexión y sincronizarlas después.</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Alta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RF-14</w:t>
            </w:r>
          </w:p>
        </w:tc>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Reportes</w:t>
            </w:r>
          </w:p>
        </w:tc>
        <w:tc>
          <w:tcPr>
            <w:tcW w:type="dxa" w:w="482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Consultar dashboard y reportes por vendedor, ruta, cliente, producto y fecha.</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Media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RF-15</w:t>
            </w:r>
          </w:p>
        </w:tc>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Auditoría</w:t>
            </w:r>
          </w:p>
        </w:tc>
        <w:tc>
          <w:tcPr>
            <w:tcW w:type="dxa" w:w="482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Registrar de forma inmutable las acciones críticas del sistema.</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Alta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RF-16</w:t>
            </w:r>
          </w:p>
        </w:tc>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Comprobantes PDF</w:t>
            </w:r>
          </w:p>
        </w:tc>
        <w:tc>
          <w:tcPr>
            <w:tcW w:type="dxa" w:w="482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Generar comprobantes históricos de ventas sincronizadas.</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Media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RF-17</w:t>
            </w:r>
          </w:p>
        </w:tc>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Alertas</w:t>
            </w:r>
          </w:p>
        </w:tc>
        <w:tc>
          <w:tcPr>
            <w:tcW w:type="dxa" w:w="482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Generar alertas configurables de diferencias y conductas anómalas.</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Media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RF-18</w:t>
            </w:r>
          </w:p>
        </w:tc>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Respaldos</w:t>
            </w:r>
          </w:p>
        </w:tc>
        <w:tc>
          <w:tcPr>
            <w:tcW w:type="dxa" w:w="482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Ejecutar y verificar procedimientos de respaldo y restauración.</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Media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RF-19</w:t>
            </w:r>
          </w:p>
        </w:tc>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Geolocalización puntual</w:t>
            </w:r>
          </w:p>
        </w:tc>
        <w:tc>
          <w:tcPr>
            <w:tcW w:type="dxa" w:w="482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Registrar puntos de inicio, venta o visita sin compra según autorización.</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Media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RF-20</w:t>
            </w:r>
          </w:p>
        </w:tc>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Administración de dispositivos</w:t>
            </w:r>
          </w:p>
        </w:tc>
        <w:tc>
          <w:tcPr>
            <w:tcW w:type="dxa" w:w="482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Autorizar enrolamiento y uso de dispositivos de vendedores.</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Media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RF-21</w:t>
            </w:r>
          </w:p>
        </w:tc>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Anulación autorizada</w:t>
            </w:r>
          </w:p>
        </w:tc>
        <w:tc>
          <w:tcPr>
            <w:tcW w:type="dxa" w:w="482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Anular ventas sin eliminar el historial ni los registros relacionados.</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Alta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RF-22</w:t>
            </w:r>
          </w:p>
        </w:tc>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Control de transferencias</w:t>
            </w:r>
          </w:p>
        </w:tc>
        <w:tc>
          <w:tcPr>
            <w:tcW w:type="dxa" w:w="482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Registrar transferencias y permitir verificación por personal autorizado.</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Media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RF-23</w:t>
            </w:r>
          </w:p>
        </w:tc>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Clientes duplicados</w:t>
            </w:r>
          </w:p>
        </w:tc>
        <w:tc>
          <w:tcPr>
            <w:tcW w:type="dxa" w:w="482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Detectar posibles duplicados sin fusionarlos automáticamente.</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Media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RF-24</w:t>
            </w:r>
          </w:p>
        </w:tc>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Historial de ruta</w:t>
            </w:r>
          </w:p>
        </w:tc>
        <w:tc>
          <w:tcPr>
            <w:tcW w:type="dxa" w:w="482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Consultar operaciones y puntos autorizados de cada recorrido.</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Media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RF-25</w:t>
            </w:r>
          </w:p>
        </w:tc>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Restricción de datos</w:t>
            </w:r>
          </w:p>
        </w:tc>
        <w:tc>
          <w:tcPr>
            <w:tcW w:type="dxa" w:w="482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Descargar a cada vendedor solo los datos de sus rutas y recursos.</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Alta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RF-26</w:t>
            </w:r>
          </w:p>
        </w:tc>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Recuperación de sesión</w:t>
            </w:r>
          </w:p>
        </w:tc>
        <w:tc>
          <w:tcPr>
            <w:tcW w:type="dxa" w:w="482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Renovar sesión de forma coordinada y segura cuando corresponda.</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Media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RF-27</w:t>
            </w:r>
          </w:p>
        </w:tc>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Bitácora de incidentes</w:t>
            </w:r>
          </w:p>
        </w:tc>
        <w:tc>
          <w:tcPr>
            <w:tcW w:type="dxa" w:w="482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Registrar decisiones y evidencia para incidencias operativas.</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Media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RF-28</w:t>
            </w:r>
          </w:p>
        </w:tc>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Gestión de créditos</w:t>
            </w:r>
          </w:p>
        </w:tc>
        <w:tc>
          <w:tcPr>
            <w:tcW w:type="dxa" w:w="482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Registrar pagos a crédito y reflejar el saldo actualizado.</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Alta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RF-29</w:t>
            </w:r>
          </w:p>
        </w:tc>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Préstamo de envases</w:t>
            </w:r>
          </w:p>
        </w:tc>
        <w:tc>
          <w:tcPr>
            <w:tcW w:type="dxa" w:w="482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Controlar préstamos de garrafones cuando estén habilitados.</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Media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RF-30</w:t>
            </w:r>
          </w:p>
        </w:tc>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Control de devoluciones</w:t>
            </w:r>
          </w:p>
        </w:tc>
        <w:tc>
          <w:tcPr>
            <w:tcW w:type="dxa" w:w="482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Confirmar en bodega las devoluciones físicas recibidas.</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Alta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RF-31</w:t>
            </w:r>
          </w:p>
        </w:tc>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Consulta histórica</w:t>
            </w:r>
          </w:p>
        </w:tc>
        <w:tc>
          <w:tcPr>
            <w:tcW w:type="dxa" w:w="482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Conservar consultas históricas sin alterar ventas ni movimientos previos.</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Alta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RF-32</w:t>
            </w:r>
          </w:p>
        </w:tc>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Exportación de reportes</w:t>
            </w:r>
          </w:p>
        </w:tc>
        <w:tc>
          <w:tcPr>
            <w:tcW w:type="dxa" w:w="482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Exportar reportes autorizados en PDF y Excel.</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Media</w:t>
            </w:r>
          </w:p>
        </w:tc>
      </w:tr>
    </w:tbl>
    <w:p>
      <w:pPr>
        <w:keepLines w:val="0"/>
        <w:spacing w:line="480" w:lineRule="auto" w:before="0" w:after="120"/>
        <w:ind w:firstLine="0"/>
        <w:jc w:val="left"/>
      </w:pPr>
      <w:r>
        <w:rPr>
          <w:rPr>
            <w:rFonts w:ascii="Times New Roman" w:hAnsi="Times New Roman" w:eastAsia="Times New Roman"/>
            <w:b/>
            <w:i w:val="0"/>
            <w:color w:val="000000"/>
            <w:sz w:val="24"/>
          </w:rPr>
        </w:rPr>
        <w:t>Fuente: Elaboración propia con base en la especificación del sistema.</w:t>
      </w:r>
    </w:p>
    <w:p>
      <w:pPr>
        <w:keepNext/>
        <w:keepLines w:val="0"/>
        <w:spacing w:line="480" w:lineRule="auto" w:before="120" w:after="0"/>
        <w:ind w:firstLine="0"/>
        <w:jc w:val="left"/>
      </w:pPr>
      <w:r>
        <w:rPr>
          <w:rPr>
            <w:rFonts w:ascii="Times New Roman" w:hAnsi="Times New Roman" w:eastAsia="Times New Roman"/>
            <w:b/>
            <w:i w:val="0"/>
            <w:color w:val="000000"/>
            <w:sz w:val="24"/>
          </w:rPr>
        </w:rPr>
        <w:t>4.7.2 Requisitos no funcionales</w:t>
      </w:r>
    </w:p>
    <w:p>
      <w:pPr>
        <w:keepNext/>
        <w:keepLines w:val="0"/>
        <w:spacing w:line="480" w:lineRule="auto" w:before="120" w:after="0"/>
        <w:ind w:firstLine="0"/>
        <w:jc w:val="left"/>
      </w:pPr>
      <w:r>
        <w:rPr>
          <w:rPr>
            <w:rFonts w:ascii="Times New Roman" w:hAnsi="Times New Roman" w:eastAsia="Times New Roman"/>
            <w:b/>
            <w:i w:val="0"/>
            <w:color w:val="000000"/>
            <w:sz w:val="24"/>
          </w:rPr>
        </w:rPr>
        <w:t>Tabla 10</w:t>
      </w:r>
    </w:p>
    <w:p>
      <w:pPr>
        <w:keepNext/>
        <w:keepLines w:val="0"/>
        <w:spacing w:line="480" w:lineRule="auto" w:before="0" w:after="0"/>
        <w:ind w:firstLine="0"/>
        <w:jc w:val="left"/>
      </w:pPr>
      <w:r>
        <w:rPr>
          <w:rPr>
            <w:rFonts w:ascii="Times New Roman" w:hAnsi="Times New Roman" w:eastAsia="Times New Roman"/>
            <w:b w:val="0"/>
            <w:i/>
            <w:color w:val="000000"/>
            <w:sz w:val="24"/>
          </w:rPr>
        </w:rPr>
        <w:t>Requisitos no funcionales</w:t>
      </w:r>
    </w:p>
    <w:tbl>
      <w:tblPr>
        <w:tblW w:type="auto" w:w="0"/>
        <w:jc w:val="left"/>
        <w:tblLayout w:type="fixed"/>
        <w:tblLook w:firstColumn="1" w:firstRow="1" w:lastColumn="0" w:lastRow="0" w:noHBand="0" w:noVBand="1" w:val="04A0"/>
      </w:tblPr>
      <w:tblGrid>
        <w:gridCol w:w="3120"/>
        <w:gridCol w:w="3120"/>
        <w:gridCol w:w="3120"/>
      </w:tblGrid>
      <w:tr>
        <w:trPr>
          <w:tblHeader w:val="true"/>
        </w:trPr>
        <w:tc>
          <w:tcPr>
            <w:tcW w:type="dxa" w:w="1152"/>
            <w:vAlign w:val="center"/>
            <w:shd w:fill="E7E6E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i w:val="0"/>
                  <w:color w:val="000000"/>
                  <w:sz w:val="24"/>
                </w:rPr>
              </w:rPr>
              <w:t>ID</w:t>
            </w:r>
          </w:p>
        </w:tc>
        <w:tc>
          <w:tcPr>
            <w:tcW w:type="dxa" w:w="2304"/>
            <w:vAlign w:val="center"/>
            <w:shd w:fill="E7E6E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i w:val="0"/>
                  <w:color w:val="000000"/>
                  <w:sz w:val="24"/>
                </w:rPr>
              </w:rPr>
              <w:t>Requisito</w:t>
            </w:r>
          </w:p>
        </w:tc>
        <w:tc>
          <w:tcPr>
            <w:tcW w:type="dxa" w:w="5904"/>
            <w:vAlign w:val="center"/>
            <w:shd w:fill="E7E6E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i w:val="0"/>
                  <w:color w:val="000000"/>
                  <w:sz w:val="24"/>
                </w:rPr>
              </w:rPr>
              <w:t>Criterio de aceptación</w:t>
            </w:r>
          </w:p>
        </w:tc>
      </w:tr>
      <w:tr>
        <w:trPr>
          <w:cantSplit/>
        </w:trPr>
        <w:tc>
          <w:tcPr>
            <w:tcW w:type="dxa" w:w="115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RNF-01</w:t>
            </w:r>
          </w:p>
        </w:tc>
        <w:tc>
          <w:tcPr>
            <w:tcW w:type="dxa" w:w="23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Interfaz Mobile First y responsive.</w:t>
            </w:r>
          </w:p>
        </w:tc>
        <w:tc>
          <w:tcPr>
            <w:tcW w:type="dxa" w:w="59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Los flujos críticos funcionan en teléfono, tableta y escritorio.</w:t>
            </w:r>
          </w:p>
        </w:tc>
      </w:tr>
      <w:tr>
        <w:trPr>
          <w:cantSplit/>
        </w:trPr>
        <w:tc>
          <w:tcPr>
            <w:tcW w:type="dxa" w:w="115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RNF-02</w:t>
            </w:r>
          </w:p>
        </w:tc>
        <w:tc>
          <w:tcPr>
            <w:tcW w:type="dxa" w:w="23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Aplicación instalable como PWA.</w:t>
            </w:r>
          </w:p>
        </w:tc>
        <w:tc>
          <w:tcPr>
            <w:tcW w:type="dxa" w:w="59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Manifiesto y Service Worker cumplen la validación funcional.</w:t>
            </w:r>
          </w:p>
        </w:tc>
      </w:tr>
      <w:tr>
        <w:trPr>
          <w:cantSplit/>
        </w:trPr>
        <w:tc>
          <w:tcPr>
            <w:tcW w:type="dxa" w:w="115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RNF-03</w:t>
            </w:r>
          </w:p>
        </w:tc>
        <w:tc>
          <w:tcPr>
            <w:tcW w:type="dxa" w:w="23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Operación offline durable.</w:t>
            </w:r>
          </w:p>
        </w:tc>
        <w:tc>
          <w:tcPr>
            <w:tcW w:type="dxa" w:w="59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Cerrar y reabrir no pierde operaciones confirmadas localmente.</w:t>
            </w:r>
          </w:p>
        </w:tc>
      </w:tr>
      <w:tr>
        <w:trPr>
          <w:cantSplit/>
        </w:trPr>
        <w:tc>
          <w:tcPr>
            <w:tcW w:type="dxa" w:w="115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RNF-04</w:t>
            </w:r>
          </w:p>
        </w:tc>
        <w:tc>
          <w:tcPr>
            <w:tcW w:type="dxa" w:w="23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Seguridad de credenciales.</w:t>
            </w:r>
          </w:p>
        </w:tc>
        <w:tc>
          <w:tcPr>
            <w:tcW w:type="dxa" w:w="59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Contraseñas se protegen y tokens sensibles no se almacenan de forma insegura.</w:t>
            </w:r>
          </w:p>
        </w:tc>
      </w:tr>
      <w:tr>
        <w:trPr>
          <w:cantSplit/>
        </w:trPr>
        <w:tc>
          <w:tcPr>
            <w:tcW w:type="dxa" w:w="115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RNF-05</w:t>
            </w:r>
          </w:p>
        </w:tc>
        <w:tc>
          <w:tcPr>
            <w:tcW w:type="dxa" w:w="23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Autorización por recurso.</w:t>
            </w:r>
          </w:p>
        </w:tc>
        <w:tc>
          <w:tcPr>
            <w:tcW w:type="dxa" w:w="59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Cada usuario solo consulta y opera recursos permitidos.</w:t>
            </w:r>
          </w:p>
        </w:tc>
      </w:tr>
      <w:tr>
        <w:trPr>
          <w:cantSplit/>
        </w:trPr>
        <w:tc>
          <w:tcPr>
            <w:tcW w:type="dxa" w:w="115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RNF-06</w:t>
            </w:r>
          </w:p>
        </w:tc>
        <w:tc>
          <w:tcPr>
            <w:tcW w:type="dxa" w:w="23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Integridad transaccional.</w:t>
            </w:r>
          </w:p>
        </w:tc>
        <w:tc>
          <w:tcPr>
            <w:tcW w:type="dxa" w:w="59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Una falla parcial no deja ventas, pagos o movimientos incompletos.</w:t>
            </w:r>
          </w:p>
        </w:tc>
      </w:tr>
      <w:tr>
        <w:trPr>
          <w:cantSplit/>
        </w:trPr>
        <w:tc>
          <w:tcPr>
            <w:tcW w:type="dxa" w:w="115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RNF-07</w:t>
            </w:r>
          </w:p>
        </w:tc>
        <w:tc>
          <w:tcPr>
            <w:tcW w:type="dxa" w:w="23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Auditabilidad.</w:t>
            </w:r>
          </w:p>
        </w:tc>
        <w:tc>
          <w:tcPr>
            <w:tcW w:type="dxa" w:w="59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Toda operación crítica se reconstruye con referencias verificables.</w:t>
            </w:r>
          </w:p>
        </w:tc>
      </w:tr>
      <w:tr>
        <w:trPr>
          <w:cantSplit/>
        </w:trPr>
        <w:tc>
          <w:tcPr>
            <w:tcW w:type="dxa" w:w="115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RNF-08</w:t>
            </w:r>
          </w:p>
        </w:tc>
        <w:tc>
          <w:tcPr>
            <w:tcW w:type="dxa" w:w="23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Rendimiento.</w:t>
            </w:r>
          </w:p>
        </w:tc>
        <w:tc>
          <w:tcPr>
            <w:tcW w:type="dxa" w:w="59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Consultas comunes usan paginación e índices medidos.</w:t>
            </w:r>
          </w:p>
        </w:tc>
      </w:tr>
      <w:tr>
        <w:trPr>
          <w:cantSplit/>
        </w:trPr>
        <w:tc>
          <w:tcPr>
            <w:tcW w:type="dxa" w:w="115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RNF-09</w:t>
            </w:r>
          </w:p>
        </w:tc>
        <w:tc>
          <w:tcPr>
            <w:tcW w:type="dxa" w:w="23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Mantenibilidad modular.</w:t>
            </w:r>
          </w:p>
        </w:tc>
        <w:tc>
          <w:tcPr>
            <w:tcW w:type="dxa" w:w="59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Las dependencias respetan límites de Clean Architecture.</w:t>
            </w:r>
          </w:p>
        </w:tc>
      </w:tr>
      <w:tr>
        <w:trPr>
          <w:cantSplit/>
        </w:trPr>
        <w:tc>
          <w:tcPr>
            <w:tcW w:type="dxa" w:w="115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RNF-10</w:t>
            </w:r>
          </w:p>
        </w:tc>
        <w:tc>
          <w:tcPr>
            <w:tcW w:type="dxa" w:w="23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Instalación reproducible.</w:t>
            </w:r>
          </w:p>
        </w:tc>
        <w:tc>
          <w:tcPr>
            <w:tcW w:type="dxa" w:w="59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Docker Compose inicia servicios saludables.</w:t>
            </w:r>
          </w:p>
        </w:tc>
      </w:tr>
      <w:tr>
        <w:trPr>
          <w:cantSplit/>
        </w:trPr>
        <w:tc>
          <w:tcPr>
            <w:tcW w:type="dxa" w:w="115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RNF-11</w:t>
            </w:r>
          </w:p>
        </w:tc>
        <w:tc>
          <w:tcPr>
            <w:tcW w:type="dxa" w:w="23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Recuperación.</w:t>
            </w:r>
          </w:p>
        </w:tc>
        <w:tc>
          <w:tcPr>
            <w:tcW w:type="dxa" w:w="59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Los procedimientos de respaldo y restauración se ejecutan y verifican.</w:t>
            </w:r>
          </w:p>
        </w:tc>
      </w:tr>
      <w:tr>
        <w:trPr>
          <w:cantSplit/>
        </w:trPr>
        <w:tc>
          <w:tcPr>
            <w:tcW w:type="dxa" w:w="115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RNF-12</w:t>
            </w:r>
          </w:p>
        </w:tc>
        <w:tc>
          <w:tcPr>
            <w:tcW w:type="dxa" w:w="23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Accesibilidad operativa.</w:t>
            </w:r>
          </w:p>
        </w:tc>
        <w:tc>
          <w:tcPr>
            <w:tcW w:type="dxa" w:w="59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Formularios ofrecen etiquetas, foco, contraste y controles táctiles adecuados.</w:t>
            </w:r>
          </w:p>
        </w:tc>
      </w:tr>
      <w:tr>
        <w:trPr>
          <w:cantSplit/>
        </w:trPr>
        <w:tc>
          <w:tcPr>
            <w:tcW w:type="dxa" w:w="115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RNF-13</w:t>
            </w:r>
          </w:p>
        </w:tc>
        <w:tc>
          <w:tcPr>
            <w:tcW w:type="dxa" w:w="23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Sincronización idempotente.</w:t>
            </w:r>
          </w:p>
        </w:tc>
        <w:tc>
          <w:tcPr>
            <w:tcW w:type="dxa" w:w="59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Repetir una operación no duplica sus efectos.</w:t>
            </w:r>
          </w:p>
        </w:tc>
      </w:tr>
      <w:tr>
        <w:trPr>
          <w:cantSplit/>
        </w:trPr>
        <w:tc>
          <w:tcPr>
            <w:tcW w:type="dxa" w:w="115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RNF-14</w:t>
            </w:r>
          </w:p>
        </w:tc>
        <w:tc>
          <w:tcPr>
            <w:tcW w:type="dxa" w:w="23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Observabilidad.</w:t>
            </w:r>
          </w:p>
        </w:tc>
        <w:tc>
          <w:tcPr>
            <w:tcW w:type="dxa" w:w="59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Los registros incluyen correlación sin exponer secretos.</w:t>
            </w:r>
          </w:p>
        </w:tc>
      </w:tr>
      <w:tr>
        <w:trPr>
          <w:cantSplit/>
        </w:trPr>
        <w:tc>
          <w:tcPr>
            <w:tcW w:type="dxa" w:w="115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RNF-15</w:t>
            </w:r>
          </w:p>
        </w:tc>
        <w:tc>
          <w:tcPr>
            <w:tcW w:type="dxa" w:w="23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Compatibilidad.</w:t>
            </w:r>
          </w:p>
        </w:tc>
        <w:tc>
          <w:tcPr>
            <w:tcW w:type="dxa" w:w="59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Navegadores modernos soportados ejecutan los flujos principales.</w:t>
            </w:r>
          </w:p>
        </w:tc>
      </w:tr>
      <w:tr>
        <w:trPr>
          <w:cantSplit/>
        </w:trPr>
        <w:tc>
          <w:tcPr>
            <w:tcW w:type="dxa" w:w="115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RNF-16</w:t>
            </w:r>
          </w:p>
        </w:tc>
        <w:tc>
          <w:tcPr>
            <w:tcW w:type="dxa" w:w="23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Persistencia de datos.</w:t>
            </w:r>
          </w:p>
        </w:tc>
        <w:tc>
          <w:tcPr>
            <w:tcW w:type="dxa" w:w="59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PostgreSQL y IndexedDB usan migraciones deterministas.</w:t>
            </w:r>
          </w:p>
        </w:tc>
      </w:tr>
      <w:tr>
        <w:trPr>
          <w:cantSplit/>
        </w:trPr>
        <w:tc>
          <w:tcPr>
            <w:tcW w:type="dxa" w:w="115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RNF-17</w:t>
            </w:r>
          </w:p>
        </w:tc>
        <w:tc>
          <w:tcPr>
            <w:tcW w:type="dxa" w:w="23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Protección de datos.</w:t>
            </w:r>
          </w:p>
        </w:tc>
        <w:tc>
          <w:tcPr>
            <w:tcW w:type="dxa" w:w="59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La información descargada se limita al ámbito autorizado.</w:t>
            </w:r>
          </w:p>
        </w:tc>
      </w:tr>
      <w:tr>
        <w:trPr>
          <w:cantSplit/>
        </w:trPr>
        <w:tc>
          <w:tcPr>
            <w:tcW w:type="dxa" w:w="115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RNF-18</w:t>
            </w:r>
          </w:p>
        </w:tc>
        <w:tc>
          <w:tcPr>
            <w:tcW w:type="dxa" w:w="23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Hora oficial.</w:t>
            </w:r>
          </w:p>
        </w:tc>
        <w:tc>
          <w:tcPr>
            <w:tcW w:type="dxa" w:w="59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Fechas oficiales se guardan en UTC y se muestran en la zona empresarial.</w:t>
            </w:r>
          </w:p>
        </w:tc>
      </w:tr>
    </w:tbl>
    <w:p>
      <w:pPr>
        <w:keepLines w:val="0"/>
        <w:spacing w:line="480" w:lineRule="auto" w:before="0" w:after="120"/>
        <w:ind w:firstLine="0"/>
        <w:jc w:val="left"/>
      </w:pPr>
      <w:r>
        <w:rPr>
          <w:rPr>
            <w:rFonts w:ascii="Times New Roman" w:hAnsi="Times New Roman" w:eastAsia="Times New Roman"/>
            <w:b/>
            <w:i w:val="0"/>
            <w:color w:val="000000"/>
            <w:sz w:val="24"/>
          </w:rPr>
        </w:rPr>
        <w:t>Fuente: Elaboración propia con base en la especificación del sistema.</w:t>
      </w:r>
    </w:p>
    <w:p>
      <w:pPr>
        <w:keepLines w:val="0"/>
        <w:spacing w:line="480" w:lineRule="auto" w:before="0" w:after="0"/>
        <w:ind w:firstLine="720"/>
        <w:jc w:val="left"/>
      </w:pPr>
      <w:r>
        <w:rPr>
          <w:rPr>
            <w:rFonts w:ascii="Times New Roman" w:hAnsi="Times New Roman" w:eastAsia="Times New Roman"/>
            <w:b w:val="0"/>
            <w:i w:val="0"/>
            <w:color w:val="000000"/>
            <w:sz w:val="24"/>
          </w:rPr>
        </w:rPr>
        <w:t>Los valores de rendimiento, capacidad, tolerancia de conectividad y volumen de operaciones deberán validarse con la purificadora y el asesor antes de convertirse en criterios de aceptación definitivos. Esta precaución evita establecer metas sin contar con las condiciones reales de operación y prueba.</w:t>
      </w:r>
    </w:p>
    <w:p>
      <w:pPr>
        <w:keepNext/>
        <w:keepLines w:val="0"/>
        <w:spacing w:line="480" w:lineRule="auto" w:before="120" w:after="0"/>
        <w:ind w:firstLine="0"/>
        <w:jc w:val="left"/>
      </w:pPr>
      <w:r>
        <w:rPr>
          <w:rPr>
            <w:rFonts w:ascii="Times New Roman" w:hAnsi="Times New Roman" w:eastAsia="Times New Roman"/>
            <w:b/>
            <w:i w:val="0"/>
            <w:color w:val="000000"/>
            <w:sz w:val="24"/>
          </w:rPr>
        </w:rPr>
        <w:t>4.7.3 Historias de usuario y product backlog</w:t>
      </w:r>
    </w:p>
    <w:p>
      <w:pPr>
        <w:keepLines w:val="0"/>
        <w:spacing w:line="480" w:lineRule="auto" w:before="0" w:after="0"/>
        <w:ind w:firstLine="720"/>
        <w:jc w:val="left"/>
      </w:pPr>
      <w:r>
        <w:rPr>
          <w:rPr>
            <w:rFonts w:ascii="Times New Roman" w:hAnsi="Times New Roman" w:eastAsia="Times New Roman"/>
            <w:b w:val="0"/>
            <w:i w:val="0"/>
            <w:color w:val="000000"/>
            <w:sz w:val="24"/>
          </w:rPr>
        </w:rPr>
        <w:t>El product backlog organiza las necesidades del sistema en unidades priorizadas. Las historias se redactan desde la perspectiva de quien recibe el beneficio, mientras que los criterios de aceptación indican el comportamiento que deberá comprobarse durante la validación. Las historias pueden desglosarse en tareas técnicas sin perder la relación con el requisito funcional.</w:t>
      </w:r>
    </w:p>
    <w:p>
      <w:pPr>
        <w:keepNext/>
        <w:keepLines w:val="0"/>
        <w:spacing w:line="480" w:lineRule="auto" w:before="120" w:after="0"/>
        <w:ind w:firstLine="0"/>
        <w:jc w:val="left"/>
      </w:pPr>
      <w:r>
        <w:rPr>
          <w:rPr>
            <w:rFonts w:ascii="Times New Roman" w:hAnsi="Times New Roman" w:eastAsia="Times New Roman"/>
            <w:b/>
            <w:i w:val="0"/>
            <w:color w:val="000000"/>
            <w:sz w:val="24"/>
          </w:rPr>
        </w:rPr>
        <w:t>Tabla 11</w:t>
      </w:r>
    </w:p>
    <w:p>
      <w:pPr>
        <w:keepNext/>
        <w:keepLines w:val="0"/>
        <w:spacing w:line="480" w:lineRule="auto" w:before="0" w:after="0"/>
        <w:ind w:firstLine="0"/>
        <w:jc w:val="left"/>
      </w:pPr>
      <w:r>
        <w:rPr>
          <w:rPr>
            <w:rFonts w:ascii="Times New Roman" w:hAnsi="Times New Roman" w:eastAsia="Times New Roman"/>
            <w:b w:val="0"/>
            <w:i/>
            <w:color w:val="000000"/>
            <w:sz w:val="24"/>
          </w:rPr>
        </w:rPr>
        <w:t>Product backlog inicial</w:t>
      </w:r>
    </w:p>
    <w:tbl>
      <w:tblPr>
        <w:tblW w:type="auto" w:w="0"/>
        <w:jc w:val="left"/>
        <w:tblLayout w:type="fixed"/>
        <w:tblLook w:firstColumn="1" w:firstRow="1" w:lastColumn="0" w:lastRow="0" w:noHBand="0" w:noVBand="1" w:val="04A0"/>
      </w:tblPr>
      <w:tblGrid>
        <w:gridCol w:w="2340"/>
        <w:gridCol w:w="2340"/>
        <w:gridCol w:w="2340"/>
        <w:gridCol w:w="2340"/>
      </w:tblGrid>
      <w:tr>
        <w:trPr>
          <w:tblHeader w:val="true"/>
        </w:trPr>
        <w:tc>
          <w:tcPr>
            <w:tcW w:type="dxa" w:w="936"/>
            <w:vAlign w:val="center"/>
            <w:shd w:fill="E7E6E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i w:val="0"/>
                  <w:color w:val="000000"/>
                  <w:sz w:val="24"/>
                </w:rPr>
              </w:rPr>
              <w:t>ID</w:t>
            </w:r>
          </w:p>
        </w:tc>
        <w:tc>
          <w:tcPr>
            <w:tcW w:type="dxa" w:w="2880"/>
            <w:vAlign w:val="center"/>
            <w:shd w:fill="E7E6E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i w:val="0"/>
                  <w:color w:val="000000"/>
                  <w:sz w:val="24"/>
                </w:rPr>
              </w:rPr>
              <w:t>Historia de usuario</w:t>
            </w:r>
          </w:p>
        </w:tc>
        <w:tc>
          <w:tcPr>
            <w:tcW w:type="dxa" w:w="4032"/>
            <w:vAlign w:val="center"/>
            <w:shd w:fill="E7E6E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i w:val="0"/>
                  <w:color w:val="000000"/>
                  <w:sz w:val="24"/>
                </w:rPr>
              </w:rPr>
              <w:t>Criterio de aceptación</w:t>
            </w:r>
          </w:p>
        </w:tc>
        <w:tc>
          <w:tcPr>
            <w:tcW w:type="dxa" w:w="1512"/>
            <w:vAlign w:val="center"/>
            <w:shd w:fill="E7E6E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i w:val="0"/>
                  <w:color w:val="000000"/>
                  <w:sz w:val="24"/>
                </w:rPr>
              </w:rPr>
              <w:t>Prioridad</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HU-01</w:t>
            </w:r>
          </w:p>
        </w:tc>
        <w:tc>
          <w:tcPr>
            <w:tcW w:type="dxa" w:w="288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Como administrador, quiero configurar los datos de la empresa para que la interfaz y los comprobantes usen una sola identidad.</w:t>
            </w:r>
          </w:p>
        </w:tc>
        <w:tc>
          <w:tcPr>
            <w:tcW w:type="dxa" w:w="403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La configuración se guarda, audita y se aplica en documentos.</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Alta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HU-02</w:t>
            </w:r>
          </w:p>
        </w:tc>
        <w:tc>
          <w:tcPr>
            <w:tcW w:type="dxa" w:w="288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Como administrador, quiero gestionar productos, presentaciones y precios para controlar la comercialización.</w:t>
            </w:r>
          </w:p>
        </w:tc>
        <w:tc>
          <w:tcPr>
            <w:tcW w:type="dxa" w:w="403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Los precios se resuelven por vigencia y no alteran ventas históricas.</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Alta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HU-03</w:t>
            </w:r>
          </w:p>
        </w:tc>
        <w:tc>
          <w:tcPr>
            <w:tcW w:type="dxa" w:w="288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Como administrador, quiero asignar clientes, vendedores y vehículos a rutas para controlar la distribución.</w:t>
            </w:r>
          </w:p>
        </w:tc>
        <w:tc>
          <w:tcPr>
            <w:tcW w:type="dxa" w:w="403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Las asignaciones conservan su historial y aplican autorización por recurso.</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Alta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HU-04</w:t>
            </w:r>
          </w:p>
        </w:tc>
        <w:tc>
          <w:tcPr>
            <w:tcW w:type="dxa" w:w="288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Como bodega, quiero preparar y entregar cargas para registrar el producto asignado a cada ruta.</w:t>
            </w:r>
          </w:p>
        </w:tc>
        <w:tc>
          <w:tcPr>
            <w:tcW w:type="dxa" w:w="403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La carga requiere confirmación y genera movimientos de inventario.</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Alta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HU-05</w:t>
            </w:r>
          </w:p>
        </w:tc>
        <w:tc>
          <w:tcPr>
            <w:tcW w:type="dxa" w:w="288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Como vendedor, quiero registrar ventas y cobros desde mi dispositivo para operar durante la ruta.</w:t>
            </w:r>
          </w:p>
        </w:tc>
        <w:tc>
          <w:tcPr>
            <w:tcW w:type="dxa" w:w="403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El servidor valida precio, stock, permiso y totales.</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Alta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HU-06</w:t>
            </w:r>
          </w:p>
        </w:tc>
        <w:tc>
          <w:tcPr>
            <w:tcW w:type="dxa" w:w="288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Como vendedor, quiero trabajar sin conexión para no perder operaciones cuando falle internet.</w:t>
            </w:r>
          </w:p>
        </w:tc>
        <w:tc>
          <w:tcPr>
            <w:tcW w:type="dxa" w:w="403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Las operaciones persisten localmente y se sincronizan sin duplicarse.</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Alta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HU-07</w:t>
            </w:r>
          </w:p>
        </w:tc>
        <w:tc>
          <w:tcPr>
            <w:tcW w:type="dxa" w:w="288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Como vendedor, quiero reportar devoluciones y mermas para reflejar el estado físico de la carga.</w:t>
            </w:r>
          </w:p>
        </w:tc>
        <w:tc>
          <w:tcPr>
            <w:tcW w:type="dxa" w:w="403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La merma queda pendiente de revisión y la devolución se confirma en bodega.</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Alta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HU-08</w:t>
            </w:r>
          </w:p>
        </w:tc>
        <w:tc>
          <w:tcPr>
            <w:tcW w:type="dxa" w:w="288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Como administrador, quiero liquidar cada ruta para conocer diferencias físicas y monetarias.</w:t>
            </w:r>
          </w:p>
        </w:tc>
        <w:tc>
          <w:tcPr>
            <w:tcW w:type="dxa" w:w="403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El sistema muestra cálculos y bloquea el cierre si existen conflictos relevantes.</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Alta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HU-09</w:t>
            </w:r>
          </w:p>
        </w:tc>
        <w:tc>
          <w:tcPr>
            <w:tcW w:type="dxa" w:w="288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Como administrador, quiero consultar reportes y auditoría para supervisar la operación.</w:t>
            </w:r>
          </w:p>
        </w:tc>
        <w:tc>
          <w:tcPr>
            <w:tcW w:type="dxa" w:w="403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Los filtros devuelven solo datos autorizados y exportables.</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Media</w:t>
            </w:r>
          </w:p>
        </w:tc>
      </w:tr>
    </w:tbl>
    <w:p>
      <w:pPr>
        <w:keepLines w:val="0"/>
        <w:spacing w:line="480" w:lineRule="auto" w:before="0" w:after="120"/>
        <w:ind w:firstLine="0"/>
        <w:jc w:val="left"/>
      </w:pPr>
      <w:r>
        <w:rPr>
          <w:rPr>
            <w:rFonts w:ascii="Times New Roman" w:hAnsi="Times New Roman" w:eastAsia="Times New Roman"/>
            <w:b/>
            <w:i w:val="0"/>
            <w:color w:val="000000"/>
            <w:sz w:val="24"/>
          </w:rPr>
        </w:rPr>
        <w:t>Fuente: Elaboración propia.</w:t>
      </w:r>
    </w:p>
    <w:p>
      <w:pPr>
        <w:keepNext/>
        <w:keepLines w:val="0"/>
        <w:spacing w:line="480" w:lineRule="auto" w:before="240" w:after="0"/>
        <w:ind w:firstLine="0"/>
        <w:jc w:val="left"/>
      </w:pPr>
      <w:r>
        <w:rPr>
          <w:rPr>
            <w:rFonts w:ascii="Times New Roman" w:hAnsi="Times New Roman" w:eastAsia="Times New Roman"/>
            <w:b/>
            <w:i w:val="0"/>
            <w:color w:val="000000"/>
            <w:sz w:val="24"/>
          </w:rPr>
        </w:rPr>
        <w:t>Cierre del capítulo</w:t>
      </w:r>
    </w:p>
    <w:p>
      <w:pPr>
        <w:keepLines w:val="0"/>
        <w:spacing w:line="480" w:lineRule="auto" w:before="0" w:after="0"/>
        <w:ind w:firstLine="720"/>
        <w:jc w:val="left"/>
      </w:pPr>
      <w:r>
        <w:rPr>
          <w:rPr>
            <w:rFonts w:ascii="Times New Roman" w:hAnsi="Times New Roman" w:eastAsia="Times New Roman"/>
            <w:b w:val="0"/>
            <w:i w:val="0"/>
            <w:color w:val="000000"/>
            <w:sz w:val="24"/>
          </w:rPr>
        </w:rPr>
        <w:t>El análisis presentado establece la base funcional, operativa y metodológica del sistema de control para la purificadora de agua. La propuesta centraliza los procesos de distribución, conserva trazabilidad sobre inventario y dinero, y facilita información para la administración de clientes, rutas, ventas y liquidaciones.</w:t>
      </w:r>
    </w:p>
    <w:p>
      <w:pPr>
        <w:keepLines w:val="0"/>
        <w:spacing w:line="480" w:lineRule="auto" w:before="0" w:after="0"/>
        <w:ind w:firstLine="720"/>
        <w:jc w:val="left"/>
      </w:pPr>
      <w:r>
        <w:rPr>
          <w:rPr>
            <w:rFonts w:ascii="Times New Roman" w:hAnsi="Times New Roman" w:eastAsia="Times New Roman"/>
            <w:b w:val="0"/>
            <w:i w:val="0"/>
            <w:color w:val="000000"/>
            <w:sz w:val="24"/>
          </w:rPr>
        </w:rPr>
        <w:t>Los modelos de proceso, requisitos, reglas de negocio y backlog servirán como insumos para el Capítulo 5. Antes de la implementación final y la medición de resultados, la purificadora deberá validar usuarios, políticas de precio y crédito, rutas, inventario inicial y periodo de pruebas.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Lines w:val="0"/>
      <w:spacing w:line="480" w:lineRule="auto" w:before="0" w:after="0"/>
      <w:ind w:firstLine="0"/>
      <w:jc w:val="right"/>
    </w:pPr>
    <w:r>
      <w:rPr>
        <w:rFonts w:ascii="Times New Roman" w:hAnsi="Times New Roman" w:eastAsia="Times New Roman"/>
        <w:color w:val="000000"/>
        <w:sz w:val="24"/>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